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SDMDocRef"/>
    <w:p w14:paraId="7648D16F" w14:textId="23AA7A97" w:rsidR="00A12E1C" w:rsidRPr="005B1E09" w:rsidRDefault="00302468" w:rsidP="002C7827">
      <w:pPr>
        <w:pStyle w:val="SDMDocRef"/>
      </w:pPr>
      <w:sdt>
        <w:sdtPr>
          <w:alias w:val="SDMDocRef"/>
          <w:tag w:val="SDMDocRef"/>
          <w:id w:val="1716379491"/>
          <w:lock w:val="sdtLocked"/>
          <w:placeholder>
            <w:docPart w:val="3EFE8D20822B425986466C78E6FCA0CB"/>
          </w:placeholder>
        </w:sdtPr>
        <w:sdtEndPr/>
        <w:sdtContent>
          <w:bookmarkStart w:id="1" w:name="_Ref211089175"/>
          <w:bookmarkEnd w:id="1"/>
          <w:r w:rsidR="00BA147F">
            <w:t>A6.4-</w:t>
          </w:r>
          <w:r w:rsidR="00331E10">
            <w:t>AMM-001</w:t>
          </w:r>
        </w:sdtContent>
      </w:sdt>
      <w:bookmarkEnd w:id="0"/>
    </w:p>
    <w:bookmarkStart w:id="2" w:name="SDMConfidentialMark" w:displacedByCustomXml="next"/>
    <w:sdt>
      <w:sdtPr>
        <w:alias w:val="SDMConfidentialMark"/>
        <w:tag w:val="SDMConfidentialMark"/>
        <w:id w:val="174698408"/>
        <w:lock w:val="sdtLocked"/>
        <w:placeholder>
          <w:docPart w:val="E93B1E96BC5A4501B0A2113687AF00EF"/>
        </w:placeholder>
        <w:dropDownList>
          <w:listItem w:displayText="Confidential" w:value="Confidential"/>
          <w:listItem w:displayText=" " w:value="  "/>
        </w:dropDownList>
      </w:sdtPr>
      <w:sdtEndPr/>
      <w:sdtContent>
        <w:p w14:paraId="62978A5B" w14:textId="32E5E939" w:rsidR="00B527EA" w:rsidRPr="00312CAA" w:rsidRDefault="00A03AA1" w:rsidP="00802CB9">
          <w:pPr>
            <w:pStyle w:val="SDMConfidentialMark"/>
            <w:tabs>
              <w:tab w:val="left" w:pos="1843"/>
            </w:tabs>
          </w:pPr>
          <w:r>
            <w:t xml:space="preserve"> </w:t>
          </w:r>
        </w:p>
      </w:sdtContent>
    </w:sdt>
    <w:bookmarkEnd w:id="2" w:displacedByCustomXml="prev"/>
    <w:bookmarkStart w:id="3" w:name="SDMDocType" w:displacedByCustomXml="prev"/>
    <w:bookmarkStart w:id="4" w:name="SDMTitle1" w:displacedByCustomXml="next"/>
    <w:sdt>
      <w:sdtPr>
        <w:alias w:val="SDMTitle1"/>
        <w:tag w:val="SDMTitle1"/>
        <w:id w:val="-2079670800"/>
        <w:lock w:val="sdtLocked"/>
        <w:placeholder>
          <w:docPart w:val="AD87A26D58724E2F942CCAD817C97E8F"/>
        </w:placeholder>
      </w:sdtPr>
      <w:sdtEndPr/>
      <w:sdtContent>
        <w:p w14:paraId="6AA3A8C9" w14:textId="2B546BCE" w:rsidR="001A1BDD" w:rsidRPr="002C4666" w:rsidRDefault="00302468" w:rsidP="00705EF6">
          <w:pPr>
            <w:pStyle w:val="SDMTitle1"/>
          </w:pPr>
          <w:sdt>
            <w:sdtPr>
              <w:alias w:val="SDMDocType"/>
              <w:tag w:val="SDMDocType"/>
              <w:id w:val="-1347470451"/>
              <w:lock w:val="sdtContentLocked"/>
              <w:placeholder>
                <w:docPart w:val="D68848931F864742A9B659DACF5BE410"/>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EndPr/>
            <w:sdtContent>
              <w:r w:rsidR="009119B5">
                <w:t xml:space="preserve">Mechanism </w:t>
              </w:r>
              <w:r w:rsidR="0022484F" w:rsidRPr="0022484F">
                <w:t>Methodology</w:t>
              </w:r>
            </w:sdtContent>
          </w:sdt>
        </w:p>
      </w:sdtContent>
    </w:sdt>
    <w:bookmarkEnd w:id="4" w:displacedByCustomXml="prev"/>
    <w:bookmarkEnd w:id="3" w:displacedByCustomXml="next"/>
    <w:bookmarkStart w:id="5" w:name="SDMTitle2" w:displacedByCustomXml="next"/>
    <w:sdt>
      <w:sdtPr>
        <w:rPr>
          <w:lang w:val="de-DE"/>
        </w:rPr>
        <w:alias w:val="SDMTitle2"/>
        <w:tag w:val="SDMTitle2"/>
        <w:id w:val="939257648"/>
        <w:lock w:val="sdtLocked"/>
        <w:placeholder>
          <w:docPart w:val="5B485CEABD8340E19778624E63889857"/>
        </w:placeholder>
      </w:sdtPr>
      <w:sdtEndPr/>
      <w:sdtContent>
        <w:p w14:paraId="238F1E28" w14:textId="79F205B2" w:rsidR="001A1BDD" w:rsidRPr="00206FDC" w:rsidRDefault="00817B31" w:rsidP="001A1BDD">
          <w:pPr>
            <w:pStyle w:val="SDMTitle2"/>
          </w:pPr>
          <w:r w:rsidRPr="00A278BE">
            <w:rPr>
              <w:lang w:val="en-US"/>
            </w:rPr>
            <w:t xml:space="preserve">Flaring or </w:t>
          </w:r>
          <w:r>
            <w:t>use of landfill gas</w:t>
          </w:r>
        </w:p>
      </w:sdtContent>
    </w:sdt>
    <w:bookmarkEnd w:id="5" w:displacedByCustomXml="prev"/>
    <w:bookmarkStart w:id="6" w:name="SDMDocVerLab"/>
    <w:p w14:paraId="4484B707" w14:textId="1BA5C361" w:rsidR="001F76B9" w:rsidRPr="00152FB5" w:rsidRDefault="00302468" w:rsidP="001F76B9">
      <w:pPr>
        <w:pStyle w:val="SDMTiInfo"/>
      </w:pPr>
      <w:sdt>
        <w:sdtPr>
          <w:alias w:val="SDMDocVersionLabel"/>
          <w:tag w:val="SDMDocVersionLabel"/>
          <w:id w:val="-334845484"/>
          <w:lock w:val="sdtLocked"/>
          <w:placeholder>
            <w:docPart w:val="FB4279C3B33844FC93BCEAD6BF238C13"/>
          </w:placeholder>
        </w:sdtPr>
        <w:sdtEndPr/>
        <w:sdtContent>
          <w:r w:rsidR="00787CC6" w:rsidRPr="00152FB5">
            <w:t>Version</w:t>
          </w:r>
          <w:r w:rsidR="007B03AF">
            <w:t xml:space="preserve"> </w:t>
          </w:r>
        </w:sdtContent>
      </w:sdt>
      <w:bookmarkEnd w:id="6"/>
      <w:sdt>
        <w:sdtPr>
          <w:alias w:val="SDMDocVer"/>
          <w:tag w:val="SDMDocVer"/>
          <w:id w:val="-2119430389"/>
          <w:lock w:val="sdtLocked"/>
          <w:placeholder>
            <w:docPart w:val="5C2DA880E0194359AA4EE3369358A2D4"/>
          </w:placeholder>
        </w:sdtPr>
        <w:sdtEndPr/>
        <w:sdtContent>
          <w:bookmarkStart w:id="7" w:name="SDMDocVer"/>
          <w:r w:rsidR="005D19A8">
            <w:t>01.0</w:t>
          </w:r>
        </w:sdtContent>
      </w:sdt>
      <w:bookmarkEnd w:id="7"/>
    </w:p>
    <w:bookmarkStart w:id="8" w:name="SDMSectoralScopeLab"/>
    <w:p w14:paraId="4F869F2E" w14:textId="22415DEE" w:rsidR="006F5B88" w:rsidRPr="00260651" w:rsidRDefault="00302468" w:rsidP="00E27E39">
      <w:pPr>
        <w:pStyle w:val="SDMTiInfo"/>
        <w:rPr>
          <w:vanish/>
          <w:specVanish/>
        </w:rPr>
      </w:pPr>
      <w:sdt>
        <w:sdtPr>
          <w:alias w:val="SDMSectoralScopeLabel"/>
          <w:tag w:val="SDMSectoralScopeLabel"/>
          <w:id w:val="-1807311883"/>
          <w:placeholder>
            <w:docPart w:val="A714C4C8A5374F4EAA63E07228688AA5"/>
          </w:placeholder>
        </w:sdtPr>
        <w:sdtEndPr/>
        <w:sdtContent>
          <w:r w:rsidR="00635555">
            <w:t xml:space="preserve">Sectoral scope(s): </w:t>
          </w:r>
        </w:sdtContent>
      </w:sdt>
      <w:bookmarkStart w:id="9" w:name="SDMSectoralScope"/>
      <w:bookmarkEnd w:id="8"/>
      <w:sdt>
        <w:sdtPr>
          <w:alias w:val="SDMSectoralScope"/>
          <w:tag w:val="SDMSectoralScope"/>
          <w:id w:val="1979492676"/>
          <w:placeholder>
            <w:docPart w:val="98D45CA9FE7A4CCF9B4262836E7B4C42"/>
          </w:placeholder>
        </w:sdtPr>
        <w:sdtEndPr/>
        <w:sdtContent>
          <w:r w:rsidR="00C16E1C">
            <w:t xml:space="preserve">01 and </w:t>
          </w:r>
          <w:r w:rsidR="006F53BD">
            <w:t>13</w:t>
          </w:r>
        </w:sdtContent>
      </w:sdt>
      <w:bookmarkEnd w:id="9"/>
    </w:p>
    <w:p w14:paraId="7A957795" w14:textId="77777777" w:rsidR="006F5B88" w:rsidRPr="00260651" w:rsidRDefault="006F5B88" w:rsidP="001E266E">
      <w:pPr>
        <w:sectPr w:rsidR="006F5B88" w:rsidRPr="00260651" w:rsidSect="005307EB">
          <w:headerReference w:type="default" r:id="rId12"/>
          <w:pgSz w:w="11907" w:h="16840" w:code="9"/>
          <w:pgMar w:top="1985" w:right="1134" w:bottom="1418" w:left="1418" w:header="1418" w:footer="1418" w:gutter="0"/>
          <w:cols w:space="720"/>
          <w:docGrid w:linePitch="299"/>
        </w:sectPr>
      </w:pPr>
    </w:p>
    <w:p w14:paraId="5A570495" w14:textId="77777777" w:rsidR="004334D2" w:rsidRPr="00216E5B" w:rsidRDefault="004334D2" w:rsidP="004334D2">
      <w:pPr>
        <w:pStyle w:val="SDMTOCHeading"/>
      </w:pPr>
      <w:r w:rsidRPr="000E63FD">
        <w:lastRenderedPageBreak/>
        <w:t>TABLE OF CONTENTS</w:t>
      </w:r>
      <w:r w:rsidRPr="00216E5B">
        <w:tab/>
        <w:t>Page</w:t>
      </w:r>
    </w:p>
    <w:p w14:paraId="0399795A" w14:textId="0C5DBC12" w:rsidR="00B42A18" w:rsidRDefault="00B42A18" w:rsidP="00B42A18">
      <w:pPr>
        <w:pStyle w:val="TOC1"/>
        <w:rPr>
          <w:rFonts w:asciiTheme="minorHAnsi" w:eastAsiaTheme="minorEastAsia" w:hAnsiTheme="minorHAnsi" w:cstheme="minorBidi"/>
          <w:b w:val="0"/>
          <w:caps w:val="0"/>
          <w:noProof/>
          <w:sz w:val="22"/>
          <w:szCs w:val="22"/>
          <w:lang w:val="en-US" w:eastAsia="zh-CN"/>
        </w:rPr>
      </w:pPr>
      <w:r>
        <w:fldChar w:fldCharType="begin"/>
      </w:r>
      <w:r>
        <w:instrText xml:space="preserve"> TOC \o "1-3" \h \z \t "Heading 1,1, SDMHead1,1,SDMHead2,2,SDMHead3,3,SDMAppTitle,6" </w:instrText>
      </w:r>
      <w:r>
        <w:fldChar w:fldCharType="separate"/>
      </w:r>
      <w:hyperlink w:anchor="_Toc211614734" w:history="1">
        <w:r w:rsidRPr="00D22CEB">
          <w:rPr>
            <w:rStyle w:val="Hyperlink"/>
            <w:noProof/>
          </w:rPr>
          <w:t>1.</w:t>
        </w:r>
        <w:r>
          <w:rPr>
            <w:rFonts w:asciiTheme="minorHAnsi" w:eastAsiaTheme="minorEastAsia" w:hAnsiTheme="minorHAnsi" w:cstheme="minorBidi"/>
            <w:b w:val="0"/>
            <w:caps w:val="0"/>
            <w:noProof/>
            <w:sz w:val="22"/>
            <w:szCs w:val="22"/>
            <w:lang w:val="en-US" w:eastAsia="zh-CN"/>
          </w:rPr>
          <w:tab/>
        </w:r>
        <w:r w:rsidRPr="00D22CEB">
          <w:rPr>
            <w:rStyle w:val="Hyperlink"/>
            <w:noProof/>
          </w:rPr>
          <w:t>Introduction</w:t>
        </w:r>
        <w:r>
          <w:rPr>
            <w:noProof/>
            <w:webHidden/>
          </w:rPr>
          <w:tab/>
        </w:r>
        <w:r>
          <w:rPr>
            <w:rStyle w:val="Hyperlink"/>
            <w:noProof/>
          </w:rPr>
          <w:tab/>
        </w:r>
        <w:r>
          <w:rPr>
            <w:noProof/>
            <w:webHidden/>
          </w:rPr>
          <w:fldChar w:fldCharType="begin"/>
        </w:r>
        <w:r>
          <w:rPr>
            <w:noProof/>
            <w:webHidden/>
          </w:rPr>
          <w:instrText xml:space="preserve"> PAGEREF _Toc211614734 \h </w:instrText>
        </w:r>
        <w:r>
          <w:rPr>
            <w:noProof/>
            <w:webHidden/>
          </w:rPr>
        </w:r>
        <w:r>
          <w:rPr>
            <w:noProof/>
            <w:webHidden/>
          </w:rPr>
          <w:fldChar w:fldCharType="separate"/>
        </w:r>
        <w:r w:rsidR="00302468">
          <w:rPr>
            <w:noProof/>
            <w:webHidden/>
          </w:rPr>
          <w:t>4</w:t>
        </w:r>
        <w:r>
          <w:rPr>
            <w:noProof/>
            <w:webHidden/>
          </w:rPr>
          <w:fldChar w:fldCharType="end"/>
        </w:r>
      </w:hyperlink>
    </w:p>
    <w:p w14:paraId="31D11DD4" w14:textId="66679289" w:rsidR="00B42A18" w:rsidRDefault="00302468" w:rsidP="00B42A18">
      <w:pPr>
        <w:pStyle w:val="TOC2"/>
        <w:rPr>
          <w:rFonts w:asciiTheme="minorHAnsi" w:eastAsiaTheme="minorEastAsia" w:hAnsiTheme="minorHAnsi" w:cstheme="minorBidi"/>
          <w:noProof/>
          <w:sz w:val="22"/>
          <w:szCs w:val="22"/>
          <w:lang w:val="en-US" w:eastAsia="zh-CN"/>
        </w:rPr>
      </w:pPr>
      <w:hyperlink w:anchor="_Toc211614735" w:history="1">
        <w:r w:rsidR="00B42A18" w:rsidRPr="00D22CEB">
          <w:rPr>
            <w:rStyle w:val="Hyperlink"/>
            <w:noProof/>
          </w:rPr>
          <w:t>1.1.</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Scope</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_Toc211614735 \h </w:instrText>
        </w:r>
        <w:r w:rsidR="00B42A18">
          <w:rPr>
            <w:noProof/>
            <w:webHidden/>
          </w:rPr>
        </w:r>
        <w:r w:rsidR="00B42A18">
          <w:rPr>
            <w:noProof/>
            <w:webHidden/>
          </w:rPr>
          <w:fldChar w:fldCharType="separate"/>
        </w:r>
        <w:r>
          <w:rPr>
            <w:noProof/>
            <w:webHidden/>
          </w:rPr>
          <w:t>4</w:t>
        </w:r>
        <w:r w:rsidR="00B42A18">
          <w:rPr>
            <w:noProof/>
            <w:webHidden/>
          </w:rPr>
          <w:fldChar w:fldCharType="end"/>
        </w:r>
      </w:hyperlink>
    </w:p>
    <w:p w14:paraId="3E722755" w14:textId="3B9A30BD" w:rsidR="00B42A18" w:rsidRDefault="00302468" w:rsidP="00B42A18">
      <w:pPr>
        <w:pStyle w:val="TOC2"/>
        <w:rPr>
          <w:rFonts w:asciiTheme="minorHAnsi" w:eastAsiaTheme="minorEastAsia" w:hAnsiTheme="minorHAnsi" w:cstheme="minorBidi"/>
          <w:noProof/>
          <w:sz w:val="22"/>
          <w:szCs w:val="22"/>
          <w:lang w:val="en-US" w:eastAsia="zh-CN"/>
        </w:rPr>
      </w:pPr>
      <w:hyperlink w:anchor="_Toc211614736" w:history="1">
        <w:r w:rsidR="00B42A18" w:rsidRPr="00D22CEB">
          <w:rPr>
            <w:rStyle w:val="Hyperlink"/>
            <w:noProof/>
          </w:rPr>
          <w:t>1.2.</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Entry into force and validity</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_Toc211614736 \h </w:instrText>
        </w:r>
        <w:r w:rsidR="00B42A18">
          <w:rPr>
            <w:noProof/>
            <w:webHidden/>
          </w:rPr>
        </w:r>
        <w:r w:rsidR="00B42A18">
          <w:rPr>
            <w:noProof/>
            <w:webHidden/>
          </w:rPr>
          <w:fldChar w:fldCharType="separate"/>
        </w:r>
        <w:r>
          <w:rPr>
            <w:noProof/>
            <w:webHidden/>
          </w:rPr>
          <w:t>4</w:t>
        </w:r>
        <w:r w:rsidR="00B42A18">
          <w:rPr>
            <w:noProof/>
            <w:webHidden/>
          </w:rPr>
          <w:fldChar w:fldCharType="end"/>
        </w:r>
      </w:hyperlink>
    </w:p>
    <w:p w14:paraId="3C5BAF23" w14:textId="0495E946" w:rsidR="00B42A18" w:rsidRDefault="00302468" w:rsidP="00B42A18">
      <w:pPr>
        <w:pStyle w:val="TOC2"/>
        <w:rPr>
          <w:rFonts w:asciiTheme="minorHAnsi" w:eastAsiaTheme="minorEastAsia" w:hAnsiTheme="minorHAnsi" w:cstheme="minorBidi"/>
          <w:noProof/>
          <w:sz w:val="22"/>
          <w:szCs w:val="22"/>
          <w:lang w:val="en-US" w:eastAsia="zh-CN"/>
        </w:rPr>
      </w:pPr>
      <w:hyperlink w:anchor="_Toc211614737" w:history="1">
        <w:r w:rsidR="00B42A18" w:rsidRPr="00D22CEB">
          <w:rPr>
            <w:rStyle w:val="Hyperlink"/>
            <w:noProof/>
          </w:rPr>
          <w:t>1.3.</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Applicability of sectoral scopes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_Toc211614737 \h </w:instrText>
        </w:r>
        <w:r w:rsidR="00B42A18">
          <w:rPr>
            <w:noProof/>
            <w:webHidden/>
          </w:rPr>
        </w:r>
        <w:r w:rsidR="00B42A18">
          <w:rPr>
            <w:noProof/>
            <w:webHidden/>
          </w:rPr>
          <w:fldChar w:fldCharType="separate"/>
        </w:r>
        <w:r>
          <w:rPr>
            <w:noProof/>
            <w:webHidden/>
          </w:rPr>
          <w:t>4</w:t>
        </w:r>
        <w:r w:rsidR="00B42A18">
          <w:rPr>
            <w:noProof/>
            <w:webHidden/>
          </w:rPr>
          <w:fldChar w:fldCharType="end"/>
        </w:r>
      </w:hyperlink>
    </w:p>
    <w:p w14:paraId="245AA197" w14:textId="025DCC7B"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38" w:history="1">
        <w:r w:rsidR="00B42A18" w:rsidRPr="00D22CEB">
          <w:rPr>
            <w:rStyle w:val="Hyperlink"/>
            <w:noProof/>
          </w:rPr>
          <w:t>2.</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Definitions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_Toc211614738 \h </w:instrText>
        </w:r>
        <w:r w:rsidR="00B42A18">
          <w:rPr>
            <w:noProof/>
            <w:webHidden/>
          </w:rPr>
        </w:r>
        <w:r w:rsidR="00B42A18">
          <w:rPr>
            <w:noProof/>
            <w:webHidden/>
          </w:rPr>
          <w:fldChar w:fldCharType="separate"/>
        </w:r>
        <w:r>
          <w:rPr>
            <w:noProof/>
            <w:webHidden/>
          </w:rPr>
          <w:t>4</w:t>
        </w:r>
        <w:r w:rsidR="00B42A18">
          <w:rPr>
            <w:noProof/>
            <w:webHidden/>
          </w:rPr>
          <w:fldChar w:fldCharType="end"/>
        </w:r>
      </w:hyperlink>
    </w:p>
    <w:p w14:paraId="43F5E975" w14:textId="6556098E" w:rsidR="00B42A18" w:rsidRDefault="00302468" w:rsidP="00B42A18">
      <w:pPr>
        <w:pStyle w:val="TOC2"/>
        <w:rPr>
          <w:rFonts w:asciiTheme="minorHAnsi" w:eastAsiaTheme="minorEastAsia" w:hAnsiTheme="minorHAnsi" w:cstheme="minorBidi"/>
          <w:noProof/>
          <w:sz w:val="22"/>
          <w:szCs w:val="22"/>
          <w:lang w:val="en-US" w:eastAsia="zh-CN"/>
        </w:rPr>
      </w:pPr>
      <w:hyperlink w:anchor="_Toc211614739" w:history="1">
        <w:r w:rsidR="00B42A18" w:rsidRPr="00D22CEB">
          <w:rPr>
            <w:rStyle w:val="Hyperlink"/>
            <w:noProof/>
          </w:rPr>
          <w:t>2.1.</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General terms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_Toc211614739 \h </w:instrText>
        </w:r>
        <w:r w:rsidR="00B42A18">
          <w:rPr>
            <w:noProof/>
            <w:webHidden/>
          </w:rPr>
        </w:r>
        <w:r w:rsidR="00B42A18">
          <w:rPr>
            <w:noProof/>
            <w:webHidden/>
          </w:rPr>
          <w:fldChar w:fldCharType="separate"/>
        </w:r>
        <w:r>
          <w:rPr>
            <w:noProof/>
            <w:webHidden/>
          </w:rPr>
          <w:t>4</w:t>
        </w:r>
        <w:r w:rsidR="00B42A18">
          <w:rPr>
            <w:noProof/>
            <w:webHidden/>
          </w:rPr>
          <w:fldChar w:fldCharType="end"/>
        </w:r>
      </w:hyperlink>
    </w:p>
    <w:p w14:paraId="4C0A11E8" w14:textId="58300081" w:rsidR="00B42A18" w:rsidRDefault="00302468" w:rsidP="00B42A18">
      <w:pPr>
        <w:pStyle w:val="TOC2"/>
        <w:rPr>
          <w:rFonts w:asciiTheme="minorHAnsi" w:eastAsiaTheme="minorEastAsia" w:hAnsiTheme="minorHAnsi" w:cstheme="minorBidi"/>
          <w:noProof/>
          <w:sz w:val="22"/>
          <w:szCs w:val="22"/>
          <w:lang w:val="en-US" w:eastAsia="zh-CN"/>
        </w:rPr>
      </w:pPr>
      <w:hyperlink w:anchor="_Toc211614740" w:history="1">
        <w:r w:rsidR="00B42A18" w:rsidRPr="00D22CEB">
          <w:rPr>
            <w:rStyle w:val="Hyperlink"/>
            <w:noProof/>
          </w:rPr>
          <w:t>2.2.</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Methodological terms and definitions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_Toc211614740 \h </w:instrText>
        </w:r>
        <w:r w:rsidR="00B42A18">
          <w:rPr>
            <w:noProof/>
            <w:webHidden/>
          </w:rPr>
        </w:r>
        <w:r w:rsidR="00B42A18">
          <w:rPr>
            <w:noProof/>
            <w:webHidden/>
          </w:rPr>
          <w:fldChar w:fldCharType="separate"/>
        </w:r>
        <w:r>
          <w:rPr>
            <w:noProof/>
            <w:webHidden/>
          </w:rPr>
          <w:t>5</w:t>
        </w:r>
        <w:r w:rsidR="00B42A18">
          <w:rPr>
            <w:noProof/>
            <w:webHidden/>
          </w:rPr>
          <w:fldChar w:fldCharType="end"/>
        </w:r>
      </w:hyperlink>
    </w:p>
    <w:p w14:paraId="395DDA68" w14:textId="6B483675"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41" w:history="1">
        <w:r w:rsidR="00B42A18" w:rsidRPr="00D22CEB">
          <w:rPr>
            <w:rStyle w:val="Hyperlink"/>
            <w:noProof/>
          </w:rPr>
          <w:t>3.</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Normative and informative references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_Toc211614741 \h </w:instrText>
        </w:r>
        <w:r w:rsidR="00B42A18">
          <w:rPr>
            <w:noProof/>
            <w:webHidden/>
          </w:rPr>
        </w:r>
        <w:r w:rsidR="00B42A18">
          <w:rPr>
            <w:noProof/>
            <w:webHidden/>
          </w:rPr>
          <w:fldChar w:fldCharType="separate"/>
        </w:r>
        <w:r>
          <w:rPr>
            <w:noProof/>
            <w:webHidden/>
          </w:rPr>
          <w:t>6</w:t>
        </w:r>
        <w:r w:rsidR="00B42A18">
          <w:rPr>
            <w:noProof/>
            <w:webHidden/>
          </w:rPr>
          <w:fldChar w:fldCharType="end"/>
        </w:r>
      </w:hyperlink>
    </w:p>
    <w:p w14:paraId="60909B8D" w14:textId="4E4875D1"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42" w:history="1">
        <w:r w:rsidR="00B42A18" w:rsidRPr="00D22CEB">
          <w:rPr>
            <w:rStyle w:val="Hyperlink"/>
            <w:noProof/>
          </w:rPr>
          <w:t>4.</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Applicability</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_Toc211614742 \h </w:instrText>
        </w:r>
        <w:r w:rsidR="00B42A18">
          <w:rPr>
            <w:noProof/>
            <w:webHidden/>
          </w:rPr>
        </w:r>
        <w:r w:rsidR="00B42A18">
          <w:rPr>
            <w:noProof/>
            <w:webHidden/>
          </w:rPr>
          <w:fldChar w:fldCharType="separate"/>
        </w:r>
        <w:r>
          <w:rPr>
            <w:noProof/>
            <w:webHidden/>
          </w:rPr>
          <w:t>7</w:t>
        </w:r>
        <w:r w:rsidR="00B42A18">
          <w:rPr>
            <w:noProof/>
            <w:webHidden/>
          </w:rPr>
          <w:fldChar w:fldCharType="end"/>
        </w:r>
      </w:hyperlink>
    </w:p>
    <w:p w14:paraId="26AC4CE9" w14:textId="4A8339DD"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43" w:history="1">
        <w:r w:rsidR="00B42A18" w:rsidRPr="00D22CEB">
          <w:rPr>
            <w:rStyle w:val="Hyperlink"/>
            <w:noProof/>
          </w:rPr>
          <w:t>5.</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Project boundary</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_Toc211614743 \h </w:instrText>
        </w:r>
        <w:r w:rsidR="00B42A18">
          <w:rPr>
            <w:noProof/>
            <w:webHidden/>
          </w:rPr>
        </w:r>
        <w:r w:rsidR="00B42A18">
          <w:rPr>
            <w:noProof/>
            <w:webHidden/>
          </w:rPr>
          <w:fldChar w:fldCharType="separate"/>
        </w:r>
        <w:r>
          <w:rPr>
            <w:noProof/>
            <w:webHidden/>
          </w:rPr>
          <w:t>10</w:t>
        </w:r>
        <w:r w:rsidR="00B42A18">
          <w:rPr>
            <w:noProof/>
            <w:webHidden/>
          </w:rPr>
          <w:fldChar w:fldCharType="end"/>
        </w:r>
      </w:hyperlink>
    </w:p>
    <w:p w14:paraId="3B0F5492" w14:textId="37D3C93C"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44" w:history="1">
        <w:r w:rsidR="00B42A18" w:rsidRPr="00D22CEB">
          <w:rPr>
            <w:rStyle w:val="Hyperlink"/>
            <w:noProof/>
          </w:rPr>
          <w:t>6.</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Demonstration of additionality</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_Toc211614744 \h </w:instrText>
        </w:r>
        <w:r w:rsidR="00B42A18">
          <w:rPr>
            <w:noProof/>
            <w:webHidden/>
          </w:rPr>
        </w:r>
        <w:r w:rsidR="00B42A18">
          <w:rPr>
            <w:noProof/>
            <w:webHidden/>
          </w:rPr>
          <w:fldChar w:fldCharType="separate"/>
        </w:r>
        <w:r>
          <w:rPr>
            <w:noProof/>
            <w:webHidden/>
          </w:rPr>
          <w:t>13</w:t>
        </w:r>
        <w:r w:rsidR="00B42A18">
          <w:rPr>
            <w:noProof/>
            <w:webHidden/>
          </w:rPr>
          <w:fldChar w:fldCharType="end"/>
        </w:r>
      </w:hyperlink>
    </w:p>
    <w:p w14:paraId="562C3B48" w14:textId="587841B4" w:rsidR="00B42A18" w:rsidRDefault="00302468" w:rsidP="00B42A18">
      <w:pPr>
        <w:pStyle w:val="TOC2"/>
        <w:rPr>
          <w:rFonts w:asciiTheme="minorHAnsi" w:eastAsiaTheme="minorEastAsia" w:hAnsiTheme="minorHAnsi" w:cstheme="minorBidi"/>
          <w:noProof/>
          <w:sz w:val="22"/>
          <w:szCs w:val="22"/>
          <w:lang w:val="en-US" w:eastAsia="zh-CN"/>
        </w:rPr>
      </w:pPr>
      <w:hyperlink w:anchor="_Toc211614745" w:history="1">
        <w:r w:rsidR="00B42A18" w:rsidRPr="00D22CEB">
          <w:rPr>
            <w:rStyle w:val="Hyperlink"/>
            <w:noProof/>
          </w:rPr>
          <w:t>6.1.</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Regulatory analysis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_Toc211614745 \h </w:instrText>
        </w:r>
        <w:r w:rsidR="00B42A18">
          <w:rPr>
            <w:noProof/>
            <w:webHidden/>
          </w:rPr>
        </w:r>
        <w:r w:rsidR="00B42A18">
          <w:rPr>
            <w:noProof/>
            <w:webHidden/>
          </w:rPr>
          <w:fldChar w:fldCharType="separate"/>
        </w:r>
        <w:r>
          <w:rPr>
            <w:noProof/>
            <w:webHidden/>
          </w:rPr>
          <w:t>14</w:t>
        </w:r>
        <w:r w:rsidR="00B42A18">
          <w:rPr>
            <w:noProof/>
            <w:webHidden/>
          </w:rPr>
          <w:fldChar w:fldCharType="end"/>
        </w:r>
      </w:hyperlink>
    </w:p>
    <w:p w14:paraId="79EB159D" w14:textId="215B212F" w:rsidR="00B42A18" w:rsidRDefault="00302468" w:rsidP="00B42A18">
      <w:pPr>
        <w:pStyle w:val="TOC2"/>
        <w:rPr>
          <w:rFonts w:asciiTheme="minorHAnsi" w:eastAsiaTheme="minorEastAsia" w:hAnsiTheme="minorHAnsi" w:cstheme="minorBidi"/>
          <w:noProof/>
          <w:sz w:val="22"/>
          <w:szCs w:val="22"/>
          <w:lang w:val="en-US" w:eastAsia="zh-CN"/>
        </w:rPr>
      </w:pPr>
      <w:hyperlink w:anchor="_Toc211614746" w:history="1">
        <w:r w:rsidR="00B42A18" w:rsidRPr="00D22CEB">
          <w:rPr>
            <w:rStyle w:val="Hyperlink"/>
            <w:noProof/>
          </w:rPr>
          <w:t>6.2.</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Avoidance of locking-in the level of emissions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_Toc211614746 \h </w:instrText>
        </w:r>
        <w:r w:rsidR="00B42A18">
          <w:rPr>
            <w:noProof/>
            <w:webHidden/>
          </w:rPr>
        </w:r>
        <w:r w:rsidR="00B42A18">
          <w:rPr>
            <w:noProof/>
            <w:webHidden/>
          </w:rPr>
          <w:fldChar w:fldCharType="separate"/>
        </w:r>
        <w:r>
          <w:rPr>
            <w:noProof/>
            <w:webHidden/>
          </w:rPr>
          <w:t>14</w:t>
        </w:r>
        <w:r w:rsidR="00B42A18">
          <w:rPr>
            <w:noProof/>
            <w:webHidden/>
          </w:rPr>
          <w:fldChar w:fldCharType="end"/>
        </w:r>
      </w:hyperlink>
    </w:p>
    <w:p w14:paraId="4AA92DC8" w14:textId="77157A43" w:rsidR="00B42A18" w:rsidRDefault="00302468" w:rsidP="00B42A18">
      <w:pPr>
        <w:pStyle w:val="TOC2"/>
        <w:rPr>
          <w:rFonts w:asciiTheme="minorHAnsi" w:eastAsiaTheme="minorEastAsia" w:hAnsiTheme="minorHAnsi" w:cstheme="minorBidi"/>
          <w:noProof/>
          <w:sz w:val="22"/>
          <w:szCs w:val="22"/>
          <w:lang w:val="en-US" w:eastAsia="zh-CN"/>
        </w:rPr>
      </w:pPr>
      <w:hyperlink w:anchor="_Toc211614747" w:history="1">
        <w:r w:rsidR="00B42A18" w:rsidRPr="00D22CEB">
          <w:rPr>
            <w:rStyle w:val="Hyperlink"/>
            <w:noProof/>
          </w:rPr>
          <w:t>6.3.</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Investment analysis and common practice analysis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_Toc211614747 \h </w:instrText>
        </w:r>
        <w:r w:rsidR="00B42A18">
          <w:rPr>
            <w:noProof/>
            <w:webHidden/>
          </w:rPr>
        </w:r>
        <w:r w:rsidR="00B42A18">
          <w:rPr>
            <w:noProof/>
            <w:webHidden/>
          </w:rPr>
          <w:fldChar w:fldCharType="separate"/>
        </w:r>
        <w:r>
          <w:rPr>
            <w:noProof/>
            <w:webHidden/>
          </w:rPr>
          <w:t>15</w:t>
        </w:r>
        <w:r w:rsidR="00B42A18">
          <w:rPr>
            <w:noProof/>
            <w:webHidden/>
          </w:rPr>
          <w:fldChar w:fldCharType="end"/>
        </w:r>
      </w:hyperlink>
    </w:p>
    <w:p w14:paraId="574E3456" w14:textId="3CE88951" w:rsidR="00B42A18" w:rsidRDefault="00302468" w:rsidP="00B42A18">
      <w:pPr>
        <w:pStyle w:val="TOC3"/>
        <w:rPr>
          <w:rFonts w:asciiTheme="minorHAnsi" w:eastAsiaTheme="minorEastAsia" w:hAnsiTheme="minorHAnsi" w:cstheme="minorBidi"/>
          <w:noProof/>
          <w:sz w:val="22"/>
          <w:szCs w:val="22"/>
          <w:lang w:val="en-US" w:eastAsia="zh-CN"/>
        </w:rPr>
      </w:pPr>
      <w:hyperlink w:anchor="_Toc211614748" w:history="1">
        <w:r w:rsidR="00B42A18" w:rsidRPr="00D22CEB">
          <w:rPr>
            <w:rStyle w:val="Hyperlink"/>
            <w:noProof/>
          </w:rPr>
          <w:t>6.3.1.</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Investment analysis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_Toc211614748 \h </w:instrText>
        </w:r>
        <w:r w:rsidR="00B42A18">
          <w:rPr>
            <w:noProof/>
            <w:webHidden/>
          </w:rPr>
        </w:r>
        <w:r w:rsidR="00B42A18">
          <w:rPr>
            <w:noProof/>
            <w:webHidden/>
          </w:rPr>
          <w:fldChar w:fldCharType="separate"/>
        </w:r>
        <w:r>
          <w:rPr>
            <w:noProof/>
            <w:webHidden/>
          </w:rPr>
          <w:t>15</w:t>
        </w:r>
        <w:r w:rsidR="00B42A18">
          <w:rPr>
            <w:noProof/>
            <w:webHidden/>
          </w:rPr>
          <w:fldChar w:fldCharType="end"/>
        </w:r>
      </w:hyperlink>
    </w:p>
    <w:p w14:paraId="6E3AA98C" w14:textId="60B08E05" w:rsidR="00B42A18" w:rsidRDefault="00302468" w:rsidP="00B42A18">
      <w:pPr>
        <w:pStyle w:val="TOC3"/>
        <w:rPr>
          <w:rFonts w:asciiTheme="minorHAnsi" w:eastAsiaTheme="minorEastAsia" w:hAnsiTheme="minorHAnsi" w:cstheme="minorBidi"/>
          <w:noProof/>
          <w:sz w:val="22"/>
          <w:szCs w:val="22"/>
          <w:lang w:val="en-US" w:eastAsia="zh-CN"/>
        </w:rPr>
      </w:pPr>
      <w:hyperlink w:anchor="_Toc211614749" w:history="1">
        <w:r w:rsidR="00B42A18" w:rsidRPr="00D22CEB">
          <w:rPr>
            <w:rStyle w:val="Hyperlink"/>
            <w:noProof/>
          </w:rPr>
          <w:t>6.3.2.</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Common practice analysis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_Toc211614749 \h </w:instrText>
        </w:r>
        <w:r w:rsidR="00B42A18">
          <w:rPr>
            <w:noProof/>
            <w:webHidden/>
          </w:rPr>
        </w:r>
        <w:r w:rsidR="00B42A18">
          <w:rPr>
            <w:noProof/>
            <w:webHidden/>
          </w:rPr>
          <w:fldChar w:fldCharType="separate"/>
        </w:r>
        <w:r>
          <w:rPr>
            <w:noProof/>
            <w:webHidden/>
          </w:rPr>
          <w:t>17</w:t>
        </w:r>
        <w:r w:rsidR="00B42A18">
          <w:rPr>
            <w:noProof/>
            <w:webHidden/>
          </w:rPr>
          <w:fldChar w:fldCharType="end"/>
        </w:r>
      </w:hyperlink>
    </w:p>
    <w:p w14:paraId="5B8745B0" w14:textId="29A0ED70"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50" w:history="1">
        <w:r w:rsidR="00B42A18" w:rsidRPr="00D22CEB">
          <w:rPr>
            <w:rStyle w:val="Hyperlink"/>
            <w:noProof/>
          </w:rPr>
          <w:t>7.</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Baseline scenario</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_Toc211614750 \h </w:instrText>
        </w:r>
        <w:r w:rsidR="00B42A18">
          <w:rPr>
            <w:noProof/>
            <w:webHidden/>
          </w:rPr>
        </w:r>
        <w:r w:rsidR="00B42A18">
          <w:rPr>
            <w:noProof/>
            <w:webHidden/>
          </w:rPr>
          <w:fldChar w:fldCharType="separate"/>
        </w:r>
        <w:r>
          <w:rPr>
            <w:noProof/>
            <w:webHidden/>
          </w:rPr>
          <w:t>18</w:t>
        </w:r>
        <w:r w:rsidR="00B42A18">
          <w:rPr>
            <w:noProof/>
            <w:webHidden/>
          </w:rPr>
          <w:fldChar w:fldCharType="end"/>
        </w:r>
      </w:hyperlink>
    </w:p>
    <w:p w14:paraId="6F894514" w14:textId="2913A072" w:rsidR="00B42A18" w:rsidRDefault="00302468" w:rsidP="00B42A18">
      <w:pPr>
        <w:pStyle w:val="TOC2"/>
        <w:rPr>
          <w:rFonts w:asciiTheme="minorHAnsi" w:eastAsiaTheme="minorEastAsia" w:hAnsiTheme="minorHAnsi" w:cstheme="minorBidi"/>
          <w:noProof/>
          <w:sz w:val="22"/>
          <w:szCs w:val="22"/>
          <w:lang w:val="en-US" w:eastAsia="zh-CN"/>
        </w:rPr>
      </w:pPr>
      <w:hyperlink w:anchor="_Toc211614751" w:history="1">
        <w:r w:rsidR="00B42A18" w:rsidRPr="00D22CEB">
          <w:rPr>
            <w:rStyle w:val="Hyperlink"/>
            <w:noProof/>
          </w:rPr>
          <w:t>7.1.</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Identification of components and sub-components of the Article 6.4 activity</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_Toc211614751 \h </w:instrText>
        </w:r>
        <w:r w:rsidR="00B42A18">
          <w:rPr>
            <w:noProof/>
            <w:webHidden/>
          </w:rPr>
        </w:r>
        <w:r w:rsidR="00B42A18">
          <w:rPr>
            <w:noProof/>
            <w:webHidden/>
          </w:rPr>
          <w:fldChar w:fldCharType="separate"/>
        </w:r>
        <w:r>
          <w:rPr>
            <w:noProof/>
            <w:webHidden/>
          </w:rPr>
          <w:t>18</w:t>
        </w:r>
        <w:r w:rsidR="00B42A18">
          <w:rPr>
            <w:noProof/>
            <w:webHidden/>
          </w:rPr>
          <w:fldChar w:fldCharType="end"/>
        </w:r>
      </w:hyperlink>
    </w:p>
    <w:p w14:paraId="002C0FCC" w14:textId="011363A8" w:rsidR="00B42A18" w:rsidRDefault="00302468" w:rsidP="00B42A18">
      <w:pPr>
        <w:pStyle w:val="TOC2"/>
        <w:rPr>
          <w:rFonts w:asciiTheme="minorHAnsi" w:eastAsiaTheme="minorEastAsia" w:hAnsiTheme="minorHAnsi" w:cstheme="minorBidi"/>
          <w:noProof/>
          <w:sz w:val="22"/>
          <w:szCs w:val="22"/>
          <w:lang w:val="en-US" w:eastAsia="zh-CN"/>
        </w:rPr>
      </w:pPr>
      <w:hyperlink w:anchor="_Toc211614752" w:history="1">
        <w:r w:rsidR="00B42A18" w:rsidRPr="00D22CEB">
          <w:rPr>
            <w:rStyle w:val="Hyperlink"/>
            <w:noProof/>
          </w:rPr>
          <w:t>7.2.</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Selection of the baseline approaches from paragraph 36 of the rules, modalities and procedures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_Toc211614752 \h </w:instrText>
        </w:r>
        <w:r w:rsidR="00B42A18">
          <w:rPr>
            <w:noProof/>
            <w:webHidden/>
          </w:rPr>
        </w:r>
        <w:r w:rsidR="00B42A18">
          <w:rPr>
            <w:noProof/>
            <w:webHidden/>
          </w:rPr>
          <w:fldChar w:fldCharType="separate"/>
        </w:r>
        <w:r>
          <w:rPr>
            <w:noProof/>
            <w:webHidden/>
          </w:rPr>
          <w:t>19</w:t>
        </w:r>
        <w:r w:rsidR="00B42A18">
          <w:rPr>
            <w:noProof/>
            <w:webHidden/>
          </w:rPr>
          <w:fldChar w:fldCharType="end"/>
        </w:r>
      </w:hyperlink>
    </w:p>
    <w:p w14:paraId="3566BE95" w14:textId="1ABD7B8F" w:rsidR="00B42A18" w:rsidRDefault="00302468" w:rsidP="00B42A18">
      <w:pPr>
        <w:pStyle w:val="TOC2"/>
        <w:rPr>
          <w:rFonts w:asciiTheme="minorHAnsi" w:eastAsiaTheme="minorEastAsia" w:hAnsiTheme="minorHAnsi" w:cstheme="minorBidi"/>
          <w:noProof/>
          <w:sz w:val="22"/>
          <w:szCs w:val="22"/>
          <w:lang w:val="en-US" w:eastAsia="zh-CN"/>
        </w:rPr>
      </w:pPr>
      <w:hyperlink w:anchor="_Toc211614753" w:history="1">
        <w:r w:rsidR="00B42A18" w:rsidRPr="00D22CEB">
          <w:rPr>
            <w:rStyle w:val="Hyperlink"/>
            <w:noProof/>
          </w:rPr>
          <w:t>7.3.</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Application of the selected approach, prior to implementation of a downward adjustment</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_Toc211614753 \h </w:instrText>
        </w:r>
        <w:r w:rsidR="00B42A18">
          <w:rPr>
            <w:noProof/>
            <w:webHidden/>
          </w:rPr>
        </w:r>
        <w:r w:rsidR="00B42A18">
          <w:rPr>
            <w:noProof/>
            <w:webHidden/>
          </w:rPr>
          <w:fldChar w:fldCharType="separate"/>
        </w:r>
        <w:r>
          <w:rPr>
            <w:noProof/>
            <w:webHidden/>
          </w:rPr>
          <w:t>21</w:t>
        </w:r>
        <w:r w:rsidR="00B42A18">
          <w:rPr>
            <w:noProof/>
            <w:webHidden/>
          </w:rPr>
          <w:fldChar w:fldCharType="end"/>
        </w:r>
      </w:hyperlink>
    </w:p>
    <w:p w14:paraId="41AA19D2" w14:textId="32872E88" w:rsidR="00B42A18" w:rsidRDefault="00302468" w:rsidP="00B42A18">
      <w:pPr>
        <w:pStyle w:val="TOC3"/>
        <w:rPr>
          <w:rFonts w:asciiTheme="minorHAnsi" w:eastAsiaTheme="minorEastAsia" w:hAnsiTheme="minorHAnsi" w:cstheme="minorBidi"/>
          <w:noProof/>
          <w:sz w:val="22"/>
          <w:szCs w:val="22"/>
          <w:lang w:val="en-US" w:eastAsia="zh-CN"/>
        </w:rPr>
      </w:pPr>
      <w:hyperlink w:anchor="_Toc211614754" w:history="1">
        <w:r w:rsidR="00B42A18" w:rsidRPr="00D22CEB">
          <w:rPr>
            <w:rStyle w:val="Hyperlink"/>
            <w:noProof/>
          </w:rPr>
          <w:t>7.3.1.</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Procedure for the identification of the baseline scenario</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_Toc211614754 \h </w:instrText>
        </w:r>
        <w:r w:rsidR="00B42A18">
          <w:rPr>
            <w:noProof/>
            <w:webHidden/>
          </w:rPr>
        </w:r>
        <w:r w:rsidR="00B42A18">
          <w:rPr>
            <w:noProof/>
            <w:webHidden/>
          </w:rPr>
          <w:fldChar w:fldCharType="separate"/>
        </w:r>
        <w:r>
          <w:rPr>
            <w:noProof/>
            <w:webHidden/>
          </w:rPr>
          <w:t>21</w:t>
        </w:r>
        <w:r w:rsidR="00B42A18">
          <w:rPr>
            <w:noProof/>
            <w:webHidden/>
          </w:rPr>
          <w:fldChar w:fldCharType="end"/>
        </w:r>
      </w:hyperlink>
    </w:p>
    <w:p w14:paraId="35AD5E4A" w14:textId="30E40579" w:rsidR="00B42A18" w:rsidRDefault="00302468" w:rsidP="00B42A18">
      <w:pPr>
        <w:pStyle w:val="TOC3"/>
        <w:rPr>
          <w:rFonts w:asciiTheme="minorHAnsi" w:eastAsiaTheme="minorEastAsia" w:hAnsiTheme="minorHAnsi" w:cstheme="minorBidi"/>
          <w:noProof/>
          <w:sz w:val="22"/>
          <w:szCs w:val="22"/>
          <w:lang w:val="en-US" w:eastAsia="zh-CN"/>
        </w:rPr>
      </w:pPr>
      <w:hyperlink w:anchor="_Toc211614755" w:history="1">
        <w:r w:rsidR="00B42A18" w:rsidRPr="00D22CEB">
          <w:rPr>
            <w:rStyle w:val="Hyperlink"/>
            <w:noProof/>
          </w:rPr>
          <w:t>7.3.2.</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Calculation of baseline emissions prior to downward adjustment</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_Toc211614755 \h </w:instrText>
        </w:r>
        <w:r w:rsidR="00B42A18">
          <w:rPr>
            <w:noProof/>
            <w:webHidden/>
          </w:rPr>
        </w:r>
        <w:r w:rsidR="00B42A18">
          <w:rPr>
            <w:noProof/>
            <w:webHidden/>
          </w:rPr>
          <w:fldChar w:fldCharType="separate"/>
        </w:r>
        <w:r>
          <w:rPr>
            <w:noProof/>
            <w:webHidden/>
          </w:rPr>
          <w:t>28</w:t>
        </w:r>
        <w:r w:rsidR="00B42A18">
          <w:rPr>
            <w:noProof/>
            <w:webHidden/>
          </w:rPr>
          <w:fldChar w:fldCharType="end"/>
        </w:r>
      </w:hyperlink>
    </w:p>
    <w:p w14:paraId="5706FDEB" w14:textId="022899A7" w:rsidR="00B42A18" w:rsidRDefault="00302468" w:rsidP="00B42A18">
      <w:pPr>
        <w:pStyle w:val="TOC2"/>
        <w:rPr>
          <w:rFonts w:asciiTheme="minorHAnsi" w:eastAsiaTheme="minorEastAsia" w:hAnsiTheme="minorHAnsi" w:cstheme="minorBidi"/>
          <w:noProof/>
          <w:sz w:val="22"/>
          <w:szCs w:val="22"/>
          <w:lang w:val="en-US" w:eastAsia="zh-CN"/>
        </w:rPr>
      </w:pPr>
      <w:hyperlink w:anchor="_Toc211614756" w:history="1">
        <w:r w:rsidR="00B42A18" w:rsidRPr="00D22CEB">
          <w:rPr>
            <w:rStyle w:val="Hyperlink"/>
            <w:noProof/>
          </w:rPr>
          <w:t>7.4.</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Application of the downward adjustment</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_Toc211614756 \h </w:instrText>
        </w:r>
        <w:r w:rsidR="00B42A18">
          <w:rPr>
            <w:noProof/>
            <w:webHidden/>
          </w:rPr>
        </w:r>
        <w:r w:rsidR="00B42A18">
          <w:rPr>
            <w:noProof/>
            <w:webHidden/>
          </w:rPr>
          <w:fldChar w:fldCharType="separate"/>
        </w:r>
        <w:r>
          <w:rPr>
            <w:noProof/>
            <w:webHidden/>
          </w:rPr>
          <w:t>40</w:t>
        </w:r>
        <w:r w:rsidR="00B42A18">
          <w:rPr>
            <w:noProof/>
            <w:webHidden/>
          </w:rPr>
          <w:fldChar w:fldCharType="end"/>
        </w:r>
      </w:hyperlink>
    </w:p>
    <w:p w14:paraId="424813B0" w14:textId="602FF308" w:rsidR="00B42A18" w:rsidRDefault="00302468" w:rsidP="00B42A18">
      <w:pPr>
        <w:pStyle w:val="TOC3"/>
        <w:rPr>
          <w:rFonts w:asciiTheme="minorHAnsi" w:eastAsiaTheme="minorEastAsia" w:hAnsiTheme="minorHAnsi" w:cstheme="minorBidi"/>
          <w:noProof/>
          <w:sz w:val="22"/>
          <w:szCs w:val="22"/>
          <w:lang w:val="en-US" w:eastAsia="zh-CN"/>
        </w:rPr>
      </w:pPr>
      <w:hyperlink w:anchor="_Toc211614757" w:history="1">
        <w:r w:rsidR="00B42A18" w:rsidRPr="00D22CEB">
          <w:rPr>
            <w:rStyle w:val="Hyperlink"/>
            <w:noProof/>
          </w:rPr>
          <w:t>7.4.1.</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Downward adjusted baseline emissions in the calendar year of the start date of the first crediting period</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_Toc211614757 \h </w:instrText>
        </w:r>
        <w:r w:rsidR="00B42A18">
          <w:rPr>
            <w:noProof/>
            <w:webHidden/>
          </w:rPr>
        </w:r>
        <w:r w:rsidR="00B42A18">
          <w:rPr>
            <w:noProof/>
            <w:webHidden/>
          </w:rPr>
          <w:fldChar w:fldCharType="separate"/>
        </w:r>
        <w:r>
          <w:rPr>
            <w:noProof/>
            <w:webHidden/>
          </w:rPr>
          <w:t>40</w:t>
        </w:r>
        <w:r w:rsidR="00B42A18">
          <w:rPr>
            <w:noProof/>
            <w:webHidden/>
          </w:rPr>
          <w:fldChar w:fldCharType="end"/>
        </w:r>
      </w:hyperlink>
    </w:p>
    <w:p w14:paraId="62280F51" w14:textId="417F90E0" w:rsidR="00B42A18" w:rsidRDefault="00302468" w:rsidP="00B42A18">
      <w:pPr>
        <w:pStyle w:val="TOC3"/>
        <w:rPr>
          <w:rFonts w:asciiTheme="minorHAnsi" w:eastAsiaTheme="minorEastAsia" w:hAnsiTheme="minorHAnsi" w:cstheme="minorBidi"/>
          <w:noProof/>
          <w:sz w:val="22"/>
          <w:szCs w:val="22"/>
          <w:lang w:val="en-US" w:eastAsia="zh-CN"/>
        </w:rPr>
      </w:pPr>
      <w:hyperlink w:anchor="_Toc211614758" w:history="1">
        <w:r w:rsidR="00B42A18" w:rsidRPr="00D22CEB">
          <w:rPr>
            <w:rStyle w:val="Hyperlink"/>
            <w:noProof/>
          </w:rPr>
          <w:t>7.4.2.</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Downward adjusted baseline emissions in subsequent years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_Toc211614758 \h </w:instrText>
        </w:r>
        <w:r w:rsidR="00B42A18">
          <w:rPr>
            <w:noProof/>
            <w:webHidden/>
          </w:rPr>
        </w:r>
        <w:r w:rsidR="00B42A18">
          <w:rPr>
            <w:noProof/>
            <w:webHidden/>
          </w:rPr>
          <w:fldChar w:fldCharType="separate"/>
        </w:r>
        <w:r>
          <w:rPr>
            <w:noProof/>
            <w:webHidden/>
          </w:rPr>
          <w:t>44</w:t>
        </w:r>
        <w:r w:rsidR="00B42A18">
          <w:rPr>
            <w:noProof/>
            <w:webHidden/>
          </w:rPr>
          <w:fldChar w:fldCharType="end"/>
        </w:r>
      </w:hyperlink>
    </w:p>
    <w:p w14:paraId="35E08219" w14:textId="661303C4" w:rsidR="00B42A18" w:rsidRDefault="00302468" w:rsidP="00B42A18">
      <w:pPr>
        <w:pStyle w:val="TOC2"/>
        <w:rPr>
          <w:rFonts w:asciiTheme="minorHAnsi" w:eastAsiaTheme="minorEastAsia" w:hAnsiTheme="minorHAnsi" w:cstheme="minorBidi"/>
          <w:noProof/>
          <w:sz w:val="22"/>
          <w:szCs w:val="22"/>
          <w:lang w:val="en-US" w:eastAsia="zh-CN"/>
        </w:rPr>
      </w:pPr>
      <w:hyperlink w:anchor="_Toc211614759" w:history="1">
        <w:r w:rsidR="00B42A18" w:rsidRPr="00D22CEB">
          <w:rPr>
            <w:rStyle w:val="Hyperlink"/>
            <w:noProof/>
          </w:rPr>
          <w:t>7.5.</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Identification of the conservative Business-as-usual scenario</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_Toc211614759 \h </w:instrText>
        </w:r>
        <w:r w:rsidR="00B42A18">
          <w:rPr>
            <w:noProof/>
            <w:webHidden/>
          </w:rPr>
        </w:r>
        <w:r w:rsidR="00B42A18">
          <w:rPr>
            <w:noProof/>
            <w:webHidden/>
          </w:rPr>
          <w:fldChar w:fldCharType="separate"/>
        </w:r>
        <w:r>
          <w:rPr>
            <w:noProof/>
            <w:webHidden/>
          </w:rPr>
          <w:t>52</w:t>
        </w:r>
        <w:r w:rsidR="00B42A18">
          <w:rPr>
            <w:noProof/>
            <w:webHidden/>
          </w:rPr>
          <w:fldChar w:fldCharType="end"/>
        </w:r>
      </w:hyperlink>
    </w:p>
    <w:p w14:paraId="00EBD399" w14:textId="2DB3F17B" w:rsidR="00B42A18" w:rsidRDefault="00302468" w:rsidP="00B42A18">
      <w:pPr>
        <w:pStyle w:val="TOC3"/>
        <w:rPr>
          <w:rFonts w:asciiTheme="minorHAnsi" w:eastAsiaTheme="minorEastAsia" w:hAnsiTheme="minorHAnsi" w:cstheme="minorBidi"/>
          <w:noProof/>
          <w:sz w:val="22"/>
          <w:szCs w:val="22"/>
          <w:lang w:val="en-US" w:eastAsia="zh-CN"/>
        </w:rPr>
      </w:pPr>
      <w:hyperlink w:anchor="_Toc211614760" w:history="1">
        <w:r w:rsidR="00B42A18" w:rsidRPr="00D22CEB">
          <w:rPr>
            <w:rStyle w:val="Hyperlink"/>
            <w:noProof/>
          </w:rPr>
          <w:t>7.5.1.</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Calculation of the conservative Business-as-usual emissions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_Toc211614760 \h </w:instrText>
        </w:r>
        <w:r w:rsidR="00B42A18">
          <w:rPr>
            <w:noProof/>
            <w:webHidden/>
          </w:rPr>
        </w:r>
        <w:r w:rsidR="00B42A18">
          <w:rPr>
            <w:noProof/>
            <w:webHidden/>
          </w:rPr>
          <w:fldChar w:fldCharType="separate"/>
        </w:r>
        <w:r>
          <w:rPr>
            <w:noProof/>
            <w:webHidden/>
          </w:rPr>
          <w:t>53</w:t>
        </w:r>
        <w:r w:rsidR="00B42A18">
          <w:rPr>
            <w:noProof/>
            <w:webHidden/>
          </w:rPr>
          <w:fldChar w:fldCharType="end"/>
        </w:r>
      </w:hyperlink>
    </w:p>
    <w:p w14:paraId="7221583D" w14:textId="2443BFC7" w:rsidR="00B42A18" w:rsidRDefault="00302468" w:rsidP="00B42A18">
      <w:pPr>
        <w:pStyle w:val="TOC2"/>
        <w:rPr>
          <w:rFonts w:asciiTheme="minorHAnsi" w:eastAsiaTheme="minorEastAsia" w:hAnsiTheme="minorHAnsi" w:cstheme="minorBidi"/>
          <w:noProof/>
          <w:sz w:val="22"/>
          <w:szCs w:val="22"/>
          <w:lang w:val="en-US" w:eastAsia="zh-CN"/>
        </w:rPr>
      </w:pPr>
      <w:hyperlink w:anchor="_Toc211614761" w:history="1">
        <w:r w:rsidR="00B42A18" w:rsidRPr="00D22CEB">
          <w:rPr>
            <w:rStyle w:val="Hyperlink"/>
            <w:noProof/>
          </w:rPr>
          <w:t>7.6.</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Comparison of crediting baselines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_Toc211614761 \h </w:instrText>
        </w:r>
        <w:r w:rsidR="00B42A18">
          <w:rPr>
            <w:noProof/>
            <w:webHidden/>
          </w:rPr>
        </w:r>
        <w:r w:rsidR="00B42A18">
          <w:rPr>
            <w:noProof/>
            <w:webHidden/>
          </w:rPr>
          <w:fldChar w:fldCharType="separate"/>
        </w:r>
        <w:r>
          <w:rPr>
            <w:noProof/>
            <w:webHidden/>
          </w:rPr>
          <w:t>56</w:t>
        </w:r>
        <w:r w:rsidR="00B42A18">
          <w:rPr>
            <w:noProof/>
            <w:webHidden/>
          </w:rPr>
          <w:fldChar w:fldCharType="end"/>
        </w:r>
      </w:hyperlink>
    </w:p>
    <w:p w14:paraId="04431D31" w14:textId="4CF26129"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62" w:history="1">
        <w:r w:rsidR="00B42A18" w:rsidRPr="00D22CEB">
          <w:rPr>
            <w:rStyle w:val="Hyperlink"/>
            <w:noProof/>
          </w:rPr>
          <w:t>8.</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Project scenario</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_Toc211614762 \h </w:instrText>
        </w:r>
        <w:r w:rsidR="00B42A18">
          <w:rPr>
            <w:noProof/>
            <w:webHidden/>
          </w:rPr>
        </w:r>
        <w:r w:rsidR="00B42A18">
          <w:rPr>
            <w:noProof/>
            <w:webHidden/>
          </w:rPr>
          <w:fldChar w:fldCharType="separate"/>
        </w:r>
        <w:r>
          <w:rPr>
            <w:noProof/>
            <w:webHidden/>
          </w:rPr>
          <w:t>57</w:t>
        </w:r>
        <w:r w:rsidR="00B42A18">
          <w:rPr>
            <w:noProof/>
            <w:webHidden/>
          </w:rPr>
          <w:fldChar w:fldCharType="end"/>
        </w:r>
      </w:hyperlink>
    </w:p>
    <w:p w14:paraId="1DC39793" w14:textId="002110C8" w:rsidR="00B42A18" w:rsidRDefault="00302468" w:rsidP="00B42A18">
      <w:pPr>
        <w:pStyle w:val="TOC2"/>
        <w:rPr>
          <w:rFonts w:asciiTheme="minorHAnsi" w:eastAsiaTheme="minorEastAsia" w:hAnsiTheme="minorHAnsi" w:cstheme="minorBidi"/>
          <w:noProof/>
          <w:sz w:val="22"/>
          <w:szCs w:val="22"/>
          <w:lang w:val="en-US" w:eastAsia="zh-CN"/>
        </w:rPr>
      </w:pPr>
      <w:hyperlink w:anchor="_Toc211614763" w:history="1">
        <w:r w:rsidR="00B42A18" w:rsidRPr="00D22CEB">
          <w:rPr>
            <w:rStyle w:val="Hyperlink"/>
            <w:noProof/>
          </w:rPr>
          <w:t>8.1.</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Calculation of project emissions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_Toc211614763 \h </w:instrText>
        </w:r>
        <w:r w:rsidR="00B42A18">
          <w:rPr>
            <w:noProof/>
            <w:webHidden/>
          </w:rPr>
        </w:r>
        <w:r w:rsidR="00B42A18">
          <w:rPr>
            <w:noProof/>
            <w:webHidden/>
          </w:rPr>
          <w:fldChar w:fldCharType="separate"/>
        </w:r>
        <w:r>
          <w:rPr>
            <w:noProof/>
            <w:webHidden/>
          </w:rPr>
          <w:t>57</w:t>
        </w:r>
        <w:r w:rsidR="00B42A18">
          <w:rPr>
            <w:noProof/>
            <w:webHidden/>
          </w:rPr>
          <w:fldChar w:fldCharType="end"/>
        </w:r>
      </w:hyperlink>
    </w:p>
    <w:p w14:paraId="739AB3C6" w14:textId="3F67927A" w:rsidR="00B42A18" w:rsidRDefault="00302468" w:rsidP="00B42A18">
      <w:pPr>
        <w:pStyle w:val="TOC3"/>
        <w:rPr>
          <w:rFonts w:asciiTheme="minorHAnsi" w:eastAsiaTheme="minorEastAsia" w:hAnsiTheme="minorHAnsi" w:cstheme="minorBidi"/>
          <w:noProof/>
          <w:sz w:val="22"/>
          <w:szCs w:val="22"/>
          <w:lang w:val="en-US" w:eastAsia="zh-CN"/>
        </w:rPr>
      </w:pPr>
      <w:hyperlink w:anchor="_Toc211614764" w:history="1">
        <w:r w:rsidR="00B42A18" w:rsidRPr="00D22CEB">
          <w:rPr>
            <w:rStyle w:val="Hyperlink"/>
            <w:noProof/>
          </w:rPr>
          <w:t>8.1.1.</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Project emissions from electricity consumption</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_Toc211614764 \h </w:instrText>
        </w:r>
        <w:r w:rsidR="00B42A18">
          <w:rPr>
            <w:noProof/>
            <w:webHidden/>
          </w:rPr>
        </w:r>
        <w:r w:rsidR="00B42A18">
          <w:rPr>
            <w:noProof/>
            <w:webHidden/>
          </w:rPr>
          <w:fldChar w:fldCharType="separate"/>
        </w:r>
        <w:r>
          <w:rPr>
            <w:noProof/>
            <w:webHidden/>
          </w:rPr>
          <w:t>57</w:t>
        </w:r>
        <w:r w:rsidR="00B42A18">
          <w:rPr>
            <w:noProof/>
            <w:webHidden/>
          </w:rPr>
          <w:fldChar w:fldCharType="end"/>
        </w:r>
      </w:hyperlink>
    </w:p>
    <w:p w14:paraId="10EF96D0" w14:textId="41837AE0" w:rsidR="00B42A18" w:rsidRDefault="00302468" w:rsidP="00B42A18">
      <w:pPr>
        <w:pStyle w:val="TOC3"/>
        <w:rPr>
          <w:rFonts w:asciiTheme="minorHAnsi" w:eastAsiaTheme="minorEastAsia" w:hAnsiTheme="minorHAnsi" w:cstheme="minorBidi"/>
          <w:noProof/>
          <w:sz w:val="22"/>
          <w:szCs w:val="22"/>
          <w:lang w:val="en-US" w:eastAsia="zh-CN"/>
        </w:rPr>
      </w:pPr>
      <w:hyperlink w:anchor="_Toc211614765" w:history="1">
        <w:r w:rsidR="00B42A18" w:rsidRPr="00D22CEB">
          <w:rPr>
            <w:rStyle w:val="Hyperlink"/>
            <w:noProof/>
          </w:rPr>
          <w:t>8.1.2.</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Project emissions from fossil fuel consumption</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_Toc211614765 \h </w:instrText>
        </w:r>
        <w:r w:rsidR="00B42A18">
          <w:rPr>
            <w:noProof/>
            <w:webHidden/>
          </w:rPr>
        </w:r>
        <w:r w:rsidR="00B42A18">
          <w:rPr>
            <w:noProof/>
            <w:webHidden/>
          </w:rPr>
          <w:fldChar w:fldCharType="separate"/>
        </w:r>
        <w:r>
          <w:rPr>
            <w:noProof/>
            <w:webHidden/>
          </w:rPr>
          <w:t>58</w:t>
        </w:r>
        <w:r w:rsidR="00B42A18">
          <w:rPr>
            <w:noProof/>
            <w:webHidden/>
          </w:rPr>
          <w:fldChar w:fldCharType="end"/>
        </w:r>
      </w:hyperlink>
    </w:p>
    <w:p w14:paraId="527961FC" w14:textId="67B6066A" w:rsidR="00B42A18" w:rsidRDefault="00302468" w:rsidP="00B42A18">
      <w:pPr>
        <w:pStyle w:val="TOC3"/>
        <w:rPr>
          <w:rFonts w:asciiTheme="minorHAnsi" w:eastAsiaTheme="minorEastAsia" w:hAnsiTheme="minorHAnsi" w:cstheme="minorBidi"/>
          <w:noProof/>
          <w:sz w:val="22"/>
          <w:szCs w:val="22"/>
          <w:lang w:val="en-US" w:eastAsia="zh-CN"/>
        </w:rPr>
      </w:pPr>
      <w:hyperlink w:anchor="_Toc211614766" w:history="1">
        <w:r w:rsidR="00B42A18" w:rsidRPr="00D22CEB">
          <w:rPr>
            <w:rStyle w:val="Hyperlink"/>
            <w:noProof/>
          </w:rPr>
          <w:t>8.1.3.</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Project emissions from the distribution of LFG or biomethane to consumers using trucks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_Toc211614766 \h </w:instrText>
        </w:r>
        <w:r w:rsidR="00B42A18">
          <w:rPr>
            <w:noProof/>
            <w:webHidden/>
          </w:rPr>
        </w:r>
        <w:r w:rsidR="00B42A18">
          <w:rPr>
            <w:noProof/>
            <w:webHidden/>
          </w:rPr>
          <w:fldChar w:fldCharType="separate"/>
        </w:r>
        <w:r>
          <w:rPr>
            <w:noProof/>
            <w:webHidden/>
          </w:rPr>
          <w:t>59</w:t>
        </w:r>
        <w:r w:rsidR="00B42A18">
          <w:rPr>
            <w:noProof/>
            <w:webHidden/>
          </w:rPr>
          <w:fldChar w:fldCharType="end"/>
        </w:r>
      </w:hyperlink>
    </w:p>
    <w:p w14:paraId="15B0D1C6" w14:textId="07A4F224" w:rsidR="00B42A18" w:rsidRDefault="00302468" w:rsidP="00B42A18">
      <w:pPr>
        <w:pStyle w:val="TOC3"/>
        <w:rPr>
          <w:rFonts w:asciiTheme="minorHAnsi" w:eastAsiaTheme="minorEastAsia" w:hAnsiTheme="minorHAnsi" w:cstheme="minorBidi"/>
          <w:noProof/>
          <w:sz w:val="22"/>
          <w:szCs w:val="22"/>
          <w:lang w:val="en-US" w:eastAsia="zh-CN"/>
        </w:rPr>
      </w:pPr>
      <w:hyperlink w:anchor="_Toc211614767" w:history="1">
        <w:r w:rsidR="00B42A18" w:rsidRPr="00D22CEB">
          <w:rPr>
            <w:rStyle w:val="Hyperlink"/>
            <w:noProof/>
          </w:rPr>
          <w:t>8.1.4.</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Project emissions from physical leakage due to the supply of LFG or biomethane to consumers through a dedicated pipeline</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_Toc211614767 \h </w:instrText>
        </w:r>
        <w:r w:rsidR="00B42A18">
          <w:rPr>
            <w:noProof/>
            <w:webHidden/>
          </w:rPr>
        </w:r>
        <w:r w:rsidR="00B42A18">
          <w:rPr>
            <w:noProof/>
            <w:webHidden/>
          </w:rPr>
          <w:fldChar w:fldCharType="separate"/>
        </w:r>
        <w:r>
          <w:rPr>
            <w:noProof/>
            <w:webHidden/>
          </w:rPr>
          <w:t>61</w:t>
        </w:r>
        <w:r w:rsidR="00B42A18">
          <w:rPr>
            <w:noProof/>
            <w:webHidden/>
          </w:rPr>
          <w:fldChar w:fldCharType="end"/>
        </w:r>
      </w:hyperlink>
    </w:p>
    <w:p w14:paraId="3B6C4882" w14:textId="7309AEEE" w:rsidR="00B42A18" w:rsidRDefault="00302468" w:rsidP="00B42A18">
      <w:pPr>
        <w:pStyle w:val="TOC2"/>
        <w:rPr>
          <w:rFonts w:asciiTheme="minorHAnsi" w:eastAsiaTheme="minorEastAsia" w:hAnsiTheme="minorHAnsi" w:cstheme="minorBidi"/>
          <w:noProof/>
          <w:sz w:val="22"/>
          <w:szCs w:val="22"/>
          <w:lang w:val="en-US" w:eastAsia="zh-CN"/>
        </w:rPr>
      </w:pPr>
      <w:hyperlink w:anchor="_Toc211614768" w:history="1">
        <w:r w:rsidR="00B42A18" w:rsidRPr="00D22CEB">
          <w:rPr>
            <w:rStyle w:val="Hyperlink"/>
            <w:noProof/>
          </w:rPr>
          <w:t>8.2.</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Project emissions uncertainties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_Toc211614768 \h </w:instrText>
        </w:r>
        <w:r w:rsidR="00B42A18">
          <w:rPr>
            <w:noProof/>
            <w:webHidden/>
          </w:rPr>
        </w:r>
        <w:r w:rsidR="00B42A18">
          <w:rPr>
            <w:noProof/>
            <w:webHidden/>
          </w:rPr>
          <w:fldChar w:fldCharType="separate"/>
        </w:r>
        <w:r>
          <w:rPr>
            <w:noProof/>
            <w:webHidden/>
          </w:rPr>
          <w:t>62</w:t>
        </w:r>
        <w:r w:rsidR="00B42A18">
          <w:rPr>
            <w:noProof/>
            <w:webHidden/>
          </w:rPr>
          <w:fldChar w:fldCharType="end"/>
        </w:r>
      </w:hyperlink>
    </w:p>
    <w:p w14:paraId="44268A2E" w14:textId="7EFD2D0E"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69" w:history="1">
        <w:r w:rsidR="00B42A18" w:rsidRPr="00D22CEB">
          <w:rPr>
            <w:rStyle w:val="Hyperlink"/>
            <w:noProof/>
          </w:rPr>
          <w:t>9.</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Leakage</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_Toc211614769 \h </w:instrText>
        </w:r>
        <w:r w:rsidR="00B42A18">
          <w:rPr>
            <w:noProof/>
            <w:webHidden/>
          </w:rPr>
        </w:r>
        <w:r w:rsidR="00B42A18">
          <w:rPr>
            <w:noProof/>
            <w:webHidden/>
          </w:rPr>
          <w:fldChar w:fldCharType="separate"/>
        </w:r>
        <w:r>
          <w:rPr>
            <w:noProof/>
            <w:webHidden/>
          </w:rPr>
          <w:t>62</w:t>
        </w:r>
        <w:r w:rsidR="00B42A18">
          <w:rPr>
            <w:noProof/>
            <w:webHidden/>
          </w:rPr>
          <w:fldChar w:fldCharType="end"/>
        </w:r>
      </w:hyperlink>
    </w:p>
    <w:p w14:paraId="158FD038" w14:textId="5C2F1687"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70" w:history="1">
        <w:r w:rsidR="00B42A18" w:rsidRPr="00D22CEB">
          <w:rPr>
            <w:rStyle w:val="Hyperlink"/>
            <w:noProof/>
          </w:rPr>
          <w:t>10.</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Emission reductions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_Toc211614770 \h </w:instrText>
        </w:r>
        <w:r w:rsidR="00B42A18">
          <w:rPr>
            <w:noProof/>
            <w:webHidden/>
          </w:rPr>
        </w:r>
        <w:r w:rsidR="00B42A18">
          <w:rPr>
            <w:noProof/>
            <w:webHidden/>
          </w:rPr>
          <w:fldChar w:fldCharType="separate"/>
        </w:r>
        <w:r>
          <w:rPr>
            <w:noProof/>
            <w:webHidden/>
          </w:rPr>
          <w:t>62</w:t>
        </w:r>
        <w:r w:rsidR="00B42A18">
          <w:rPr>
            <w:noProof/>
            <w:webHidden/>
          </w:rPr>
          <w:fldChar w:fldCharType="end"/>
        </w:r>
      </w:hyperlink>
    </w:p>
    <w:p w14:paraId="4933AF16" w14:textId="6DFF52A8"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71" w:history="1">
        <w:r w:rsidR="00B42A18" w:rsidRPr="00D22CEB">
          <w:rPr>
            <w:rStyle w:val="Hyperlink"/>
            <w:noProof/>
          </w:rPr>
          <w:t>11.</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Avoidance of double counting</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_Toc211614771 \h </w:instrText>
        </w:r>
        <w:r w:rsidR="00B42A18">
          <w:rPr>
            <w:noProof/>
            <w:webHidden/>
          </w:rPr>
        </w:r>
        <w:r w:rsidR="00B42A18">
          <w:rPr>
            <w:noProof/>
            <w:webHidden/>
          </w:rPr>
          <w:fldChar w:fldCharType="separate"/>
        </w:r>
        <w:r>
          <w:rPr>
            <w:noProof/>
            <w:webHidden/>
          </w:rPr>
          <w:t>63</w:t>
        </w:r>
        <w:r w:rsidR="00B42A18">
          <w:rPr>
            <w:noProof/>
            <w:webHidden/>
          </w:rPr>
          <w:fldChar w:fldCharType="end"/>
        </w:r>
      </w:hyperlink>
    </w:p>
    <w:p w14:paraId="5ED0C86A" w14:textId="2E19652B"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72" w:history="1">
        <w:r w:rsidR="00B42A18" w:rsidRPr="00D22CEB">
          <w:rPr>
            <w:rStyle w:val="Hyperlink"/>
            <w:noProof/>
          </w:rPr>
          <w:t>12.</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Demonstration of alignment with the policies, options and implementation plans with regard to the NDC and LT-LEDS of the host Party and the long-term temperature goal of the Paris Agreement and long-term goals of the Paris Agreement</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_Toc211614772 \h </w:instrText>
        </w:r>
        <w:r w:rsidR="00B42A18">
          <w:rPr>
            <w:noProof/>
            <w:webHidden/>
          </w:rPr>
        </w:r>
        <w:r w:rsidR="00B42A18">
          <w:rPr>
            <w:noProof/>
            <w:webHidden/>
          </w:rPr>
          <w:fldChar w:fldCharType="separate"/>
        </w:r>
        <w:r>
          <w:rPr>
            <w:noProof/>
            <w:webHidden/>
          </w:rPr>
          <w:t>64</w:t>
        </w:r>
        <w:r w:rsidR="00B42A18">
          <w:rPr>
            <w:noProof/>
            <w:webHidden/>
          </w:rPr>
          <w:fldChar w:fldCharType="end"/>
        </w:r>
      </w:hyperlink>
    </w:p>
    <w:p w14:paraId="0AA57A28" w14:textId="1862A7F5"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73" w:history="1">
        <w:r w:rsidR="00B42A18" w:rsidRPr="00D22CEB">
          <w:rPr>
            <w:rStyle w:val="Hyperlink"/>
            <w:noProof/>
          </w:rPr>
          <w:t>13.</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Data and parameters not monitored</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_Toc211614773 \h </w:instrText>
        </w:r>
        <w:r w:rsidR="00B42A18">
          <w:rPr>
            <w:noProof/>
            <w:webHidden/>
          </w:rPr>
        </w:r>
        <w:r w:rsidR="00B42A18">
          <w:rPr>
            <w:noProof/>
            <w:webHidden/>
          </w:rPr>
          <w:fldChar w:fldCharType="separate"/>
        </w:r>
        <w:r>
          <w:rPr>
            <w:noProof/>
            <w:webHidden/>
          </w:rPr>
          <w:t>64</w:t>
        </w:r>
        <w:r w:rsidR="00B42A18">
          <w:rPr>
            <w:noProof/>
            <w:webHidden/>
          </w:rPr>
          <w:fldChar w:fldCharType="end"/>
        </w:r>
      </w:hyperlink>
    </w:p>
    <w:p w14:paraId="094BF660" w14:textId="69EFEEEB" w:rsidR="00B42A18" w:rsidRDefault="00302468" w:rsidP="00B42A18">
      <w:pPr>
        <w:pStyle w:val="TOC1"/>
        <w:rPr>
          <w:rFonts w:asciiTheme="minorHAnsi" w:eastAsiaTheme="minorEastAsia" w:hAnsiTheme="minorHAnsi" w:cstheme="minorBidi"/>
          <w:b w:val="0"/>
          <w:caps w:val="0"/>
          <w:noProof/>
          <w:sz w:val="22"/>
          <w:szCs w:val="22"/>
          <w:lang w:val="en-US" w:eastAsia="zh-CN"/>
        </w:rPr>
      </w:pPr>
      <w:hyperlink w:anchor="_Toc211614774" w:history="1">
        <w:r w:rsidR="00B42A18" w:rsidRPr="00D22CEB">
          <w:rPr>
            <w:rStyle w:val="Hyperlink"/>
            <w:noProof/>
          </w:rPr>
          <w:t>14.</w:t>
        </w:r>
        <w:r w:rsidR="00B42A18">
          <w:rPr>
            <w:rFonts w:asciiTheme="minorHAnsi" w:eastAsiaTheme="minorEastAsia" w:hAnsiTheme="minorHAnsi" w:cstheme="minorBidi"/>
            <w:b w:val="0"/>
            <w:caps w:val="0"/>
            <w:noProof/>
            <w:sz w:val="22"/>
            <w:szCs w:val="22"/>
            <w:lang w:val="en-US" w:eastAsia="zh-CN"/>
          </w:rPr>
          <w:tab/>
        </w:r>
        <w:r w:rsidR="00B42A18" w:rsidRPr="00D22CEB">
          <w:rPr>
            <w:rStyle w:val="Hyperlink"/>
            <w:noProof/>
          </w:rPr>
          <w:t>Data and parameters monitored</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_Toc211614774 \h </w:instrText>
        </w:r>
        <w:r w:rsidR="00B42A18">
          <w:rPr>
            <w:noProof/>
            <w:webHidden/>
          </w:rPr>
        </w:r>
        <w:r w:rsidR="00B42A18">
          <w:rPr>
            <w:noProof/>
            <w:webHidden/>
          </w:rPr>
          <w:fldChar w:fldCharType="separate"/>
        </w:r>
        <w:r>
          <w:rPr>
            <w:noProof/>
            <w:webHidden/>
          </w:rPr>
          <w:t>70</w:t>
        </w:r>
        <w:r w:rsidR="00B42A18">
          <w:rPr>
            <w:noProof/>
            <w:webHidden/>
          </w:rPr>
          <w:fldChar w:fldCharType="end"/>
        </w:r>
      </w:hyperlink>
    </w:p>
    <w:p w14:paraId="423769F0" w14:textId="00B2EE16" w:rsidR="00B42A18" w:rsidRDefault="00302468" w:rsidP="00B42A18">
      <w:pPr>
        <w:pStyle w:val="TOC2"/>
        <w:rPr>
          <w:rFonts w:asciiTheme="minorHAnsi" w:eastAsiaTheme="minorEastAsia" w:hAnsiTheme="minorHAnsi" w:cstheme="minorBidi"/>
          <w:noProof/>
          <w:sz w:val="22"/>
          <w:szCs w:val="22"/>
          <w:lang w:val="en-US" w:eastAsia="zh-CN"/>
        </w:rPr>
      </w:pPr>
      <w:hyperlink w:anchor="_Toc211614775" w:history="1">
        <w:r w:rsidR="00B42A18" w:rsidRPr="00D22CEB">
          <w:rPr>
            <w:rStyle w:val="Hyperlink"/>
            <w:noProof/>
          </w:rPr>
          <w:t>14.1.</w:t>
        </w:r>
        <w:r w:rsidR="00B42A18">
          <w:rPr>
            <w:rFonts w:asciiTheme="minorHAnsi" w:eastAsiaTheme="minorEastAsia" w:hAnsiTheme="minorHAnsi" w:cstheme="minorBidi"/>
            <w:noProof/>
            <w:sz w:val="22"/>
            <w:szCs w:val="22"/>
            <w:lang w:val="en-US" w:eastAsia="zh-CN"/>
          </w:rPr>
          <w:tab/>
        </w:r>
        <w:r w:rsidR="00B42A18" w:rsidRPr="00D22CEB">
          <w:rPr>
            <w:rStyle w:val="Hyperlink"/>
            <w:noProof/>
          </w:rPr>
          <w:t>Frequency of submission of monitoring reports</w:t>
        </w:r>
        <w:r w:rsidR="00B42A18">
          <w:rPr>
            <w:noProof/>
            <w:webHidden/>
          </w:rPr>
          <w:tab/>
        </w:r>
        <w:r w:rsidR="00B42A18">
          <w:rPr>
            <w:rStyle w:val="Hyperlink"/>
            <w:noProof/>
          </w:rPr>
          <w:tab/>
        </w:r>
        <w:r w:rsidR="00B42A18">
          <w:rPr>
            <w:noProof/>
            <w:webHidden/>
          </w:rPr>
          <w:fldChar w:fldCharType="begin"/>
        </w:r>
        <w:r w:rsidR="00B42A18">
          <w:rPr>
            <w:noProof/>
            <w:webHidden/>
          </w:rPr>
          <w:instrText xml:space="preserve"> PAGEREF _Toc211614775 \h </w:instrText>
        </w:r>
        <w:r w:rsidR="00B42A18">
          <w:rPr>
            <w:noProof/>
            <w:webHidden/>
          </w:rPr>
        </w:r>
        <w:r w:rsidR="00B42A18">
          <w:rPr>
            <w:noProof/>
            <w:webHidden/>
          </w:rPr>
          <w:fldChar w:fldCharType="separate"/>
        </w:r>
        <w:r>
          <w:rPr>
            <w:noProof/>
            <w:webHidden/>
          </w:rPr>
          <w:t>83</w:t>
        </w:r>
        <w:r w:rsidR="00B42A18">
          <w:rPr>
            <w:noProof/>
            <w:webHidden/>
          </w:rPr>
          <w:fldChar w:fldCharType="end"/>
        </w:r>
      </w:hyperlink>
    </w:p>
    <w:p w14:paraId="62E7E457" w14:textId="07041965" w:rsidR="00B42A18" w:rsidRDefault="00302468" w:rsidP="00B42A18">
      <w:pPr>
        <w:pStyle w:val="TOC6"/>
        <w:rPr>
          <w:rFonts w:asciiTheme="minorHAnsi" w:eastAsiaTheme="minorEastAsia" w:hAnsiTheme="minorHAnsi" w:cstheme="minorBidi"/>
          <w:b w:val="0"/>
          <w:caps w:val="0"/>
          <w:sz w:val="22"/>
          <w:szCs w:val="22"/>
          <w:lang w:val="en-US" w:eastAsia="zh-CN"/>
        </w:rPr>
      </w:pPr>
      <w:hyperlink w:anchor="_Toc211614776" w:history="1">
        <w:r w:rsidR="00B42A18" w:rsidRPr="00D22CEB">
          <w:rPr>
            <w:rStyle w:val="Hyperlink"/>
          </w:rPr>
          <w:t>Appendix.</w:t>
        </w:r>
        <w:r w:rsidR="00B42A18">
          <w:rPr>
            <w:rFonts w:asciiTheme="minorHAnsi" w:eastAsiaTheme="minorEastAsia" w:hAnsiTheme="minorHAnsi" w:cstheme="minorBidi"/>
            <w:b w:val="0"/>
            <w:caps w:val="0"/>
            <w:sz w:val="22"/>
            <w:szCs w:val="22"/>
            <w:lang w:val="en-US" w:eastAsia="zh-CN"/>
          </w:rPr>
          <w:tab/>
        </w:r>
        <w:r w:rsidR="00B42A18" w:rsidRPr="00D22CEB">
          <w:rPr>
            <w:rStyle w:val="Hyperlink"/>
          </w:rPr>
          <w:t>Identification and avoidance or minimization of leakage</w:t>
        </w:r>
        <w:r w:rsidR="00B42A18">
          <w:rPr>
            <w:webHidden/>
          </w:rPr>
          <w:tab/>
        </w:r>
        <w:r w:rsidR="00B42A18">
          <w:rPr>
            <w:rStyle w:val="Hyperlink"/>
          </w:rPr>
          <w:tab/>
        </w:r>
        <w:r w:rsidR="00B42A18">
          <w:rPr>
            <w:webHidden/>
          </w:rPr>
          <w:fldChar w:fldCharType="begin"/>
        </w:r>
        <w:r w:rsidR="00B42A18">
          <w:rPr>
            <w:webHidden/>
          </w:rPr>
          <w:instrText xml:space="preserve"> PAGEREF _Toc211614776 \h </w:instrText>
        </w:r>
        <w:r w:rsidR="00B42A18">
          <w:rPr>
            <w:webHidden/>
          </w:rPr>
        </w:r>
        <w:r w:rsidR="00B42A18">
          <w:rPr>
            <w:webHidden/>
          </w:rPr>
          <w:fldChar w:fldCharType="separate"/>
        </w:r>
        <w:r>
          <w:rPr>
            <w:webHidden/>
          </w:rPr>
          <w:t>84</w:t>
        </w:r>
        <w:r w:rsidR="00B42A18">
          <w:rPr>
            <w:webHidden/>
          </w:rPr>
          <w:fldChar w:fldCharType="end"/>
        </w:r>
      </w:hyperlink>
    </w:p>
    <w:p w14:paraId="286D70F6" w14:textId="752FDABC" w:rsidR="00BE2CAB" w:rsidRPr="00BE2CAB" w:rsidRDefault="00B42A18" w:rsidP="00F46E0F">
      <w:r>
        <w:fldChar w:fldCharType="end"/>
      </w:r>
    </w:p>
    <w:p w14:paraId="2A87ADBE" w14:textId="77777777" w:rsidR="00627EF3" w:rsidRDefault="00627EF3" w:rsidP="00E66E80">
      <w:pPr>
        <w:pStyle w:val="SDMHead1"/>
        <w:tabs>
          <w:tab w:val="clear" w:pos="709"/>
        </w:tabs>
        <w:ind w:left="360" w:hanging="360"/>
        <w:sectPr w:rsidR="00627EF3" w:rsidSect="009532CC">
          <w:headerReference w:type="even" r:id="rId13"/>
          <w:headerReference w:type="default" r:id="rId14"/>
          <w:footerReference w:type="default" r:id="rId15"/>
          <w:headerReference w:type="first" r:id="rId16"/>
          <w:footnotePr>
            <w:numRestart w:val="eachSect"/>
          </w:footnotePr>
          <w:type w:val="continuous"/>
          <w:pgSz w:w="11907" w:h="16840" w:code="9"/>
          <w:pgMar w:top="2552" w:right="1134" w:bottom="1418" w:left="1418" w:header="851" w:footer="567" w:gutter="0"/>
          <w:cols w:space="720"/>
          <w:formProt w:val="0"/>
          <w:docGrid w:linePitch="299"/>
        </w:sectPr>
      </w:pPr>
      <w:bookmarkStart w:id="10" w:name="_Toc346039898"/>
      <w:bookmarkStart w:id="11" w:name="_Toc352521228"/>
      <w:bookmarkStart w:id="12" w:name="_Toc353201618"/>
      <w:bookmarkStart w:id="13" w:name="_Toc354405683"/>
      <w:bookmarkStart w:id="14" w:name="_Toc354405697"/>
      <w:bookmarkStart w:id="15" w:name="_Toc354503028"/>
      <w:bookmarkStart w:id="16" w:name="_Toc211555294"/>
      <w:bookmarkStart w:id="17" w:name="_Toc211598946"/>
    </w:p>
    <w:p w14:paraId="63D574C5" w14:textId="60B49F80" w:rsidR="004334D2" w:rsidRDefault="004334D2" w:rsidP="001C2134">
      <w:pPr>
        <w:pStyle w:val="SDMHead1"/>
      </w:pPr>
      <w:bookmarkStart w:id="18" w:name="_Toc211599448"/>
      <w:bookmarkStart w:id="19" w:name="_Toc211612244"/>
      <w:bookmarkStart w:id="20" w:name="_Toc211614691"/>
      <w:bookmarkStart w:id="21" w:name="_Toc211614734"/>
      <w:r w:rsidRPr="001C2134">
        <w:lastRenderedPageBreak/>
        <w:t>Introduction</w:t>
      </w:r>
      <w:bookmarkEnd w:id="10"/>
      <w:bookmarkEnd w:id="11"/>
      <w:bookmarkEnd w:id="12"/>
      <w:bookmarkEnd w:id="13"/>
      <w:bookmarkEnd w:id="14"/>
      <w:bookmarkEnd w:id="15"/>
      <w:bookmarkEnd w:id="16"/>
      <w:bookmarkEnd w:id="17"/>
      <w:bookmarkEnd w:id="18"/>
      <w:bookmarkEnd w:id="19"/>
      <w:bookmarkEnd w:id="20"/>
      <w:bookmarkEnd w:id="21"/>
    </w:p>
    <w:p w14:paraId="0EED8D00" w14:textId="77777777" w:rsidR="004334D2" w:rsidRDefault="004334D2" w:rsidP="001C2134">
      <w:pPr>
        <w:pStyle w:val="SDMHead2"/>
      </w:pPr>
      <w:bookmarkStart w:id="22" w:name="_Toc346039899"/>
      <w:bookmarkStart w:id="23" w:name="_Toc352521229"/>
      <w:bookmarkStart w:id="24" w:name="_Toc353201619"/>
      <w:bookmarkStart w:id="25" w:name="_Toc354405684"/>
      <w:bookmarkStart w:id="26" w:name="_Toc354405698"/>
      <w:bookmarkStart w:id="27" w:name="_Toc354503029"/>
      <w:bookmarkStart w:id="28" w:name="_Toc211555295"/>
      <w:bookmarkStart w:id="29" w:name="_Toc211598947"/>
      <w:bookmarkStart w:id="30" w:name="_Toc211599449"/>
      <w:bookmarkStart w:id="31" w:name="_Toc211612245"/>
      <w:bookmarkStart w:id="32" w:name="_Toc211614692"/>
      <w:bookmarkStart w:id="33" w:name="_Toc211614735"/>
      <w:r>
        <w:t>Scope</w:t>
      </w:r>
      <w:bookmarkEnd w:id="22"/>
      <w:bookmarkEnd w:id="23"/>
      <w:bookmarkEnd w:id="24"/>
      <w:bookmarkEnd w:id="25"/>
      <w:bookmarkEnd w:id="26"/>
      <w:bookmarkEnd w:id="27"/>
      <w:bookmarkEnd w:id="28"/>
      <w:bookmarkEnd w:id="29"/>
      <w:bookmarkEnd w:id="30"/>
      <w:bookmarkEnd w:id="31"/>
      <w:bookmarkEnd w:id="32"/>
      <w:bookmarkEnd w:id="33"/>
    </w:p>
    <w:p w14:paraId="4A46EDE6" w14:textId="3BDCEB16" w:rsidR="004334D2" w:rsidRDefault="004334D2" w:rsidP="00C67B31">
      <w:pPr>
        <w:pStyle w:val="SDMPara"/>
        <w:numPr>
          <w:ilvl w:val="0"/>
          <w:numId w:val="20"/>
        </w:numPr>
      </w:pPr>
      <w:bookmarkStart w:id="34" w:name="_Toc346039900"/>
      <w:bookmarkStart w:id="35" w:name="_Toc352521230"/>
      <w:bookmarkStart w:id="36" w:name="_Toc353201620"/>
      <w:bookmarkStart w:id="37" w:name="_Toc354405685"/>
      <w:bookmarkStart w:id="38" w:name="_Toc354405699"/>
      <w:bookmarkStart w:id="39" w:name="_Toc354503030"/>
      <w:r>
        <w:t xml:space="preserve">This </w:t>
      </w:r>
      <w:r w:rsidR="008A0B90">
        <w:t>mechanism methodology</w:t>
      </w:r>
      <w:r>
        <w:t xml:space="preserve"> applies to </w:t>
      </w:r>
      <w:r w:rsidDel="00463592">
        <w:t xml:space="preserve">Article 6.4 </w:t>
      </w:r>
      <w:r>
        <w:t>activities</w:t>
      </w:r>
      <w:r>
        <w:rPr>
          <w:rStyle w:val="FootnoteReference"/>
        </w:rPr>
        <w:footnoteReference w:id="2"/>
      </w:r>
      <w:r>
        <w:t xml:space="preserve"> that capture landfill gas (LFG) from a solid waste disposal site (SWDS) and (a) flare it, and/or (b) use it to produce energy (i.e.</w:t>
      </w:r>
      <w:r w:rsidR="00E735EA">
        <w:t>,</w:t>
      </w:r>
      <w:r>
        <w:t xml:space="preserve"> power or heat), and/or (c) use it to supply consumers through a natural gas distribution network, dedicated pipeline or trucks.</w:t>
      </w:r>
      <w:r>
        <w:rPr>
          <w:rStyle w:val="FootnoteReference"/>
        </w:rPr>
        <w:footnoteReference w:id="3"/>
      </w:r>
      <w:r>
        <w:t xml:space="preserve"> GHGs are reduced as a result of methane destruction and, where applicable, displacement of a more GHG intensive energy source.</w:t>
      </w:r>
    </w:p>
    <w:p w14:paraId="1E21738A" w14:textId="77777777" w:rsidR="004334D2" w:rsidRDefault="004334D2" w:rsidP="001C2134">
      <w:pPr>
        <w:pStyle w:val="SDMHead2"/>
      </w:pPr>
      <w:bookmarkStart w:id="40" w:name="_Toc201921231"/>
      <w:bookmarkStart w:id="41" w:name="_Toc211555296"/>
      <w:bookmarkStart w:id="42" w:name="_Toc211598948"/>
      <w:bookmarkStart w:id="43" w:name="_Toc211599450"/>
      <w:bookmarkStart w:id="44" w:name="_Toc211612246"/>
      <w:bookmarkStart w:id="45" w:name="_Toc211614693"/>
      <w:bookmarkStart w:id="46" w:name="_Toc211614736"/>
      <w:r>
        <w:t>Entry into force</w:t>
      </w:r>
      <w:bookmarkEnd w:id="40"/>
      <w:r>
        <w:t xml:space="preserve"> </w:t>
      </w:r>
      <w:r w:rsidRPr="001C2134">
        <w:t>and</w:t>
      </w:r>
      <w:r>
        <w:t xml:space="preserve"> validity</w:t>
      </w:r>
      <w:bookmarkEnd w:id="41"/>
      <w:bookmarkEnd w:id="42"/>
      <w:bookmarkEnd w:id="43"/>
      <w:bookmarkEnd w:id="44"/>
      <w:bookmarkEnd w:id="45"/>
      <w:bookmarkEnd w:id="46"/>
    </w:p>
    <w:p w14:paraId="4BD33E7C" w14:textId="160211F1" w:rsidR="008E0C74" w:rsidRDefault="004334D2" w:rsidP="00E66E80">
      <w:pPr>
        <w:pStyle w:val="SDMPara"/>
        <w:rPr>
          <w:iCs/>
        </w:rPr>
      </w:pPr>
      <w:r w:rsidRPr="004F6B3C">
        <w:rPr>
          <w:iCs/>
        </w:rPr>
        <w:t xml:space="preserve">This </w:t>
      </w:r>
      <w:r w:rsidR="008A0B90">
        <w:rPr>
          <w:iCs/>
        </w:rPr>
        <w:t>mechanism methodology</w:t>
      </w:r>
      <w:r w:rsidR="008E759E" w:rsidRPr="004F6B3C">
        <w:rPr>
          <w:iCs/>
        </w:rPr>
        <w:t xml:space="preserve"> </w:t>
      </w:r>
      <w:r w:rsidRPr="004F6B3C">
        <w:rPr>
          <w:iCs/>
        </w:rPr>
        <w:t xml:space="preserve">enters into force on </w:t>
      </w:r>
      <w:r w:rsidR="00D2639D">
        <w:rPr>
          <w:iCs/>
        </w:rPr>
        <w:t>30 October 2025</w:t>
      </w:r>
      <w:r w:rsidR="008E0C74">
        <w:rPr>
          <w:iCs/>
        </w:rPr>
        <w:t>.</w:t>
      </w:r>
    </w:p>
    <w:p w14:paraId="045A2697" w14:textId="4170D4BA" w:rsidR="004334D2" w:rsidRPr="008E0C74" w:rsidRDefault="008E0C74" w:rsidP="00E66E80">
      <w:pPr>
        <w:pStyle w:val="SDMPara"/>
        <w:rPr>
          <w:iCs/>
        </w:rPr>
      </w:pPr>
      <w:r w:rsidRPr="008E0C74">
        <w:rPr>
          <w:iCs/>
        </w:rPr>
        <w:t xml:space="preserve">This </w:t>
      </w:r>
      <w:r w:rsidR="008A0B90">
        <w:rPr>
          <w:iCs/>
        </w:rPr>
        <w:t>mechanism methodology</w:t>
      </w:r>
      <w:r w:rsidR="004334D2" w:rsidRPr="008E0C74">
        <w:rPr>
          <w:iCs/>
        </w:rPr>
        <w:t xml:space="preserve"> </w:t>
      </w:r>
      <w:r w:rsidR="008E759E" w:rsidRPr="008E0C74">
        <w:rPr>
          <w:iCs/>
        </w:rPr>
        <w:t>remains</w:t>
      </w:r>
      <w:r w:rsidR="008E759E" w:rsidRPr="008E0C74" w:rsidDel="000603C1">
        <w:rPr>
          <w:iCs/>
        </w:rPr>
        <w:t xml:space="preserve"> </w:t>
      </w:r>
      <w:r w:rsidR="004334D2" w:rsidRPr="008E0C74">
        <w:rPr>
          <w:iCs/>
        </w:rPr>
        <w:t xml:space="preserve">valid for </w:t>
      </w:r>
      <w:r w:rsidR="00B110CC" w:rsidRPr="008E0C74">
        <w:rPr>
          <w:iCs/>
        </w:rPr>
        <w:t>five</w:t>
      </w:r>
      <w:r w:rsidR="004334D2" w:rsidRPr="008E0C74" w:rsidDel="000603C1">
        <w:rPr>
          <w:iCs/>
        </w:rPr>
        <w:t xml:space="preserve"> </w:t>
      </w:r>
      <w:r w:rsidR="004334D2" w:rsidRPr="008E0C74">
        <w:rPr>
          <w:iCs/>
        </w:rPr>
        <w:t xml:space="preserve">years, until </w:t>
      </w:r>
      <w:r w:rsidR="00C1524C">
        <w:rPr>
          <w:iCs/>
        </w:rPr>
        <w:t>29</w:t>
      </w:r>
      <w:r w:rsidR="00D2639D">
        <w:rPr>
          <w:iCs/>
        </w:rPr>
        <w:t xml:space="preserve"> October 2030</w:t>
      </w:r>
      <w:r w:rsidRPr="008E0C74">
        <w:rPr>
          <w:iCs/>
        </w:rPr>
        <w:t xml:space="preserve">, unless </w:t>
      </w:r>
      <w:r w:rsidR="004334D2" w:rsidRPr="008E0C74" w:rsidDel="000603C1">
        <w:rPr>
          <w:iCs/>
        </w:rPr>
        <w:t xml:space="preserve">an earlier date applies if the </w:t>
      </w:r>
      <w:r w:rsidR="008A0B90">
        <w:rPr>
          <w:iCs/>
        </w:rPr>
        <w:t>mechanism methodology</w:t>
      </w:r>
      <w:r w:rsidR="004334D2" w:rsidRPr="008E0C74" w:rsidDel="000603C1">
        <w:rPr>
          <w:iCs/>
        </w:rPr>
        <w:t xml:space="preserve"> is </w:t>
      </w:r>
      <w:r w:rsidR="004334D2" w:rsidRPr="008E0C74">
        <w:rPr>
          <w:iCs/>
        </w:rPr>
        <w:t>revised or withdrawn in accordance with the “Procedure: Development, revision and clarification of methodologies and methodological tools” (A6.4-PROC-METH-001).</w:t>
      </w:r>
      <w:r w:rsidR="0001164E">
        <w:rPr>
          <w:rStyle w:val="FootnoteReference"/>
        </w:rPr>
        <w:footnoteReference w:id="4"/>
      </w:r>
    </w:p>
    <w:p w14:paraId="11871DD7" w14:textId="77777777" w:rsidR="004334D2" w:rsidRDefault="004334D2" w:rsidP="001C2134">
      <w:pPr>
        <w:pStyle w:val="SDMHead2"/>
      </w:pPr>
      <w:bookmarkStart w:id="47" w:name="_Toc201921232"/>
      <w:bookmarkStart w:id="48" w:name="_Toc211555297"/>
      <w:bookmarkStart w:id="49" w:name="_Toc211598949"/>
      <w:bookmarkStart w:id="50" w:name="_Toc211599451"/>
      <w:bookmarkStart w:id="51" w:name="_Toc211612247"/>
      <w:bookmarkStart w:id="52" w:name="_Toc211614694"/>
      <w:bookmarkStart w:id="53" w:name="_Toc211614737"/>
      <w:r>
        <w:t>Applicability of sectoral scopes</w:t>
      </w:r>
      <w:bookmarkEnd w:id="47"/>
      <w:bookmarkEnd w:id="48"/>
      <w:bookmarkEnd w:id="49"/>
      <w:bookmarkEnd w:id="50"/>
      <w:bookmarkEnd w:id="51"/>
      <w:bookmarkEnd w:id="52"/>
      <w:bookmarkEnd w:id="53"/>
    </w:p>
    <w:p w14:paraId="07907050" w14:textId="28B871FA" w:rsidR="004334D2" w:rsidRDefault="004334D2" w:rsidP="00E66E80">
      <w:pPr>
        <w:pStyle w:val="SDMPara"/>
      </w:pPr>
      <w:r>
        <w:t xml:space="preserve">Designated operational entities validating and verifying Article 6.4 activities that use this </w:t>
      </w:r>
      <w:r w:rsidR="008A0B90">
        <w:t>mechanism methodology</w:t>
      </w:r>
      <w:r>
        <w:t xml:space="preserve"> shall apply sectoral scopes 1 and 13.</w:t>
      </w:r>
    </w:p>
    <w:p w14:paraId="4B31712C" w14:textId="77777777" w:rsidR="004334D2" w:rsidRDefault="004334D2" w:rsidP="001C2134">
      <w:pPr>
        <w:pStyle w:val="SDMHead1"/>
      </w:pPr>
      <w:bookmarkStart w:id="54" w:name="_Toc211555298"/>
      <w:bookmarkStart w:id="55" w:name="_Toc211598950"/>
      <w:bookmarkStart w:id="56" w:name="_Toc211599452"/>
      <w:bookmarkStart w:id="57" w:name="_Toc211612248"/>
      <w:bookmarkStart w:id="58" w:name="_Toc211614695"/>
      <w:bookmarkStart w:id="59" w:name="_Toc211614738"/>
      <w:r w:rsidRPr="001C2134">
        <w:t>Definitions</w:t>
      </w:r>
      <w:bookmarkEnd w:id="54"/>
      <w:bookmarkEnd w:id="55"/>
      <w:bookmarkEnd w:id="56"/>
      <w:bookmarkEnd w:id="57"/>
      <w:bookmarkEnd w:id="58"/>
      <w:bookmarkEnd w:id="59"/>
    </w:p>
    <w:p w14:paraId="4D194ACB" w14:textId="77777777" w:rsidR="00342303" w:rsidRPr="00797FC3" w:rsidRDefault="00342303" w:rsidP="001C2134">
      <w:pPr>
        <w:pStyle w:val="SDMHead2"/>
      </w:pPr>
      <w:bookmarkStart w:id="60" w:name="_Toc211555299"/>
      <w:bookmarkStart w:id="61" w:name="_Toc211598951"/>
      <w:bookmarkStart w:id="62" w:name="_Toc211599453"/>
      <w:bookmarkStart w:id="63" w:name="_Toc211612249"/>
      <w:bookmarkStart w:id="64" w:name="_Toc211614696"/>
      <w:bookmarkStart w:id="65" w:name="_Toc211614739"/>
      <w:r w:rsidRPr="001C2134">
        <w:t>General</w:t>
      </w:r>
      <w:r w:rsidRPr="00797FC3">
        <w:t xml:space="preserve"> terms</w:t>
      </w:r>
      <w:bookmarkEnd w:id="60"/>
      <w:bookmarkEnd w:id="61"/>
      <w:bookmarkEnd w:id="62"/>
      <w:bookmarkEnd w:id="63"/>
      <w:bookmarkEnd w:id="64"/>
      <w:bookmarkEnd w:id="65"/>
    </w:p>
    <w:p w14:paraId="29DF6C08" w14:textId="2C4BC50B" w:rsidR="00EF1661" w:rsidRDefault="002224D7" w:rsidP="00DA05CE">
      <w:pPr>
        <w:pStyle w:val="SDMPara"/>
        <w:keepNext/>
      </w:pPr>
      <w:r>
        <w:t xml:space="preserve">The following general terms are applied to this </w:t>
      </w:r>
      <w:r w:rsidR="008A0B90">
        <w:t>mechanism methodology</w:t>
      </w:r>
      <w:r>
        <w:t>:</w:t>
      </w:r>
    </w:p>
    <w:p w14:paraId="5E5738F8" w14:textId="01DCB727" w:rsidR="00342303" w:rsidRPr="00797FC3" w:rsidRDefault="00342303" w:rsidP="00247E9F">
      <w:pPr>
        <w:pStyle w:val="SDMSubPara1"/>
        <w:numPr>
          <w:ilvl w:val="1"/>
          <w:numId w:val="1"/>
        </w:numPr>
      </w:pPr>
      <w:r w:rsidRPr="00797FC3">
        <w:t>"Shall" is used to indicate requirements that must be followed;</w:t>
      </w:r>
    </w:p>
    <w:p w14:paraId="53315929" w14:textId="77777777" w:rsidR="00342303" w:rsidRPr="00797FC3" w:rsidRDefault="00342303" w:rsidP="00247E9F">
      <w:pPr>
        <w:pStyle w:val="SDMSubPara1"/>
        <w:numPr>
          <w:ilvl w:val="1"/>
          <w:numId w:val="1"/>
        </w:numPr>
      </w:pPr>
      <w:r w:rsidRPr="00797FC3">
        <w:t>"Should" is used to indicate that, among several options, one course of action is recommended as particularly suitable;</w:t>
      </w:r>
    </w:p>
    <w:p w14:paraId="27365648" w14:textId="38B26160" w:rsidR="00342303" w:rsidRPr="00797FC3" w:rsidRDefault="00342303" w:rsidP="00247E9F">
      <w:pPr>
        <w:pStyle w:val="SDMSubPara1"/>
        <w:numPr>
          <w:ilvl w:val="1"/>
          <w:numId w:val="1"/>
        </w:numPr>
      </w:pPr>
      <w:r w:rsidRPr="00797FC3">
        <w:t>"May" is used to indicate what is permitted</w:t>
      </w:r>
      <w:r w:rsidR="004D6777">
        <w:t>.</w:t>
      </w:r>
    </w:p>
    <w:p w14:paraId="6A98E092" w14:textId="7C435E8B" w:rsidR="00342303" w:rsidRDefault="002224D7" w:rsidP="001C2134">
      <w:pPr>
        <w:pStyle w:val="SDMHead2"/>
      </w:pPr>
      <w:bookmarkStart w:id="66" w:name="_Toc211555300"/>
      <w:bookmarkStart w:id="67" w:name="_Toc211598952"/>
      <w:bookmarkStart w:id="68" w:name="_Toc211599454"/>
      <w:bookmarkStart w:id="69" w:name="_Toc211612250"/>
      <w:bookmarkStart w:id="70" w:name="_Toc211614697"/>
      <w:bookmarkStart w:id="71" w:name="_Toc211614740"/>
      <w:r w:rsidRPr="001C2134">
        <w:t>Methodological</w:t>
      </w:r>
      <w:r>
        <w:t xml:space="preserve"> </w:t>
      </w:r>
      <w:r w:rsidR="00342303">
        <w:t>terms</w:t>
      </w:r>
      <w:r w:rsidR="00BD24E5">
        <w:t xml:space="preserve"> and definitions</w:t>
      </w:r>
      <w:bookmarkEnd w:id="66"/>
      <w:bookmarkEnd w:id="67"/>
      <w:bookmarkEnd w:id="68"/>
      <w:bookmarkEnd w:id="69"/>
      <w:bookmarkEnd w:id="70"/>
      <w:bookmarkEnd w:id="71"/>
    </w:p>
    <w:p w14:paraId="7BD114A4" w14:textId="4839DEED" w:rsidR="002224D7" w:rsidRDefault="002224D7" w:rsidP="003A4097">
      <w:pPr>
        <w:pStyle w:val="SDMPara"/>
        <w:keepNext/>
      </w:pPr>
      <w:r>
        <w:t xml:space="preserve">The following methodological terms and definitions are applied to this </w:t>
      </w:r>
      <w:r w:rsidR="008A0B90">
        <w:t>mechanism methodology</w:t>
      </w:r>
      <w:r>
        <w:t>:</w:t>
      </w:r>
    </w:p>
    <w:p w14:paraId="2DE50EF4" w14:textId="6692E6F5" w:rsidR="004334D2" w:rsidRPr="000C5FD6" w:rsidRDefault="004334D2" w:rsidP="00C67B31">
      <w:pPr>
        <w:pStyle w:val="SDMSubPara1"/>
        <w:numPr>
          <w:ilvl w:val="1"/>
          <w:numId w:val="16"/>
        </w:numPr>
      </w:pPr>
      <w:r w:rsidRPr="00A52E8B">
        <w:rPr>
          <w:b/>
          <w:bCs/>
        </w:rPr>
        <w:t xml:space="preserve">Aged </w:t>
      </w:r>
      <w:r w:rsidR="00DC74D7">
        <w:rPr>
          <w:b/>
          <w:bCs/>
        </w:rPr>
        <w:t>solid waste disposal site (</w:t>
      </w:r>
      <w:r w:rsidRPr="00A52E8B">
        <w:rPr>
          <w:b/>
          <w:bCs/>
        </w:rPr>
        <w:t>SWDS</w:t>
      </w:r>
      <w:r w:rsidR="00DC74D7">
        <w:rPr>
          <w:b/>
          <w:bCs/>
        </w:rPr>
        <w:t>)</w:t>
      </w:r>
      <w:r w:rsidRPr="00A52E8B">
        <w:rPr>
          <w:b/>
          <w:bCs/>
        </w:rPr>
        <w:t xml:space="preserve"> cell: </w:t>
      </w:r>
      <w:r>
        <w:t xml:space="preserve">A SWDS cell containing waste which has been in the SWDS for more than </w:t>
      </w:r>
      <w:r w:rsidR="006169E1">
        <w:t>twenty</w:t>
      </w:r>
      <w:r>
        <w:t xml:space="preserve"> years;</w:t>
      </w:r>
    </w:p>
    <w:p w14:paraId="15135303" w14:textId="016B0AE5" w:rsidR="001B0904" w:rsidRPr="0081061A" w:rsidRDefault="001B0904" w:rsidP="00E66E80">
      <w:pPr>
        <w:pStyle w:val="SDMSubPara1"/>
      </w:pPr>
      <w:r w:rsidRPr="0081061A">
        <w:rPr>
          <w:b/>
        </w:rPr>
        <w:t>Backup flaring:</w:t>
      </w:r>
      <w:r w:rsidRPr="0081061A">
        <w:t xml:space="preserve"> The destruction of the LFG in a flare that occurs when the associated utilization equipment (e.g., engine, boiler, biogas processing facility) is non-operational due to maintenance or failure, or when the volume of LFG captured exceeds the capacity of the utilization equipment. Backup flaring only occurs in activities that include a utilization component;</w:t>
      </w:r>
    </w:p>
    <w:p w14:paraId="477B7B4F" w14:textId="4A0D6A39" w:rsidR="004334D2" w:rsidRDefault="004334D2" w:rsidP="00E66E80">
      <w:pPr>
        <w:pStyle w:val="SDMSubPara1"/>
      </w:pPr>
      <w:r w:rsidRPr="001315EA">
        <w:rPr>
          <w:b/>
          <w:bCs/>
        </w:rPr>
        <w:t>Biogas processing facility</w:t>
      </w:r>
      <w:r>
        <w:rPr>
          <w:b/>
          <w:bCs/>
        </w:rPr>
        <w:t>:</w:t>
      </w:r>
      <w:r w:rsidRPr="001315EA">
        <w:rPr>
          <w:b/>
          <w:bCs/>
        </w:rPr>
        <w:t xml:space="preserve"> </w:t>
      </w:r>
      <w:r w:rsidRPr="0013279A">
        <w:t>A</w:t>
      </w:r>
      <w:r w:rsidRPr="001315EA">
        <w:t xml:space="preserve"> facility which processes</w:t>
      </w:r>
      <w:r>
        <w:t xml:space="preserve"> and</w:t>
      </w:r>
      <w:r w:rsidRPr="001315EA">
        <w:t xml:space="preserve"> upgrades the </w:t>
      </w:r>
      <w:r>
        <w:t>LFG</w:t>
      </w:r>
      <w:r w:rsidRPr="001315EA">
        <w:t xml:space="preserve"> collected from a SWDS</w:t>
      </w:r>
      <w:r>
        <w:t xml:space="preserve">, through </w:t>
      </w:r>
      <w:r w:rsidRPr="00092E0A">
        <w:t xml:space="preserve">a process that removes </w:t>
      </w:r>
      <w:r>
        <w:t>the</w:t>
      </w:r>
      <w:r w:rsidRPr="00092E0A">
        <w:t xml:space="preserve"> CO</w:t>
      </w:r>
      <w:r w:rsidRPr="00092E0A">
        <w:rPr>
          <w:vertAlign w:val="subscript"/>
        </w:rPr>
        <w:t>2</w:t>
      </w:r>
      <w:r w:rsidRPr="00092E0A">
        <w:t xml:space="preserve"> and other contaminants present in the </w:t>
      </w:r>
      <w:r>
        <w:t xml:space="preserve">LFG, and </w:t>
      </w:r>
      <w:r w:rsidRPr="00797FC3">
        <w:t>compresses</w:t>
      </w:r>
      <w:r w:rsidR="00E735EA" w:rsidRPr="00797FC3">
        <w:t xml:space="preserve"> and/or </w:t>
      </w:r>
      <w:r w:rsidRPr="00797FC3">
        <w:t>liquefies</w:t>
      </w:r>
      <w:r w:rsidRPr="001315EA">
        <w:t xml:space="preserve"> </w:t>
      </w:r>
      <w:r w:rsidR="00E735EA">
        <w:t>the LFG</w:t>
      </w:r>
      <w:r w:rsidR="00E735EA" w:rsidRPr="001315EA">
        <w:t xml:space="preserve"> </w:t>
      </w:r>
      <w:r w:rsidRPr="001315EA">
        <w:t xml:space="preserve">with the purpose of supplying </w:t>
      </w:r>
      <w:r w:rsidR="00E735EA">
        <w:t xml:space="preserve">upgraded biomethane </w:t>
      </w:r>
      <w:r w:rsidRPr="001315EA">
        <w:t>to end-users</w:t>
      </w:r>
      <w:r>
        <w:t>;</w:t>
      </w:r>
    </w:p>
    <w:p w14:paraId="67366947" w14:textId="77777777" w:rsidR="004334D2" w:rsidRPr="00092E0A" w:rsidRDefault="004334D2" w:rsidP="00E66E80">
      <w:pPr>
        <w:pStyle w:val="SDMSubPara1"/>
      </w:pPr>
      <w:r w:rsidRPr="00092E0A">
        <w:rPr>
          <w:b/>
          <w:bCs/>
        </w:rPr>
        <w:t>Biomethane</w:t>
      </w:r>
      <w:r>
        <w:rPr>
          <w:b/>
          <w:bCs/>
        </w:rPr>
        <w:t>:</w:t>
      </w:r>
      <w:r>
        <w:t xml:space="preserve"> A</w:t>
      </w:r>
      <w:r w:rsidRPr="00092E0A">
        <w:t xml:space="preserve"> near-pure source of methane produced </w:t>
      </w:r>
      <w:r>
        <w:t xml:space="preserve">by processing and </w:t>
      </w:r>
      <w:r w:rsidRPr="00092E0A">
        <w:t xml:space="preserve">upgrading </w:t>
      </w:r>
      <w:r>
        <w:t>the LFG in a biogas processing facility;</w:t>
      </w:r>
    </w:p>
    <w:p w14:paraId="2D71B1FE" w14:textId="048F6B8F" w:rsidR="004334D2" w:rsidRPr="000C5FD6" w:rsidRDefault="004334D2" w:rsidP="00E66E80">
      <w:pPr>
        <w:pStyle w:val="SDMSubPara1"/>
      </w:pPr>
      <w:r w:rsidRPr="000C5FD6">
        <w:rPr>
          <w:b/>
        </w:rPr>
        <w:t>Continuous brick kiln</w:t>
      </w:r>
      <w:r>
        <w:rPr>
          <w:b/>
        </w:rPr>
        <w:t>:</w:t>
      </w:r>
      <w:r w:rsidRPr="000C5FD6">
        <w:t xml:space="preserve"> </w:t>
      </w:r>
      <w:r>
        <w:t>A</w:t>
      </w:r>
      <w:r w:rsidRPr="000C5FD6">
        <w:t xml:space="preserve"> brick kiln where bricks are loaded continuously into the kiln, rather than in batches. Continuous brick kilns are distinguished as </w:t>
      </w:r>
      <w:r w:rsidR="00E735EA">
        <w:t xml:space="preserve">either </w:t>
      </w:r>
      <w:r w:rsidRPr="000C5FD6">
        <w:t xml:space="preserve">moving ware kilns </w:t>
      </w:r>
      <w:r w:rsidR="00E735EA">
        <w:t xml:space="preserve">or </w:t>
      </w:r>
      <w:r w:rsidRPr="000C5FD6">
        <w:t>moving fire annular kilns. Moving ware kilns include tunnel and vertical shaft kilns. Moving fire annular kilns use Hoffmann, Bull's trench and Zig-zag technologies;</w:t>
      </w:r>
    </w:p>
    <w:p w14:paraId="7DC63802" w14:textId="77777777" w:rsidR="004334D2" w:rsidRPr="00653041" w:rsidRDefault="004334D2" w:rsidP="00E66E80">
      <w:pPr>
        <w:pStyle w:val="SDMSubPara1"/>
      </w:pPr>
      <w:r w:rsidRPr="00653041">
        <w:rPr>
          <w:b/>
        </w:rPr>
        <w:t>Existing LFG capture system</w:t>
      </w:r>
      <w:r w:rsidRPr="00653041">
        <w:t xml:space="preserve">: A LFG capture system, as defined above that has been in operation at any time in the last year prior to the start of operation of the Article 6.4 </w:t>
      </w:r>
      <w:r>
        <w:t>activity</w:t>
      </w:r>
      <w:r w:rsidRPr="00653041">
        <w:t>;</w:t>
      </w:r>
    </w:p>
    <w:p w14:paraId="385FA3A8" w14:textId="1FD85E78" w:rsidR="004334D2" w:rsidRPr="00865B92" w:rsidRDefault="004334D2" w:rsidP="00E66E80">
      <w:pPr>
        <w:pStyle w:val="SDMSubPara1"/>
      </w:pPr>
      <w:r w:rsidRPr="00324C0D">
        <w:rPr>
          <w:b/>
          <w:bCs/>
        </w:rPr>
        <w:t>Features</w:t>
      </w:r>
      <w:r>
        <w:t xml:space="preserve">: Areas in the solid waste disposal site </w:t>
      </w:r>
      <w:r w:rsidRPr="00865B92">
        <w:t xml:space="preserve">from which emissions are higher </w:t>
      </w:r>
      <w:r w:rsidR="00E735EA" w:rsidRPr="00865B92">
        <w:t xml:space="preserve">than typical emissions within their constituent SWDS cell </w:t>
      </w:r>
      <w:r w:rsidRPr="00865B92">
        <w:t xml:space="preserve">(hotspots) and </w:t>
      </w:r>
      <w:r w:rsidR="00E735EA" w:rsidRPr="00865B92">
        <w:t>are differentiated as such</w:t>
      </w:r>
      <w:r w:rsidRPr="00865B92">
        <w:t>;</w:t>
      </w:r>
    </w:p>
    <w:p w14:paraId="4816327B" w14:textId="77777777" w:rsidR="004334D2" w:rsidRPr="000C5FD6" w:rsidRDefault="004334D2" w:rsidP="00E66E80">
      <w:pPr>
        <w:pStyle w:val="SDMSubPara1"/>
      </w:pPr>
      <w:r w:rsidRPr="000C5FD6">
        <w:rPr>
          <w:b/>
        </w:rPr>
        <w:t>Intermittent brick kiln</w:t>
      </w:r>
      <w:r>
        <w:rPr>
          <w:b/>
        </w:rPr>
        <w:t xml:space="preserve">: </w:t>
      </w:r>
      <w:r>
        <w:rPr>
          <w:bCs/>
        </w:rPr>
        <w:t>A brick kiln where</w:t>
      </w:r>
      <w:r w:rsidRPr="000C5FD6">
        <w:t xml:space="preserve"> bricks are loaded into the kiln and fired in batches. Types include Clamp, Scotch and Scove technologies</w:t>
      </w:r>
      <w:r>
        <w:t>;</w:t>
      </w:r>
    </w:p>
    <w:p w14:paraId="169B7958" w14:textId="1FAEF6E5" w:rsidR="004334D2" w:rsidRPr="00982CF9" w:rsidRDefault="004334D2" w:rsidP="00E66E80">
      <w:pPr>
        <w:pStyle w:val="SDMSubPara1"/>
      </w:pPr>
      <w:r w:rsidRPr="009C71C5">
        <w:rPr>
          <w:b/>
          <w:bCs/>
        </w:rPr>
        <w:t xml:space="preserve">Immature </w:t>
      </w:r>
      <w:r>
        <w:rPr>
          <w:b/>
          <w:bCs/>
        </w:rPr>
        <w:t>SWDS cell</w:t>
      </w:r>
      <w:r>
        <w:t xml:space="preserve">: A SWDS cell containing waste which has been in the SWDS for less than </w:t>
      </w:r>
      <w:r w:rsidR="006169E1">
        <w:t>five</w:t>
      </w:r>
      <w:r>
        <w:t xml:space="preserve"> years;</w:t>
      </w:r>
    </w:p>
    <w:p w14:paraId="658AE495" w14:textId="5DC7FD09" w:rsidR="004334D2" w:rsidRPr="000C5FD6" w:rsidRDefault="004334D2" w:rsidP="00E66E80">
      <w:pPr>
        <w:pStyle w:val="SDMSubPara1"/>
      </w:pPr>
      <w:r w:rsidRPr="000C5FD6">
        <w:rPr>
          <w:b/>
        </w:rPr>
        <w:t>Landfill gas (LFG)</w:t>
      </w:r>
      <w:r>
        <w:t>:</w:t>
      </w:r>
      <w:r w:rsidRPr="000C5FD6">
        <w:t xml:space="preserve"> </w:t>
      </w:r>
      <w:r>
        <w:t>T</w:t>
      </w:r>
      <w:r w:rsidRPr="000C5FD6">
        <w:t xml:space="preserve">he </w:t>
      </w:r>
      <w:r>
        <w:t>bio</w:t>
      </w:r>
      <w:r w:rsidRPr="000C5FD6">
        <w:t>gas generated by decomposition of waste in a SWDS. LFG is mainly composed of methane, carbon dioxide</w:t>
      </w:r>
      <w:r w:rsidR="00E735EA">
        <w:t>,</w:t>
      </w:r>
      <w:r w:rsidRPr="000C5FD6">
        <w:t xml:space="preserve"> and small fractions of ammonia and hydrogen sulphide;</w:t>
      </w:r>
    </w:p>
    <w:p w14:paraId="1C700A23" w14:textId="3A842B74" w:rsidR="004334D2" w:rsidRPr="0026447F" w:rsidRDefault="004334D2" w:rsidP="00E66E80">
      <w:pPr>
        <w:pStyle w:val="SDMSubPara1"/>
      </w:pPr>
      <w:r w:rsidRPr="0026447F">
        <w:rPr>
          <w:b/>
          <w:bCs/>
        </w:rPr>
        <w:t>Legal requirements:</w:t>
      </w:r>
      <w:r w:rsidRPr="00A570F0">
        <w:t xml:space="preserve"> Laws, statutes, regulations, court orders, decrees, consent agreements</w:t>
      </w:r>
      <w:r>
        <w:rPr>
          <w:rStyle w:val="FootnoteReference"/>
        </w:rPr>
        <w:footnoteReference w:id="5"/>
      </w:r>
      <w:r w:rsidRPr="00A570F0">
        <w:t>, executive orders, permitting conditions or any other legally binding mandates</w:t>
      </w:r>
      <w:r>
        <w:t>;</w:t>
      </w:r>
    </w:p>
    <w:p w14:paraId="1141AAAC" w14:textId="40515506" w:rsidR="004334D2" w:rsidRPr="000C5FD6" w:rsidRDefault="004334D2" w:rsidP="00E66E80">
      <w:pPr>
        <w:pStyle w:val="SDMSubPara1"/>
      </w:pPr>
      <w:r w:rsidRPr="000C5FD6">
        <w:rPr>
          <w:b/>
        </w:rPr>
        <w:t>LFG capture system</w:t>
      </w:r>
      <w:r>
        <w:t>:</w:t>
      </w:r>
      <w:r w:rsidRPr="000C5FD6">
        <w:t xml:space="preserve"> </w:t>
      </w:r>
      <w:r>
        <w:t>A</w:t>
      </w:r>
      <w:r w:rsidRPr="000C5FD6">
        <w:t xml:space="preserve"> system to capture LFG. The system may be passive, active</w:t>
      </w:r>
      <w:r w:rsidR="00E735EA">
        <w:t>,</w:t>
      </w:r>
      <w:r w:rsidRPr="000C5FD6">
        <w:t xml:space="preserve"> or a combination of both active and passive components. Passive systems capture LFG by means of natural pressure, concentration, and density gradients. Active systems use mechanical equipment to capture LFG by providing pressure gradients. Captured LFG can be vented, flared or used;</w:t>
      </w:r>
    </w:p>
    <w:p w14:paraId="1F3D46AD" w14:textId="2AA1698E" w:rsidR="004334D2" w:rsidRDefault="004334D2" w:rsidP="00E66E80">
      <w:pPr>
        <w:pStyle w:val="SDMSubPara1"/>
      </w:pPr>
      <w:r>
        <w:rPr>
          <w:b/>
          <w:bCs/>
        </w:rPr>
        <w:t xml:space="preserve">Mature SWDS cell: </w:t>
      </w:r>
      <w:r>
        <w:t xml:space="preserve">A SWDS cell containing waste which has been in the SWDS between </w:t>
      </w:r>
      <w:r w:rsidR="00115710">
        <w:t>five</w:t>
      </w:r>
      <w:r>
        <w:t xml:space="preserve"> and </w:t>
      </w:r>
      <w:r w:rsidR="00115710">
        <w:t>twenty</w:t>
      </w:r>
      <w:r w:rsidR="00E1091C">
        <w:t xml:space="preserve"> </w:t>
      </w:r>
      <w:r>
        <w:t>years;</w:t>
      </w:r>
    </w:p>
    <w:p w14:paraId="0CCD2B8D" w14:textId="1C58C863" w:rsidR="004334D2" w:rsidRDefault="004334D2" w:rsidP="00E66E80">
      <w:pPr>
        <w:pStyle w:val="SDMSubPara1"/>
      </w:pPr>
      <w:r w:rsidRPr="004558D6">
        <w:rPr>
          <w:b/>
          <w:bCs/>
        </w:rPr>
        <w:t>Operational time:</w:t>
      </w:r>
      <w:r>
        <w:t xml:space="preserve"> The total time </w:t>
      </w:r>
      <w:r w:rsidRPr="00865B92">
        <w:t xml:space="preserve">that </w:t>
      </w:r>
      <w:r w:rsidR="00E735EA" w:rsidRPr="00865B92">
        <w:t xml:space="preserve">a piece of </w:t>
      </w:r>
      <w:r w:rsidRPr="00865B92">
        <w:t>equipment</w:t>
      </w:r>
      <w:r>
        <w:t xml:space="preserve"> has been operating</w:t>
      </w:r>
      <w:r w:rsidR="00E735EA">
        <w:t>,</w:t>
      </w:r>
      <w:r>
        <w:t xml:space="preserve"> expressed in years or hours of operation</w:t>
      </w:r>
      <w:r w:rsidR="00E735EA">
        <w:t xml:space="preserve"> since its first commissioning</w:t>
      </w:r>
      <w:r>
        <w:t>;</w:t>
      </w:r>
    </w:p>
    <w:p w14:paraId="4D5A3694" w14:textId="032CBD9C" w:rsidR="00D75DC3" w:rsidRPr="0081061A" w:rsidRDefault="00D75DC3" w:rsidP="00E66E80">
      <w:pPr>
        <w:pStyle w:val="SDMSubPara1"/>
      </w:pPr>
      <w:r w:rsidRPr="0081061A">
        <w:rPr>
          <w:b/>
        </w:rPr>
        <w:t>Primary Flaring:</w:t>
      </w:r>
      <w:r w:rsidRPr="0081061A">
        <w:t xml:space="preserve"> The destruction of LFG in a flare when the Article 6.4 activity does not include any utilization component, or flaring that exceeds the allowable threshold for backup flaring in a utilization activity;</w:t>
      </w:r>
    </w:p>
    <w:p w14:paraId="360C6563" w14:textId="77777777" w:rsidR="004334D2" w:rsidRPr="000C5FD6" w:rsidRDefault="004334D2" w:rsidP="00E66E80">
      <w:pPr>
        <w:pStyle w:val="SDMSubPara1"/>
      </w:pPr>
      <w:r w:rsidRPr="000C5FD6">
        <w:rPr>
          <w:b/>
        </w:rPr>
        <w:t>Reference conditions</w:t>
      </w:r>
      <w:r>
        <w:t>:</w:t>
      </w:r>
      <w:r w:rsidRPr="000C5FD6">
        <w:t xml:space="preserve"> </w:t>
      </w:r>
      <w:r>
        <w:t>C</w:t>
      </w:r>
      <w:r w:rsidRPr="000C5FD6">
        <w:t>onditions are defined as 0</w:t>
      </w:r>
      <w:r w:rsidRPr="00BA5517">
        <w:rPr>
          <w:vertAlign w:val="superscript"/>
        </w:rPr>
        <w:t>o</w:t>
      </w:r>
      <w:r w:rsidRPr="000C5FD6">
        <w:t>C (273.15 K, 32</w:t>
      </w:r>
      <w:r w:rsidRPr="00BA5517">
        <w:rPr>
          <w:vertAlign w:val="superscript"/>
        </w:rPr>
        <w:t>o</w:t>
      </w:r>
      <w:r w:rsidRPr="000C5FD6">
        <w:t>F) and 1 atm (101.325 kN/m</w:t>
      </w:r>
      <w:r w:rsidRPr="008202B6">
        <w:rPr>
          <w:vertAlign w:val="superscript"/>
        </w:rPr>
        <w:t>2</w:t>
      </w:r>
      <w:r w:rsidRPr="000C5FD6">
        <w:t>, 101.325 kPa, 14.69 psia, 29.92 in Hg, 760 torr);</w:t>
      </w:r>
    </w:p>
    <w:p w14:paraId="149A6467" w14:textId="3B3895BF" w:rsidR="004334D2" w:rsidRPr="000C5FD6" w:rsidRDefault="004334D2" w:rsidP="00E66E80">
      <w:pPr>
        <w:pStyle w:val="SDMSubPara1"/>
      </w:pPr>
      <w:r w:rsidRPr="004558D6">
        <w:rPr>
          <w:b/>
          <w:bCs/>
        </w:rPr>
        <w:t>Remaining lifetime:</w:t>
      </w:r>
      <w:r>
        <w:t xml:space="preserve"> The time for </w:t>
      </w:r>
      <w:r w:rsidRPr="00711377">
        <w:t xml:space="preserve">which </w:t>
      </w:r>
      <w:r w:rsidR="00E735EA" w:rsidRPr="00711377">
        <w:t xml:space="preserve">a piece of </w:t>
      </w:r>
      <w:r w:rsidRPr="00711377">
        <w:t>existing</w:t>
      </w:r>
      <w:r>
        <w:t xml:space="preserve"> equipment can continue to operate before it has to be replaced</w:t>
      </w:r>
      <w:r w:rsidR="00E735EA">
        <w:t xml:space="preserve"> or </w:t>
      </w:r>
      <w:r>
        <w:t>discarded for technical reasons, such as the age of the equipment, safety reasons, or deteriorated performance. The remaining lifetime is expressed in years or hours of operation;</w:t>
      </w:r>
    </w:p>
    <w:p w14:paraId="020A8A4E" w14:textId="77777777" w:rsidR="004334D2" w:rsidRPr="000C5FD6" w:rsidRDefault="004334D2" w:rsidP="00E66E80">
      <w:pPr>
        <w:pStyle w:val="SDMSubPara1"/>
      </w:pPr>
      <w:r w:rsidRPr="000C5FD6">
        <w:rPr>
          <w:b/>
        </w:rPr>
        <w:t>Solid waste</w:t>
      </w:r>
      <w:r>
        <w:t>:</w:t>
      </w:r>
      <w:r w:rsidRPr="000C5FD6">
        <w:t xml:space="preserve"> </w:t>
      </w:r>
      <w:r>
        <w:t>M</w:t>
      </w:r>
      <w:r w:rsidRPr="000C5FD6">
        <w:t>aterial that is unwanted and insoluble (including gases or liquids in cans or containers). Hazardous waste is not included in the definition of solid waste;</w:t>
      </w:r>
    </w:p>
    <w:p w14:paraId="69687F5E" w14:textId="77777777" w:rsidR="004334D2" w:rsidRDefault="004334D2" w:rsidP="00E66E80">
      <w:pPr>
        <w:pStyle w:val="SDMSubPara1"/>
      </w:pPr>
      <w:r w:rsidRPr="000C5FD6">
        <w:rPr>
          <w:b/>
        </w:rPr>
        <w:t>Solid waste disposal site (SWDS)</w:t>
      </w:r>
      <w:r>
        <w:t>:</w:t>
      </w:r>
      <w:r w:rsidRPr="000C5FD6">
        <w:t xml:space="preserve"> </w:t>
      </w:r>
      <w:r>
        <w:t>D</w:t>
      </w:r>
      <w:r w:rsidRPr="000C5FD6">
        <w:t>esignated areas intended as the final storage place for solid waste</w:t>
      </w:r>
      <w:r>
        <w:t>;</w:t>
      </w:r>
    </w:p>
    <w:p w14:paraId="5C17B7EB" w14:textId="77777777" w:rsidR="00426CAE" w:rsidRDefault="00E735EA" w:rsidP="00E66E80">
      <w:pPr>
        <w:pStyle w:val="SDMSubPara1"/>
      </w:pPr>
      <w:r>
        <w:rPr>
          <w:b/>
        </w:rPr>
        <w:t>Solid waste disposal site (SWDS) cell</w:t>
      </w:r>
      <w:r w:rsidRPr="00517760">
        <w:rPr>
          <w:b/>
        </w:rPr>
        <w:t>:</w:t>
      </w:r>
      <w:r>
        <w:t xml:space="preserve"> a specific, contiguous area within a solid waste disposal site;</w:t>
      </w:r>
    </w:p>
    <w:p w14:paraId="68EB195B" w14:textId="2519712E" w:rsidR="004334D2" w:rsidRDefault="004334D2" w:rsidP="00E66E80">
      <w:pPr>
        <w:pStyle w:val="SDMSubPara1"/>
      </w:pPr>
      <w:r w:rsidRPr="004558D6">
        <w:rPr>
          <w:b/>
          <w:bCs/>
        </w:rPr>
        <w:t>Technical lifetime:</w:t>
      </w:r>
      <w:r>
        <w:t xml:space="preserve"> The total time </w:t>
      </w:r>
      <w:r w:rsidR="00E735EA">
        <w:t xml:space="preserve">over </w:t>
      </w:r>
      <w:r w:rsidRPr="00711377">
        <w:t xml:space="preserve">which </w:t>
      </w:r>
      <w:r w:rsidR="00E735EA" w:rsidRPr="00711377">
        <w:t xml:space="preserve">a piece of </w:t>
      </w:r>
      <w:r w:rsidRPr="00711377">
        <w:t>equipment is designed to operate</w:t>
      </w:r>
      <w:r w:rsidR="00E735EA" w:rsidRPr="00711377">
        <w:t xml:space="preserve">, </w:t>
      </w:r>
      <w:r w:rsidRPr="00711377">
        <w:t>expressed in years or hours of operation</w:t>
      </w:r>
      <w:r w:rsidR="00E735EA">
        <w:t xml:space="preserve"> since its first commissioning</w:t>
      </w:r>
      <w:r>
        <w:t>.</w:t>
      </w:r>
    </w:p>
    <w:p w14:paraId="1E38B198" w14:textId="3750BD9B" w:rsidR="004334D2" w:rsidRPr="002326DE" w:rsidRDefault="004334D2" w:rsidP="00E66E80">
      <w:pPr>
        <w:pStyle w:val="SDMPara"/>
      </w:pPr>
      <w:r w:rsidRPr="00E576DE">
        <w:rPr>
          <w:lang w:val="en-US"/>
        </w:rPr>
        <w:t>Further definitions from the Article 6.4 Glossary of Terms</w:t>
      </w:r>
      <w:r>
        <w:rPr>
          <w:lang w:val="en-US"/>
        </w:rPr>
        <w:t>,</w:t>
      </w:r>
      <w:r w:rsidR="00231352" w:rsidRPr="00231352">
        <w:rPr>
          <w:lang w:val="en-US"/>
        </w:rPr>
        <w:t xml:space="preserve"> </w:t>
      </w:r>
      <w:r w:rsidR="00231352">
        <w:rPr>
          <w:lang w:val="en-US"/>
        </w:rPr>
        <w:t xml:space="preserve">once adopted by the Supervisory Body, shall also apply to this </w:t>
      </w:r>
      <w:r w:rsidR="008A0B90">
        <w:rPr>
          <w:lang w:val="en-US"/>
        </w:rPr>
        <w:t>mechanism methodology</w:t>
      </w:r>
      <w:r>
        <w:rPr>
          <w:lang w:val="en-US"/>
        </w:rPr>
        <w:t>.</w:t>
      </w:r>
    </w:p>
    <w:p w14:paraId="0001DF87" w14:textId="01EE42D3" w:rsidR="004334D2" w:rsidRDefault="004334D2" w:rsidP="001C2134">
      <w:pPr>
        <w:pStyle w:val="SDMHead1"/>
      </w:pPr>
      <w:bookmarkStart w:id="72" w:name="_Toc211555301"/>
      <w:bookmarkStart w:id="73" w:name="_Toc211598953"/>
      <w:bookmarkStart w:id="74" w:name="_Toc211599455"/>
      <w:bookmarkStart w:id="75" w:name="_Toc211612251"/>
      <w:bookmarkStart w:id="76" w:name="_Toc211614698"/>
      <w:bookmarkStart w:id="77" w:name="_Toc211614741"/>
      <w:r>
        <w:t>Normative</w:t>
      </w:r>
      <w:r w:rsidR="00AD2B49">
        <w:t xml:space="preserve"> and </w:t>
      </w:r>
      <w:r w:rsidR="00AD2B49" w:rsidRPr="001C2134">
        <w:t>informative</w:t>
      </w:r>
      <w:r>
        <w:t xml:space="preserve"> references</w:t>
      </w:r>
      <w:bookmarkEnd w:id="72"/>
      <w:bookmarkEnd w:id="73"/>
      <w:bookmarkEnd w:id="74"/>
      <w:bookmarkEnd w:id="75"/>
      <w:bookmarkEnd w:id="76"/>
      <w:bookmarkEnd w:id="77"/>
    </w:p>
    <w:p w14:paraId="62E8E035" w14:textId="48CE5DDE" w:rsidR="004334D2" w:rsidRDefault="004334D2" w:rsidP="00E66E80">
      <w:pPr>
        <w:pStyle w:val="SDMPara"/>
        <w:keepNext/>
      </w:pPr>
      <w:r>
        <w:t xml:space="preserve">This </w:t>
      </w:r>
      <w:r w:rsidR="008A0B90">
        <w:t>mechanism methodology</w:t>
      </w:r>
      <w:r>
        <w:t xml:space="preserve"> is based on elements from version 19.0 of the Clean Development Mechanism (CDM) </w:t>
      </w:r>
      <w:r w:rsidR="008A0B90">
        <w:t>methodology</w:t>
      </w:r>
      <w:r>
        <w:t xml:space="preserve"> “</w:t>
      </w:r>
      <w:r w:rsidRPr="00752069">
        <w:t>ACM0001: Flaring or use of landfill gas</w:t>
      </w:r>
      <w:r>
        <w:t>”</w:t>
      </w:r>
      <w:r w:rsidR="00A8305E">
        <w:t>.</w:t>
      </w:r>
    </w:p>
    <w:p w14:paraId="7B513A6D" w14:textId="3365BDB6" w:rsidR="00A8305E" w:rsidRDefault="00A8305E" w:rsidP="00DA05CE">
      <w:pPr>
        <w:pStyle w:val="SDMPara"/>
        <w:keepNext/>
      </w:pPr>
      <w:bookmarkStart w:id="78" w:name="_Ref212736198"/>
      <w:r>
        <w:t xml:space="preserve">The following normative documents are indispensable for the application of this </w:t>
      </w:r>
      <w:r w:rsidR="008A0B90">
        <w:t>mechanism methodology</w:t>
      </w:r>
      <w:r>
        <w:t>:</w:t>
      </w:r>
      <w:bookmarkEnd w:id="78"/>
    </w:p>
    <w:p w14:paraId="0F03FD4F" w14:textId="77777777" w:rsidR="00F137A1" w:rsidRPr="00D54562" w:rsidRDefault="00F137A1" w:rsidP="00F137A1">
      <w:pPr>
        <w:pStyle w:val="SDMSubPara1"/>
      </w:pPr>
      <w:r w:rsidRPr="00D54562">
        <w:t>“</w:t>
      </w:r>
      <w:r w:rsidRPr="00BF5F2A">
        <w:t>A6.4-AMT-001</w:t>
      </w:r>
      <w:r w:rsidRPr="00D54562">
        <w:t>: Common practice analysis”</w:t>
      </w:r>
      <w:r>
        <w:t xml:space="preserve"> (hereinafter referred as “common practice tool”)</w:t>
      </w:r>
      <w:r w:rsidRPr="00D54562">
        <w:t>;</w:t>
      </w:r>
    </w:p>
    <w:p w14:paraId="337CCA75" w14:textId="77777777" w:rsidR="00F137A1" w:rsidRDefault="00F137A1" w:rsidP="00F137A1">
      <w:pPr>
        <w:pStyle w:val="SDMSubPara1"/>
      </w:pPr>
      <w:r w:rsidRPr="00D54562">
        <w:t>“</w:t>
      </w:r>
      <w:r w:rsidRPr="00523D0B">
        <w:t>A6.4-AMT-002</w:t>
      </w:r>
      <w:r w:rsidRPr="00D54562">
        <w:t>: Investment analysis”</w:t>
      </w:r>
      <w:r>
        <w:t xml:space="preserve"> (hereinafter referred as “investment analysis tool”);</w:t>
      </w:r>
    </w:p>
    <w:p w14:paraId="1E4B0168" w14:textId="77777777" w:rsidR="00986628" w:rsidRDefault="00986628" w:rsidP="00986628">
      <w:pPr>
        <w:pStyle w:val="SDMSubPara1"/>
      </w:pPr>
      <w:r w:rsidRPr="00D54562">
        <w:t>“</w:t>
      </w:r>
      <w:r w:rsidRPr="00BA1C96">
        <w:t>A6.4-AMT-003</w:t>
      </w:r>
      <w:r w:rsidRPr="00D54562">
        <w:t>: Emissions from solid waste disposal sites”</w:t>
      </w:r>
      <w:r>
        <w:t xml:space="preserve"> (hereinafter referred as “solid waste tool”);</w:t>
      </w:r>
    </w:p>
    <w:p w14:paraId="7BA6CF41" w14:textId="155486DF" w:rsidR="004334D2" w:rsidRPr="00D54562" w:rsidRDefault="004334D2" w:rsidP="00E66E80">
      <w:pPr>
        <w:pStyle w:val="SDMSubPara1"/>
      </w:pPr>
      <w:r w:rsidRPr="00D54562">
        <w:t>“</w:t>
      </w:r>
      <w:r w:rsidR="00986628" w:rsidRPr="00986628">
        <w:t>A6.4-AMT-00</w:t>
      </w:r>
      <w:r w:rsidR="00986628">
        <w:t>4</w:t>
      </w:r>
      <w:r w:rsidRPr="00D54562">
        <w:t xml:space="preserve">: </w:t>
      </w:r>
      <w:r w:rsidR="005704AC">
        <w:t>Project emissions</w:t>
      </w:r>
      <w:r w:rsidRPr="00D54562">
        <w:t xml:space="preserve"> from flaring”</w:t>
      </w:r>
      <w:r w:rsidR="00D52F56">
        <w:t xml:space="preserve"> (hereinafter referred as </w:t>
      </w:r>
      <w:r w:rsidR="00DB47CF">
        <w:t>“</w:t>
      </w:r>
      <w:r w:rsidR="00D52F56">
        <w:t>flaring tool</w:t>
      </w:r>
      <w:r w:rsidR="00DB47CF">
        <w:t>”</w:t>
      </w:r>
      <w:r w:rsidR="00D52F56">
        <w:t>)</w:t>
      </w:r>
      <w:r w:rsidRPr="00D54562">
        <w:t>;</w:t>
      </w:r>
    </w:p>
    <w:p w14:paraId="4969EDD1" w14:textId="2E5591AB" w:rsidR="004334D2" w:rsidRPr="00D54562" w:rsidRDefault="004334D2" w:rsidP="00E66E80">
      <w:pPr>
        <w:pStyle w:val="SDMSubPara1"/>
      </w:pPr>
      <w:r w:rsidRPr="00D54562">
        <w:t>“</w:t>
      </w:r>
      <w:r w:rsidR="00986628" w:rsidRPr="00986628">
        <w:t>A6.4-AMT-00</w:t>
      </w:r>
      <w:r w:rsidR="00986628">
        <w:t>5</w:t>
      </w:r>
      <w:r w:rsidRPr="00D54562">
        <w:t xml:space="preserve">: </w:t>
      </w:r>
      <w:r w:rsidR="003D1240">
        <w:t>M</w:t>
      </w:r>
      <w:r w:rsidRPr="00D54562">
        <w:t>ass flow of a greenhouse gas in a gaseous stream”</w:t>
      </w:r>
      <w:r w:rsidR="00D52F56">
        <w:t xml:space="preserve"> (hereinafter referred as </w:t>
      </w:r>
      <w:r w:rsidR="00DB47CF">
        <w:t>“</w:t>
      </w:r>
      <w:r w:rsidR="00D52F56">
        <w:t>mass flow tool</w:t>
      </w:r>
      <w:r w:rsidR="00DB47CF">
        <w:t>”</w:t>
      </w:r>
      <w:r w:rsidR="00D52F56">
        <w:t>)</w:t>
      </w:r>
      <w:r w:rsidR="00375358">
        <w:t>;</w:t>
      </w:r>
    </w:p>
    <w:p w14:paraId="3BFF199D" w14:textId="013194D5" w:rsidR="004334D2" w:rsidRPr="00AB048D" w:rsidRDefault="00954147" w:rsidP="00E66E80">
      <w:pPr>
        <w:pStyle w:val="SDMSubPara1"/>
      </w:pPr>
      <w:r w:rsidRPr="00954147">
        <w:t xml:space="preserve">Intergovernmental Panel on Climate Change (2019). </w:t>
      </w:r>
      <w:r w:rsidRPr="00375358">
        <w:rPr>
          <w:i/>
          <w:iCs/>
        </w:rPr>
        <w:t>2019 Refinement to the 2006 IPCC Guidelines for National Greenhouse Gas Inventories</w:t>
      </w:r>
      <w:r w:rsidR="00AB048D">
        <w:rPr>
          <w:i/>
          <w:iCs/>
        </w:rPr>
        <w:t>;</w:t>
      </w:r>
      <w:r>
        <w:rPr>
          <w:rStyle w:val="FootnoteReference"/>
        </w:rPr>
        <w:footnoteReference w:id="6"/>
      </w:r>
    </w:p>
    <w:p w14:paraId="20C347B2" w14:textId="61AF03EA" w:rsidR="00AB048D" w:rsidRDefault="00AB048D" w:rsidP="00E66E80">
      <w:pPr>
        <w:pStyle w:val="SDMSubPara1"/>
      </w:pPr>
      <w:r>
        <w:t xml:space="preserve">Intergovernmental Panel on Climate Change (2006). </w:t>
      </w:r>
      <w:r w:rsidRPr="00AB048D">
        <w:rPr>
          <w:i/>
          <w:iCs/>
        </w:rPr>
        <w:t>2006 IPCC Guidelines for National Greenhouse Gas Inventories</w:t>
      </w:r>
      <w:r w:rsidR="004D6777">
        <w:t>.</w:t>
      </w:r>
      <w:r w:rsidR="00524BDA">
        <w:rPr>
          <w:rStyle w:val="FootnoteReference"/>
        </w:rPr>
        <w:footnoteReference w:id="7"/>
      </w:r>
    </w:p>
    <w:p w14:paraId="0D3CA98B" w14:textId="678433C7" w:rsidR="00375358" w:rsidRDefault="00375358" w:rsidP="00DA05CE">
      <w:pPr>
        <w:pStyle w:val="SDMPara"/>
        <w:keepNext/>
      </w:pPr>
      <w:r>
        <w:t xml:space="preserve">The following informative document provide supporting information that may assist in the application of this </w:t>
      </w:r>
      <w:r w:rsidR="008A0B90">
        <w:t>mechanism methodology</w:t>
      </w:r>
      <w:r>
        <w:t>:</w:t>
      </w:r>
    </w:p>
    <w:p w14:paraId="268483A5" w14:textId="2A9CC5D4" w:rsidR="00524BDA" w:rsidRDefault="00524BDA" w:rsidP="00E66E80">
      <w:pPr>
        <w:pStyle w:val="SDMSubPara1"/>
      </w:pPr>
      <w:r>
        <w:t xml:space="preserve">Vatopoulos, K., Andrews, D., Carlsson, J., Papaioannou, I. &amp; Zubi, G., 2012. </w:t>
      </w:r>
      <w:r>
        <w:rPr>
          <w:rStyle w:val="Emphasis"/>
        </w:rPr>
        <w:t>Study on the state of play of energy efficiency of heat and electricity production technologies</w:t>
      </w:r>
      <w:r>
        <w:t xml:space="preserve">. Luxembourg: Publications Office of the European Union. EUR 25406 EN. Available at: </w:t>
      </w:r>
      <w:hyperlink r:id="rId17" w:history="1">
        <w:r w:rsidRPr="00CA2C84">
          <w:rPr>
            <w:rStyle w:val="Hyperlink"/>
          </w:rPr>
          <w:t>https://doi.org/10.2790/57624</w:t>
        </w:r>
      </w:hyperlink>
      <w:r w:rsidR="003C5513">
        <w:t>;</w:t>
      </w:r>
    </w:p>
    <w:p w14:paraId="27DC75E2" w14:textId="3FBA936E" w:rsidR="003C5513" w:rsidRPr="00954147" w:rsidRDefault="0098699F" w:rsidP="00E66E80">
      <w:pPr>
        <w:pStyle w:val="SDMSubPara1"/>
      </w:pPr>
      <w:r>
        <w:t xml:space="preserve">Rogers, E. M. </w:t>
      </w:r>
      <w:r>
        <w:rPr>
          <w:rStyle w:val="Emphasis"/>
        </w:rPr>
        <w:t>Diffusion of Innovations</w:t>
      </w:r>
      <w:r>
        <w:t>. 5</w:t>
      </w:r>
      <w:r w:rsidRPr="000900F5">
        <w:rPr>
          <w:vertAlign w:val="superscript"/>
        </w:rPr>
        <w:t>th</w:t>
      </w:r>
      <w:r w:rsidR="000900F5">
        <w:t xml:space="preserve"> </w:t>
      </w:r>
      <w:r>
        <w:t>ed. New York: Free Press, 2003</w:t>
      </w:r>
      <w:r w:rsidR="004D6777">
        <w:t>.</w:t>
      </w:r>
    </w:p>
    <w:p w14:paraId="44866983" w14:textId="77777777" w:rsidR="004334D2" w:rsidRPr="000138B6" w:rsidRDefault="004334D2" w:rsidP="001C2134">
      <w:pPr>
        <w:pStyle w:val="SDMHead1"/>
      </w:pPr>
      <w:bookmarkStart w:id="79" w:name="_Toc211555302"/>
      <w:bookmarkStart w:id="80" w:name="_Toc211598954"/>
      <w:bookmarkStart w:id="81" w:name="_Toc211599456"/>
      <w:bookmarkStart w:id="82" w:name="_Toc211612252"/>
      <w:bookmarkStart w:id="83" w:name="_Toc211614699"/>
      <w:bookmarkStart w:id="84" w:name="_Toc211614742"/>
      <w:r w:rsidRPr="001C2134">
        <w:t>Applicability</w:t>
      </w:r>
      <w:bookmarkEnd w:id="34"/>
      <w:bookmarkEnd w:id="35"/>
      <w:bookmarkEnd w:id="36"/>
      <w:bookmarkEnd w:id="37"/>
      <w:bookmarkEnd w:id="38"/>
      <w:bookmarkEnd w:id="39"/>
      <w:bookmarkEnd w:id="79"/>
      <w:bookmarkEnd w:id="80"/>
      <w:bookmarkEnd w:id="81"/>
      <w:bookmarkEnd w:id="82"/>
      <w:bookmarkEnd w:id="83"/>
      <w:bookmarkEnd w:id="84"/>
    </w:p>
    <w:p w14:paraId="738A9962" w14:textId="048D603E" w:rsidR="004334D2" w:rsidRDefault="004334D2" w:rsidP="00DA05CE">
      <w:pPr>
        <w:pStyle w:val="SDMPara"/>
        <w:keepNext/>
      </w:pPr>
      <w:bookmarkStart w:id="85" w:name="_Ref207694779"/>
      <w:r w:rsidRPr="009E3C89">
        <w:t xml:space="preserve">The </w:t>
      </w:r>
      <w:r w:rsidR="008A0B90">
        <w:t>mechanism methodology</w:t>
      </w:r>
      <w:r w:rsidRPr="009E3C89">
        <w:t xml:space="preserve"> is applicable </w:t>
      </w:r>
      <w:r>
        <w:t>to Article 6.4 activities that involve</w:t>
      </w:r>
      <w:r w:rsidRPr="0088641B">
        <w:t>:</w:t>
      </w:r>
      <w:bookmarkEnd w:id="85"/>
    </w:p>
    <w:p w14:paraId="272B39CB" w14:textId="32521F8F" w:rsidR="004334D2" w:rsidRPr="00F22A3F" w:rsidRDefault="004334D2" w:rsidP="00E66E80">
      <w:pPr>
        <w:pStyle w:val="SDMSubPara1"/>
      </w:pPr>
      <w:r>
        <w:t>The installation of</w:t>
      </w:r>
      <w:r w:rsidRPr="00F22A3F">
        <w:t xml:space="preserve"> a new LFG capture system in an existing </w:t>
      </w:r>
      <w:r w:rsidRPr="001B6190">
        <w:t>or new (</w:t>
      </w:r>
      <w:r w:rsidR="007A04C1">
        <w:t>g</w:t>
      </w:r>
      <w:r w:rsidR="007A04C1" w:rsidRPr="001B6190">
        <w:t>reenfield</w:t>
      </w:r>
      <w:r w:rsidRPr="001B6190">
        <w:t xml:space="preserve">) </w:t>
      </w:r>
      <w:r w:rsidRPr="00F22A3F">
        <w:t xml:space="preserve">SWDS where no LFG capture system was installed prior to the implementation of the </w:t>
      </w:r>
      <w:r>
        <w:t>Article 6.4 activity (except for legal or contractual requirements) or would be installed in the absence of the Article 6.4 activity</w:t>
      </w:r>
      <w:r w:rsidRPr="00F22A3F">
        <w:t>; or</w:t>
      </w:r>
    </w:p>
    <w:p w14:paraId="01B881C0" w14:textId="41F332D8" w:rsidR="007A04C1" w:rsidRDefault="007A04C1" w:rsidP="00DA05CE">
      <w:pPr>
        <w:pStyle w:val="SDMSubPara1"/>
        <w:keepNext/>
      </w:pPr>
      <w:r>
        <w:t xml:space="preserve">Upgrading </w:t>
      </w:r>
      <w:r w:rsidR="004334D2">
        <w:t>an existing (active or passive) LFG capture system to increase the recovery rate</w:t>
      </w:r>
      <w:r>
        <w:t>,</w:t>
      </w:r>
      <w:r w:rsidR="004334D2">
        <w:t xml:space="preserve"> where</w:t>
      </w:r>
      <w:r w:rsidR="004D2240">
        <w:t xml:space="preserve"> t</w:t>
      </w:r>
      <w:r w:rsidR="004D2240" w:rsidRPr="00B3632C">
        <w:t>he captured LFG</w:t>
      </w:r>
      <w:r w:rsidR="004D2240">
        <w:t xml:space="preserve"> prior to the implementation of the Article 6.4 activity was </w:t>
      </w:r>
      <w:r w:rsidR="004D2240" w:rsidRPr="00B3632C">
        <w:t>flared and not used</w:t>
      </w:r>
      <w:r w:rsidR="004D2240">
        <w:t>, and:</w:t>
      </w:r>
    </w:p>
    <w:p w14:paraId="11DCDAB1" w14:textId="72C0F1B0" w:rsidR="004334D2" w:rsidDel="003118B2" w:rsidRDefault="004334D2" w:rsidP="00E66E80">
      <w:pPr>
        <w:pStyle w:val="SDMSubPara2"/>
      </w:pPr>
      <w:r w:rsidRPr="18D621DB">
        <w:t xml:space="preserve">The amount of LFG captured by the existing system is collected and measured separately from the </w:t>
      </w:r>
      <w:r w:rsidR="006E6095">
        <w:t>upgrade</w:t>
      </w:r>
      <w:r>
        <w:t xml:space="preserve"> implemented as part of the Article 6.4 activity</w:t>
      </w:r>
      <w:r w:rsidRPr="18D621DB">
        <w:t>; or</w:t>
      </w:r>
    </w:p>
    <w:p w14:paraId="60BE75D1" w14:textId="46757F20" w:rsidR="004334D2" w:rsidRPr="007D4B70" w:rsidRDefault="004334D2" w:rsidP="00E66E80">
      <w:pPr>
        <w:pStyle w:val="SDMSubPara2"/>
      </w:pPr>
      <w:r w:rsidRPr="18D621DB">
        <w:t xml:space="preserve">The efficiency of the existing system is not impacted by the </w:t>
      </w:r>
      <w:r w:rsidR="005C0E64">
        <w:t>upgrade</w:t>
      </w:r>
      <w:r w:rsidRPr="00DC413D">
        <w:t xml:space="preserve"> </w:t>
      </w:r>
      <w:r>
        <w:t>implemented as part of the Article 6.4 activity</w:t>
      </w:r>
      <w:r w:rsidRPr="18D621DB">
        <w:t xml:space="preserve">, and historical data on the amount of LFG captured and flared is </w:t>
      </w:r>
      <w:r w:rsidRPr="007D4B70">
        <w:t xml:space="preserve">available </w:t>
      </w:r>
      <w:r w:rsidRPr="00D2710A">
        <w:t>(if such historical data is not available, no A6.4 ERs can be claimed)</w:t>
      </w:r>
      <w:r w:rsidR="004D6777">
        <w:t>.</w:t>
      </w:r>
    </w:p>
    <w:p w14:paraId="05BAB1A4" w14:textId="42E90197" w:rsidR="004334D2" w:rsidRDefault="007A04C1" w:rsidP="00DA05CE">
      <w:pPr>
        <w:pStyle w:val="SDMPara"/>
        <w:keepNext/>
      </w:pPr>
      <w:bookmarkStart w:id="86" w:name="_Ref208231317"/>
      <w:r>
        <w:t xml:space="preserve">The </w:t>
      </w:r>
      <w:r w:rsidR="008A0B90">
        <w:t>mechanism methodology</w:t>
      </w:r>
      <w:r>
        <w:t xml:space="preserve"> is only applicable to activities that meet the requirements of paragraph </w:t>
      </w:r>
      <w:r>
        <w:fldChar w:fldCharType="begin"/>
      </w:r>
      <w:r>
        <w:instrText xml:space="preserve"> REF _Ref207694779 \r \h </w:instrText>
      </w:r>
      <w:r>
        <w:fldChar w:fldCharType="separate"/>
      </w:r>
      <w:r w:rsidR="00302468">
        <w:rPr>
          <w:cs/>
        </w:rPr>
        <w:t>‎</w:t>
      </w:r>
      <w:r w:rsidR="00302468">
        <w:t>11</w:t>
      </w:r>
      <w:r>
        <w:fldChar w:fldCharType="end"/>
      </w:r>
      <w:r>
        <w:t xml:space="preserve"> </w:t>
      </w:r>
      <w:r w:rsidR="00097EB0">
        <w:t xml:space="preserve">above </w:t>
      </w:r>
      <w:r>
        <w:t xml:space="preserve">and that collect </w:t>
      </w:r>
      <w:r w:rsidR="00097EB0">
        <w:t xml:space="preserve">the </w:t>
      </w:r>
      <w:r w:rsidR="004334D2">
        <w:t xml:space="preserve">LFG under the Article 6.4 activity </w:t>
      </w:r>
      <w:r w:rsidR="00F03442">
        <w:t>exclusively for one or more of the following applications</w:t>
      </w:r>
      <w:r w:rsidR="004334D2" w:rsidRPr="006747DB">
        <w:t>:</w:t>
      </w:r>
      <w:bookmarkEnd w:id="86"/>
    </w:p>
    <w:p w14:paraId="4B690ED0" w14:textId="1842FEB8" w:rsidR="00F03442" w:rsidRDefault="00F03442" w:rsidP="00E66E80">
      <w:pPr>
        <w:pStyle w:val="SDMSubPara1"/>
      </w:pPr>
      <w:r>
        <w:t>Flaring;</w:t>
      </w:r>
    </w:p>
    <w:p w14:paraId="663D8477" w14:textId="202876FA" w:rsidR="004334D2" w:rsidRDefault="004334D2" w:rsidP="00E66E80">
      <w:pPr>
        <w:pStyle w:val="SDMSubPara1"/>
      </w:pPr>
      <w:r>
        <w:t>Generating electricity;</w:t>
      </w:r>
    </w:p>
    <w:p w14:paraId="610FC9A8" w14:textId="77777777" w:rsidR="004334D2" w:rsidRDefault="004334D2" w:rsidP="004C695F">
      <w:pPr>
        <w:pStyle w:val="SDMSubPara1"/>
        <w:keepLines/>
      </w:pPr>
      <w:r>
        <w:t>Generating heat in a boiler, air heater or kiln (brick firing only) or glass melting furnace;</w:t>
      </w:r>
    </w:p>
    <w:p w14:paraId="35B8189C" w14:textId="77777777" w:rsidR="004334D2" w:rsidRDefault="004334D2" w:rsidP="00E66E80">
      <w:pPr>
        <w:pStyle w:val="SDMSubPara1"/>
      </w:pPr>
      <w:r>
        <w:t>Supplying the biomethane produced from the LFG to consumers through a natural gas distribution network;</w:t>
      </w:r>
    </w:p>
    <w:p w14:paraId="7294E5B2" w14:textId="77777777" w:rsidR="004334D2" w:rsidRDefault="004334D2" w:rsidP="00E66E80">
      <w:pPr>
        <w:pStyle w:val="SDMSubPara1"/>
      </w:pPr>
      <w:r>
        <w:t>Supplying the LFG or the biomethane produced from the LFG to consumers via trucks;</w:t>
      </w:r>
    </w:p>
    <w:p w14:paraId="553CD360" w14:textId="77777777" w:rsidR="004334D2" w:rsidRDefault="004334D2" w:rsidP="00E66E80">
      <w:pPr>
        <w:pStyle w:val="SDMSubPara1"/>
      </w:pPr>
      <w:r>
        <w:t>Supplying the LFG or the biomethane produced from the LFG to consumers through a dedicated pipeline.</w:t>
      </w:r>
    </w:p>
    <w:p w14:paraId="1985F181" w14:textId="68898BAA" w:rsidR="004334D2" w:rsidRPr="0088641B" w:rsidRDefault="004334D2" w:rsidP="0071571A">
      <w:pPr>
        <w:pStyle w:val="SDMPara"/>
        <w:keepNext/>
      </w:pPr>
      <w:bookmarkStart w:id="87" w:name="_Ref206505728"/>
      <w:bookmarkStart w:id="88" w:name="_Ref208231359"/>
      <w:r>
        <w:t xml:space="preserve">The </w:t>
      </w:r>
      <w:r w:rsidR="008A0B90">
        <w:t>mechanism methodology</w:t>
      </w:r>
      <w:r>
        <w:t xml:space="preserve"> is only applicable if the project does not reduce the amount of organic waste that would be recycled in the absence of the </w:t>
      </w:r>
      <w:bookmarkEnd w:id="87"/>
      <w:r>
        <w:t>Article 6.4 activity.</w:t>
      </w:r>
      <w:bookmarkEnd w:id="88"/>
    </w:p>
    <w:p w14:paraId="428E9D5B" w14:textId="3763E504" w:rsidR="004334D2" w:rsidRDefault="004334D2" w:rsidP="00DA05CE">
      <w:pPr>
        <w:pStyle w:val="SDMPara"/>
        <w:keepNext/>
      </w:pPr>
      <w:bookmarkStart w:id="89" w:name="_Ref207694788"/>
      <w:r w:rsidRPr="00933F10">
        <w:t xml:space="preserve">The </w:t>
      </w:r>
      <w:r w:rsidR="008A0B90">
        <w:t>mechanism methodology</w:t>
      </w:r>
      <w:r w:rsidRPr="00933F10">
        <w:t xml:space="preserve"> is only applicable </w:t>
      </w:r>
      <w:r>
        <w:t xml:space="preserve">for the following </w:t>
      </w:r>
      <w:r w:rsidRPr="00933F10">
        <w:t>baseline scenario</w:t>
      </w:r>
      <w:r>
        <w:t>s</w:t>
      </w:r>
      <w:r w:rsidRPr="00933F10">
        <w:t>:</w:t>
      </w:r>
      <w:bookmarkEnd w:id="89"/>
    </w:p>
    <w:p w14:paraId="74378E70" w14:textId="71F9D222" w:rsidR="004334D2" w:rsidRPr="00540501" w:rsidRDefault="004334D2" w:rsidP="00DA05CE">
      <w:pPr>
        <w:pStyle w:val="SDMSubPara1"/>
        <w:keepNext/>
      </w:pPr>
      <w:r w:rsidRPr="00540501">
        <w:t xml:space="preserve">For the </w:t>
      </w:r>
      <w:r w:rsidR="00FE3944" w:rsidRPr="00540501">
        <w:t xml:space="preserve">methane contained in the </w:t>
      </w:r>
      <w:r w:rsidRPr="00540501">
        <w:t>LFG component</w:t>
      </w:r>
      <w:r w:rsidR="00FE3944" w:rsidRPr="00540501">
        <w:t xml:space="preserve"> (here</w:t>
      </w:r>
      <w:r w:rsidR="004D4D02" w:rsidRPr="00540501">
        <w:t>a</w:t>
      </w:r>
      <w:r w:rsidR="00FE3944" w:rsidRPr="00540501">
        <w:t>fter referred to as “methane component”)</w:t>
      </w:r>
      <w:r w:rsidRPr="00540501">
        <w:t>:</w:t>
      </w:r>
    </w:p>
    <w:p w14:paraId="12604B7D" w14:textId="4CC3F571" w:rsidR="004334D2" w:rsidRPr="00540501" w:rsidRDefault="004334D2" w:rsidP="00E66E80">
      <w:pPr>
        <w:pStyle w:val="SDMSubPara2"/>
      </w:pPr>
      <w:r w:rsidRPr="00540501">
        <w:t xml:space="preserve">For Article 6.4 activities developed in an existing SWDS, the most plausible baseline scenario is that the </w:t>
      </w:r>
      <w:r w:rsidR="005629A2" w:rsidRPr="00540501">
        <w:t xml:space="preserve">methane contained in the </w:t>
      </w:r>
      <w:r w:rsidRPr="00540501">
        <w:t>LFG generated in the SWDS would be either released to the atmosphere or captured and destroyed through flaring to comply with legal or contractual requirements, to address safety and odour concerns, or for other reasons;</w:t>
      </w:r>
    </w:p>
    <w:p w14:paraId="133CA400" w14:textId="3281FF48" w:rsidR="004334D2" w:rsidRPr="00933F10" w:rsidRDefault="004334D2" w:rsidP="00E66E80">
      <w:pPr>
        <w:pStyle w:val="SDMSubPara2"/>
      </w:pPr>
      <w:r w:rsidRPr="00540501">
        <w:t xml:space="preserve">For Article 6.4 activities implemented in a greenfield SWDS, the most plausible baseline scenario, as identified based on the </w:t>
      </w:r>
      <w:r w:rsidR="006F2516">
        <w:t>best-available technology</w:t>
      </w:r>
      <w:r w:rsidR="003B7FBD">
        <w:t xml:space="preserve"> </w:t>
      </w:r>
      <w:r w:rsidR="006F2516">
        <w:t>(</w:t>
      </w:r>
      <w:r w:rsidRPr="00540501">
        <w:t>BAT</w:t>
      </w:r>
      <w:r w:rsidR="006F2516">
        <w:t>)</w:t>
      </w:r>
      <w:r w:rsidRPr="00540501">
        <w:t xml:space="preserve"> approach, is that the </w:t>
      </w:r>
      <w:r w:rsidR="005629A2" w:rsidRPr="00540501">
        <w:t>methane contained in</w:t>
      </w:r>
      <w:r w:rsidR="005629A2">
        <w:t xml:space="preserve"> the </w:t>
      </w:r>
      <w:r>
        <w:t xml:space="preserve">LFG generated in the SWDS would be either released to the atmosphere </w:t>
      </w:r>
      <w:r w:rsidRPr="00933F10">
        <w:t>or capture</w:t>
      </w:r>
      <w:r>
        <w:t>d</w:t>
      </w:r>
      <w:r w:rsidRPr="00933F10">
        <w:t xml:space="preserve"> and </w:t>
      </w:r>
      <w:r>
        <w:t xml:space="preserve">destroyed </w:t>
      </w:r>
      <w:r w:rsidRPr="00933F10">
        <w:t xml:space="preserve">through flaring to comply with </w:t>
      </w:r>
      <w:r>
        <w:t>legal</w:t>
      </w:r>
      <w:r w:rsidRPr="00933F10">
        <w:t xml:space="preserve"> or contractual requirements, to address safety and odour concerns, or for other reasons</w:t>
      </w:r>
      <w:r w:rsidR="00DA0B1A">
        <w:t>.</w:t>
      </w:r>
      <w:r>
        <w:rPr>
          <w:rStyle w:val="FootnoteReference"/>
        </w:rPr>
        <w:footnoteReference w:id="8"/>
      </w:r>
    </w:p>
    <w:p w14:paraId="186C4036" w14:textId="77777777" w:rsidR="004334D2" w:rsidRDefault="004334D2" w:rsidP="00DA05CE">
      <w:pPr>
        <w:pStyle w:val="SDMSubPara1"/>
        <w:keepNext/>
      </w:pPr>
      <w:r w:rsidRPr="00933F10">
        <w:t xml:space="preserve">For </w:t>
      </w:r>
      <w:r>
        <w:t xml:space="preserve">the </w:t>
      </w:r>
      <w:r w:rsidRPr="00933F10">
        <w:t>electricity generation</w:t>
      </w:r>
      <w:r>
        <w:t xml:space="preserve"> component:</w:t>
      </w:r>
    </w:p>
    <w:p w14:paraId="0BE8118A" w14:textId="77777777" w:rsidR="004334D2" w:rsidRDefault="004334D2" w:rsidP="00E66E80">
      <w:pPr>
        <w:pStyle w:val="SDMSubPara2"/>
      </w:pPr>
      <w:r>
        <w:t xml:space="preserve">If the </w:t>
      </w:r>
      <w:r w:rsidRPr="00933F10">
        <w:t>electricity</w:t>
      </w:r>
      <w:r>
        <w:t xml:space="preserve"> </w:t>
      </w:r>
      <w:r w:rsidRPr="00933F10">
        <w:t>generated</w:t>
      </w:r>
      <w:r>
        <w:t xml:space="preserve"> by the Article 6.4 activity is supplied to the grid, the most plausible baseline scenario is the same amount of electricity is generated from other power plants connected to the same electric </w:t>
      </w:r>
      <w:r w:rsidRPr="00933F10">
        <w:t>grid</w:t>
      </w:r>
      <w:r>
        <w:t>;</w:t>
      </w:r>
    </w:p>
    <w:p w14:paraId="60F59E44" w14:textId="37F9D840" w:rsidR="004334D2" w:rsidRDefault="004334D2" w:rsidP="00E66E80">
      <w:pPr>
        <w:pStyle w:val="SDMSubPara2"/>
      </w:pPr>
      <w:r>
        <w:t>If the electricity generated by the Article 6.4 activity replaces the electricity generated in</w:t>
      </w:r>
      <w:r w:rsidRPr="00933F10">
        <w:t xml:space="preserve"> </w:t>
      </w:r>
      <w:r>
        <w:t xml:space="preserve">an existing </w:t>
      </w:r>
      <w:r w:rsidRPr="00933F10">
        <w:t>captive fossil fuel fired power plant</w:t>
      </w:r>
      <w:r w:rsidR="00F03442">
        <w:t xml:space="preserve"> located within the project boundary</w:t>
      </w:r>
      <w:r>
        <w:t xml:space="preserve">, the most plausible baseline scenario is the continued operation of the existing captive </w:t>
      </w:r>
      <w:r w:rsidR="001E6365">
        <w:t xml:space="preserve">fossil fuel fired </w:t>
      </w:r>
      <w:r>
        <w:t>power plant located using the same fuel;</w:t>
      </w:r>
    </w:p>
    <w:p w14:paraId="49C58D50" w14:textId="02CBD85C" w:rsidR="004334D2" w:rsidRPr="00933F10" w:rsidRDefault="004334D2" w:rsidP="00E66E80">
      <w:pPr>
        <w:pStyle w:val="SDMSubPara2"/>
      </w:pPr>
      <w:r>
        <w:t>If the electricity generated by the Article 6.4 activity replaces the electricity generated in a new captive fossil fuel fired power plant</w:t>
      </w:r>
      <w:r w:rsidR="00F03442">
        <w:t xml:space="preserve"> located within the project boundary</w:t>
      </w:r>
      <w:r>
        <w:t>, the baseline scenario is determined based on the best available technology approach.</w:t>
      </w:r>
    </w:p>
    <w:p w14:paraId="3ACB2482" w14:textId="77777777" w:rsidR="004334D2" w:rsidRDefault="004334D2" w:rsidP="00DA05CE">
      <w:pPr>
        <w:pStyle w:val="SDMSubPara1"/>
        <w:keepNext/>
      </w:pPr>
      <w:r w:rsidRPr="00933F10">
        <w:t>For</w:t>
      </w:r>
      <w:r>
        <w:t xml:space="preserve"> the</w:t>
      </w:r>
      <w:r w:rsidRPr="00933F10">
        <w:t xml:space="preserve"> heat generation</w:t>
      </w:r>
      <w:r w:rsidRPr="004C51FB">
        <w:t xml:space="preserve"> </w:t>
      </w:r>
      <w:r>
        <w:t>component</w:t>
      </w:r>
      <w:r w:rsidRPr="00933F10">
        <w:t>:</w:t>
      </w:r>
    </w:p>
    <w:p w14:paraId="1E445F07" w14:textId="3B39CEC1" w:rsidR="004334D2" w:rsidRDefault="004334D2" w:rsidP="00E66E80">
      <w:pPr>
        <w:pStyle w:val="SDMSubPara2"/>
      </w:pPr>
      <w:bookmarkStart w:id="90" w:name="_Ref203745365"/>
      <w:r>
        <w:t xml:space="preserve">If the heat generated by the Article 6.4 activity is replacing heat generated in existing equipment </w:t>
      </w:r>
      <w:r w:rsidR="00F03442">
        <w:t xml:space="preserve">located within the project boundary </w:t>
      </w:r>
      <w:r w:rsidRPr="0052715D">
        <w:t>(</w:t>
      </w:r>
      <w:r w:rsidR="00F03442">
        <w:t xml:space="preserve">e.g., a </w:t>
      </w:r>
      <w:r w:rsidRPr="0052715D">
        <w:t xml:space="preserve">boiler, air heater, glass melting furnace or </w:t>
      </w:r>
      <w:r>
        <w:t xml:space="preserve">brick </w:t>
      </w:r>
      <w:r w:rsidRPr="0052715D">
        <w:t>kiln)</w:t>
      </w:r>
      <w:r>
        <w:t xml:space="preserve">, the most plausible baseline scenario is the continued generation of heat in the existing </w:t>
      </w:r>
      <w:r w:rsidRPr="00933F10">
        <w:t xml:space="preserve">equipment </w:t>
      </w:r>
      <w:r>
        <w:t>using the same fuel</w:t>
      </w:r>
      <w:r w:rsidRPr="00933F10">
        <w:t>;</w:t>
      </w:r>
      <w:bookmarkEnd w:id="90"/>
    </w:p>
    <w:p w14:paraId="3FFE542D" w14:textId="48513C8C" w:rsidR="004334D2" w:rsidRPr="00933F10" w:rsidRDefault="004334D2" w:rsidP="00E66E80">
      <w:pPr>
        <w:pStyle w:val="SDMSubPara2"/>
      </w:pPr>
      <w:r>
        <w:t xml:space="preserve">If the heat generated by the Article 6.4 activity is replacing heat generated in new equipment </w:t>
      </w:r>
      <w:r w:rsidR="00F03442">
        <w:t xml:space="preserve">located within the project boundary </w:t>
      </w:r>
      <w:r>
        <w:t>(</w:t>
      </w:r>
      <w:r w:rsidR="00F03442">
        <w:t xml:space="preserve">e.g., a </w:t>
      </w:r>
      <w:r>
        <w:t>boiler, air heater, glass melting furnace or kiln), the baseline scenario is determined based on the best available technology approach</w:t>
      </w:r>
      <w:r w:rsidR="00DA0B1A">
        <w:t>.</w:t>
      </w:r>
    </w:p>
    <w:p w14:paraId="1AF02AE0" w14:textId="59745BDD" w:rsidR="004334D2" w:rsidRDefault="004334D2" w:rsidP="00E66E80">
      <w:pPr>
        <w:pStyle w:val="SDMSubPara1"/>
      </w:pPr>
      <w:r>
        <w:t xml:space="preserve">For the supply of LFG or biomethane </w:t>
      </w:r>
      <w:r w:rsidRPr="00933F10">
        <w:t xml:space="preserve">to </w:t>
      </w:r>
      <w:r>
        <w:t>consumers</w:t>
      </w:r>
      <w:r w:rsidRPr="00933F10">
        <w:t xml:space="preserve"> through trucks or dedicated pipeline</w:t>
      </w:r>
      <w:r w:rsidR="000E2D84">
        <w:t xml:space="preserve">, </w:t>
      </w:r>
      <w:r>
        <w:t xml:space="preserve">or </w:t>
      </w:r>
      <w:r w:rsidR="000E2D84">
        <w:t>the supply of</w:t>
      </w:r>
      <w:r>
        <w:t xml:space="preserve"> biomethane through natural gas dedicated network</w:t>
      </w:r>
      <w:r w:rsidR="000E2D84">
        <w:t xml:space="preserve"> </w:t>
      </w:r>
      <w:r w:rsidR="000E2D84" w:rsidRPr="00655CFE">
        <w:t>(hereinafter referred to as “</w:t>
      </w:r>
      <w:r w:rsidR="00690CA4" w:rsidRPr="00655CFE">
        <w:t>s</w:t>
      </w:r>
      <w:r w:rsidR="000E2D84" w:rsidRPr="00655CFE">
        <w:t>upply of LFG or biomethane to consumers component”</w:t>
      </w:r>
      <w:r w:rsidRPr="00655CFE">
        <w:t>), th</w:t>
      </w:r>
      <w:r w:rsidRPr="00933F10">
        <w:t xml:space="preserve">e </w:t>
      </w:r>
      <w:r>
        <w:t>most plausible</w:t>
      </w:r>
      <w:r w:rsidRPr="00933F10">
        <w:t xml:space="preserve"> baseline scenario is </w:t>
      </w:r>
      <w:r>
        <w:t xml:space="preserve">the consumption </w:t>
      </w:r>
      <w:r w:rsidRPr="00933F10">
        <w:t>of natural gas</w:t>
      </w:r>
      <w:r>
        <w:t xml:space="preserve"> from an existing natural gas network.</w:t>
      </w:r>
    </w:p>
    <w:p w14:paraId="501EA7F9" w14:textId="08BE9A60" w:rsidR="00426CAE" w:rsidRDefault="00BF1E9F" w:rsidP="00DA05CE">
      <w:pPr>
        <w:pStyle w:val="SDMPara"/>
        <w:keepNext/>
      </w:pPr>
      <w:bookmarkStart w:id="91" w:name="_Ref211515589"/>
      <w:bookmarkStart w:id="92" w:name="_Ref208231368"/>
      <w:bookmarkStart w:id="93" w:name="_Ref207694800"/>
      <w:r>
        <w:t xml:space="preserve">If the Article 6.4 activity involves heat generation and results in existing heat generation equipment being replaced as per paragraph </w:t>
      </w:r>
      <w:r w:rsidR="00EF57F9">
        <w:fldChar w:fldCharType="begin"/>
      </w:r>
      <w:r w:rsidR="00EF57F9">
        <w:instrText xml:space="preserve"> REF _Ref203745365 \w \p \h </w:instrText>
      </w:r>
      <w:r w:rsidR="00EF57F9">
        <w:fldChar w:fldCharType="separate"/>
      </w:r>
      <w:r w:rsidR="00302468">
        <w:rPr>
          <w:cs/>
        </w:rPr>
        <w:t>‎</w:t>
      </w:r>
      <w:r w:rsidR="00302468">
        <w:t>14(c)(i) above</w:t>
      </w:r>
      <w:r w:rsidR="00EF57F9">
        <w:fldChar w:fldCharType="end"/>
      </w:r>
      <w:r>
        <w:t>, then activity participants shall demonstrate that:</w:t>
      </w:r>
      <w:bookmarkEnd w:id="91"/>
    </w:p>
    <w:p w14:paraId="7C0AC572" w14:textId="5D66E9A8" w:rsidR="00BF1E9F" w:rsidRDefault="00BF1E9F" w:rsidP="00E66E80">
      <w:pPr>
        <w:pStyle w:val="SDMSubPara1"/>
      </w:pPr>
      <w:bookmarkStart w:id="94" w:name="_Ref211515837"/>
      <w:r>
        <w:t>The existing heat generation equipment that is replaced is scrapped, and provide evidence of the scrapping to the DOE performing the validation or at first verification; or</w:t>
      </w:r>
      <w:bookmarkEnd w:id="94"/>
    </w:p>
    <w:p w14:paraId="4445A485" w14:textId="04546C88" w:rsidR="00BF1E9F" w:rsidRDefault="00BF1E9F" w:rsidP="00E66E80">
      <w:pPr>
        <w:pStyle w:val="SDMSubPara1"/>
      </w:pPr>
      <w:r>
        <w:t>The existing heat generation equipment is used outside of the activity boundary</w:t>
      </w:r>
      <w:r w:rsidR="0055735E">
        <w:t xml:space="preserve"> </w:t>
      </w:r>
      <w:r>
        <w:t>and has a higher efficiency than any equipment it may replace. Evidence of the efficiency of the replaced heat generation equipment outside of the activity boundary shall be provided to the DOE performing the validation</w:t>
      </w:r>
      <w:r w:rsidR="0077782F">
        <w:t xml:space="preserve">. If </w:t>
      </w:r>
      <w:r w:rsidR="0077782F" w:rsidRPr="003C180D">
        <w:t>activity</w:t>
      </w:r>
      <w:r w:rsidR="0077782F">
        <w:t xml:space="preserve"> </w:t>
      </w:r>
      <w:r w:rsidR="0077782F" w:rsidRPr="003C180D">
        <w:t>participant</w:t>
      </w:r>
      <w:r w:rsidR="0077782F">
        <w:t>s</w:t>
      </w:r>
      <w:r w:rsidR="0077782F" w:rsidRPr="003C180D">
        <w:t xml:space="preserve"> </w:t>
      </w:r>
      <w:r w:rsidR="0077782F">
        <w:t>can</w:t>
      </w:r>
      <w:r w:rsidR="0077782F" w:rsidRPr="003C180D">
        <w:t xml:space="preserve">not demonstrate that a </w:t>
      </w:r>
      <w:r w:rsidR="0053252A">
        <w:t>higher</w:t>
      </w:r>
      <w:r w:rsidR="0077782F" w:rsidRPr="003C180D">
        <w:t xml:space="preserve"> efficiency equipment is replacing a </w:t>
      </w:r>
      <w:r w:rsidR="0053252A">
        <w:t>lower</w:t>
      </w:r>
      <w:r w:rsidR="0077782F" w:rsidRPr="003C180D">
        <w:t xml:space="preserve"> efficiency equipment</w:t>
      </w:r>
      <w:r w:rsidR="0077782F">
        <w:t xml:space="preserve">, </w:t>
      </w:r>
      <w:r w:rsidR="00703C8B">
        <w:t xml:space="preserve">then </w:t>
      </w:r>
      <w:r w:rsidR="0077782F">
        <w:t xml:space="preserve">the </w:t>
      </w:r>
      <w:r w:rsidR="008A0B90">
        <w:t>mechanism methodology</w:t>
      </w:r>
      <w:r w:rsidR="0077782F">
        <w:t xml:space="preserve"> is not applicable</w:t>
      </w:r>
      <w:r w:rsidR="0077782F" w:rsidRPr="003C180D">
        <w:t>.</w:t>
      </w:r>
    </w:p>
    <w:p w14:paraId="6944872D" w14:textId="6045D7B2" w:rsidR="004334D2" w:rsidRPr="0029655E" w:rsidRDefault="004334D2" w:rsidP="00E66E80">
      <w:pPr>
        <w:pStyle w:val="SDMPara"/>
        <w:keepNext/>
      </w:pPr>
      <w:bookmarkStart w:id="95" w:name="_Ref211515769"/>
      <w:bookmarkEnd w:id="92"/>
      <w:bookmarkEnd w:id="93"/>
      <w:r w:rsidRPr="0029655E">
        <w:t xml:space="preserve">This </w:t>
      </w:r>
      <w:r w:rsidR="008A0B90">
        <w:t>mechanism methodology</w:t>
      </w:r>
      <w:r w:rsidRPr="0029655E">
        <w:t xml:space="preserve"> is</w:t>
      </w:r>
      <w:r w:rsidR="00DB528F">
        <w:t xml:space="preserve"> </w:t>
      </w:r>
      <w:r w:rsidR="00016721">
        <w:t xml:space="preserve">only </w:t>
      </w:r>
      <w:r w:rsidR="00DC19FF">
        <w:t xml:space="preserve">applicable </w:t>
      </w:r>
      <w:r w:rsidR="00140EE8">
        <w:t>as</w:t>
      </w:r>
      <w:r w:rsidR="007B5100">
        <w:t xml:space="preserve"> </w:t>
      </w:r>
      <w:r w:rsidR="00140EE8">
        <w:t xml:space="preserve">a </w:t>
      </w:r>
      <w:r w:rsidR="007B5100">
        <w:t xml:space="preserve">standalone </w:t>
      </w:r>
      <w:r w:rsidR="008A0B90">
        <w:t>methodology</w:t>
      </w:r>
      <w:r w:rsidR="00DB528F">
        <w:t xml:space="preserve"> and can</w:t>
      </w:r>
      <w:r w:rsidR="00140EE8">
        <w:t>not</w:t>
      </w:r>
      <w:r w:rsidR="00DB528F">
        <w:t xml:space="preserve"> be applied in combination with other methodologies</w:t>
      </w:r>
      <w:r w:rsidR="004D6777">
        <w:t>.</w:t>
      </w:r>
      <w:r w:rsidR="00847BC7">
        <w:rPr>
          <w:rStyle w:val="FootnoteReference"/>
        </w:rPr>
        <w:footnoteReference w:id="9"/>
      </w:r>
      <w:bookmarkEnd w:id="95"/>
    </w:p>
    <w:p w14:paraId="569EFC08" w14:textId="587C3D2D" w:rsidR="004334D2" w:rsidRDefault="00CF48E0" w:rsidP="00E66E80">
      <w:pPr>
        <w:pStyle w:val="SDMPara"/>
      </w:pPr>
      <w:bookmarkStart w:id="96" w:name="_Ref207694873"/>
      <w:r w:rsidRPr="0029655E">
        <w:t xml:space="preserve">This </w:t>
      </w:r>
      <w:r w:rsidR="008A0B90">
        <w:t>mechanism methodology</w:t>
      </w:r>
      <w:r w:rsidRPr="0029655E">
        <w:t xml:space="preserve"> is not applicable</w:t>
      </w:r>
      <w:r w:rsidRPr="00FD69FD">
        <w:t xml:space="preserve"> </w:t>
      </w:r>
      <w:r>
        <w:t>i</w:t>
      </w:r>
      <w:r w:rsidR="004334D2" w:rsidRPr="00FD69FD">
        <w:t xml:space="preserve">f the management of the SWDS in the </w:t>
      </w:r>
      <w:r w:rsidR="004334D2">
        <w:t xml:space="preserve">Article 6.4 </w:t>
      </w:r>
      <w:r w:rsidR="004334D2" w:rsidRPr="00FD69FD">
        <w:t xml:space="preserve">activity </w:t>
      </w:r>
      <w:r w:rsidR="004334D2">
        <w:t xml:space="preserve">scenario </w:t>
      </w:r>
      <w:r w:rsidR="004334D2" w:rsidRPr="00FD69FD">
        <w:t xml:space="preserve">is </w:t>
      </w:r>
      <w:r w:rsidR="004334D2" w:rsidRPr="00C250CD">
        <w:t>changed in a manner that increases methane generation</w:t>
      </w:r>
      <w:r w:rsidR="004334D2" w:rsidRPr="00FD69FD">
        <w:t xml:space="preserve"> compared to the situation prior to the implementation of the </w:t>
      </w:r>
      <w:r w:rsidR="003578EA">
        <w:t>Article 6.4 activity (for example by recirculating the leachate in the project scenario which was not done in the baseline)</w:t>
      </w:r>
      <w:r w:rsidR="004334D2">
        <w:t>, unless the change is implemented due to legal requirements. At the validation and at each verification, the DOE shall assess whether any changes in the design or management of the SWDS have been implemented and review any applicable legal requirements (</w:t>
      </w:r>
      <w:r w:rsidR="00CD1F32">
        <w:t>e.g.,</w:t>
      </w:r>
      <w:r w:rsidR="004334D2">
        <w:t xml:space="preserve"> changes to the maximum allowable emission limit for VOCs).</w:t>
      </w:r>
      <w:bookmarkEnd w:id="96"/>
    </w:p>
    <w:p w14:paraId="2C37A915" w14:textId="77777777" w:rsidR="004334D2" w:rsidRDefault="004334D2" w:rsidP="001C2134">
      <w:pPr>
        <w:pStyle w:val="SDMPara"/>
        <w:keepNext/>
      </w:pPr>
      <w:r>
        <w:t>The above provisions shall be demonstrated as follows:</w:t>
      </w:r>
    </w:p>
    <w:p w14:paraId="6E5E4CDD" w14:textId="1FD72401" w:rsidR="004334D2" w:rsidRDefault="004334D2" w:rsidP="00E66E80">
      <w:pPr>
        <w:pStyle w:val="SDMSubPara1"/>
      </w:pPr>
      <w:r>
        <w:t xml:space="preserve">The provisions in paragraphs </w:t>
      </w:r>
      <w:r>
        <w:fldChar w:fldCharType="begin"/>
      </w:r>
      <w:r>
        <w:instrText xml:space="preserve"> REF _Ref207694779 \w \h </w:instrText>
      </w:r>
      <w:r>
        <w:fldChar w:fldCharType="separate"/>
      </w:r>
      <w:r w:rsidR="00302468">
        <w:rPr>
          <w:cs/>
        </w:rPr>
        <w:t>‎</w:t>
      </w:r>
      <w:r w:rsidR="00302468">
        <w:t>11</w:t>
      </w:r>
      <w:r>
        <w:fldChar w:fldCharType="end"/>
      </w:r>
      <w:r>
        <w:t xml:space="preserve">, </w:t>
      </w:r>
      <w:r>
        <w:fldChar w:fldCharType="begin"/>
      </w:r>
      <w:r>
        <w:instrText xml:space="preserve"> REF _Ref208231317 \w \h </w:instrText>
      </w:r>
      <w:r>
        <w:fldChar w:fldCharType="separate"/>
      </w:r>
      <w:r w:rsidR="00302468">
        <w:rPr>
          <w:cs/>
        </w:rPr>
        <w:t>‎</w:t>
      </w:r>
      <w:r w:rsidR="00302468">
        <w:t>12</w:t>
      </w:r>
      <w:r>
        <w:fldChar w:fldCharType="end"/>
      </w:r>
      <w:r>
        <w:t xml:space="preserve">, </w:t>
      </w:r>
      <w:r>
        <w:fldChar w:fldCharType="begin"/>
      </w:r>
      <w:r>
        <w:instrText xml:space="preserve"> REF _Ref207694788 \w \h </w:instrText>
      </w:r>
      <w:r>
        <w:fldChar w:fldCharType="separate"/>
      </w:r>
      <w:r w:rsidR="00302468">
        <w:rPr>
          <w:cs/>
        </w:rPr>
        <w:t>‎</w:t>
      </w:r>
      <w:r w:rsidR="00302468">
        <w:t>14</w:t>
      </w:r>
      <w:r>
        <w:fldChar w:fldCharType="end"/>
      </w:r>
      <w:r w:rsidR="009E4873">
        <w:t xml:space="preserve"> and </w:t>
      </w:r>
      <w:r w:rsidR="001C38FE">
        <w:fldChar w:fldCharType="begin"/>
      </w:r>
      <w:r w:rsidR="001C38FE">
        <w:instrText xml:space="preserve"> REF _Ref211515769 \w \h </w:instrText>
      </w:r>
      <w:r w:rsidR="001C38FE">
        <w:fldChar w:fldCharType="separate"/>
      </w:r>
      <w:r w:rsidR="00302468">
        <w:rPr>
          <w:cs/>
        </w:rPr>
        <w:t>‎</w:t>
      </w:r>
      <w:r w:rsidR="00302468">
        <w:t>16</w:t>
      </w:r>
      <w:r w:rsidR="001C38FE">
        <w:fldChar w:fldCharType="end"/>
      </w:r>
      <w:r>
        <w:t xml:space="preserve"> be demonstrated in the Project Design Document (PDD) and be assessed at the initial validation;</w:t>
      </w:r>
    </w:p>
    <w:p w14:paraId="32B7AA01" w14:textId="1667D80C" w:rsidR="004334D2" w:rsidRDefault="004334D2" w:rsidP="00E66E80">
      <w:pPr>
        <w:pStyle w:val="SDMSubPara1"/>
      </w:pPr>
      <w:r>
        <w:t xml:space="preserve">The provisions in paragraphs </w:t>
      </w:r>
      <w:r>
        <w:fldChar w:fldCharType="begin"/>
      </w:r>
      <w:r>
        <w:instrText xml:space="preserve"> REF _Ref208231359 \w \h </w:instrText>
      </w:r>
      <w:r>
        <w:fldChar w:fldCharType="separate"/>
      </w:r>
      <w:r w:rsidR="00302468">
        <w:rPr>
          <w:cs/>
        </w:rPr>
        <w:t>‎</w:t>
      </w:r>
      <w:r w:rsidR="00302468">
        <w:t>13</w:t>
      </w:r>
      <w:r>
        <w:fldChar w:fldCharType="end"/>
      </w:r>
      <w:r>
        <w:t xml:space="preserve"> and</w:t>
      </w:r>
      <w:r w:rsidR="00451882">
        <w:t xml:space="preserve"> </w:t>
      </w:r>
      <w:r w:rsidR="00451882">
        <w:fldChar w:fldCharType="begin"/>
      </w:r>
      <w:r w:rsidR="00451882">
        <w:instrText xml:space="preserve"> REF _Ref207694873 \w \p \h </w:instrText>
      </w:r>
      <w:r w:rsidR="00451882">
        <w:fldChar w:fldCharType="separate"/>
      </w:r>
      <w:r w:rsidR="00302468">
        <w:rPr>
          <w:cs/>
        </w:rPr>
        <w:t>‎</w:t>
      </w:r>
      <w:r w:rsidR="00302468">
        <w:t>17 above</w:t>
      </w:r>
      <w:r w:rsidR="00451882">
        <w:fldChar w:fldCharType="end"/>
      </w:r>
      <w:r w:rsidR="00451882">
        <w:t xml:space="preserve"> s</w:t>
      </w:r>
      <w:r>
        <w:t>hall be demonstrated in each monitoring report and be assessed at each verification</w:t>
      </w:r>
      <w:r w:rsidR="004D6777">
        <w:t>;</w:t>
      </w:r>
    </w:p>
    <w:p w14:paraId="79217678" w14:textId="057CE873" w:rsidR="00426CAE" w:rsidRDefault="0012667E" w:rsidP="00E66E80">
      <w:pPr>
        <w:pStyle w:val="SDMSubPara1"/>
      </w:pPr>
      <w:r>
        <w:t xml:space="preserve">The provisions in paragraph </w:t>
      </w:r>
      <w:r w:rsidR="006F5B3D">
        <w:t>15</w:t>
      </w:r>
      <w:r w:rsidR="001B036F">
        <w:t xml:space="preserve"> </w:t>
      </w:r>
      <w:r>
        <w:t>may be demonstrated in the PDD and assessed at the validation or demonstrated in the first monitoring report and assessed at the first verification.</w:t>
      </w:r>
    </w:p>
    <w:p w14:paraId="4B01BB9C" w14:textId="01B2EE41" w:rsidR="004334D2" w:rsidRPr="00F4394D" w:rsidRDefault="004334D2" w:rsidP="00E66E80">
      <w:pPr>
        <w:pStyle w:val="SDMPara"/>
      </w:pPr>
      <w:r w:rsidRPr="00F4394D">
        <w:t xml:space="preserve">The applicability conditions included in the </w:t>
      </w:r>
      <w:r w:rsidR="00171E3D">
        <w:t xml:space="preserve">methodological </w:t>
      </w:r>
      <w:r w:rsidRPr="00F4394D">
        <w:t xml:space="preserve">tools referred to </w:t>
      </w:r>
      <w:r w:rsidR="00D51E12">
        <w:t xml:space="preserve">in paragraph </w:t>
      </w:r>
      <w:r w:rsidR="00171E3D">
        <w:fldChar w:fldCharType="begin"/>
      </w:r>
      <w:r w:rsidR="00171E3D">
        <w:instrText xml:space="preserve"> REF _Ref212736198 \r \p \h </w:instrText>
      </w:r>
      <w:r w:rsidR="00171E3D">
        <w:fldChar w:fldCharType="separate"/>
      </w:r>
      <w:r w:rsidR="00302468">
        <w:rPr>
          <w:cs/>
        </w:rPr>
        <w:t>‎</w:t>
      </w:r>
      <w:r w:rsidR="00302468">
        <w:t>9 above</w:t>
      </w:r>
      <w:r w:rsidR="00171E3D">
        <w:fldChar w:fldCharType="end"/>
      </w:r>
      <w:r w:rsidR="007C73C2">
        <w:t xml:space="preserve"> </w:t>
      </w:r>
      <w:r w:rsidRPr="00F4394D">
        <w:t>also apply.</w:t>
      </w:r>
    </w:p>
    <w:p w14:paraId="1C8721F2" w14:textId="56A17E02" w:rsidR="004334D2" w:rsidRPr="00FA69AD" w:rsidRDefault="005704AC" w:rsidP="001C2134">
      <w:pPr>
        <w:pStyle w:val="SDMHead1"/>
      </w:pPr>
      <w:bookmarkStart w:id="97" w:name="_Toc211555303"/>
      <w:bookmarkStart w:id="98" w:name="_Toc211598955"/>
      <w:bookmarkStart w:id="99" w:name="_Toc211599457"/>
      <w:bookmarkStart w:id="100" w:name="_Toc211612253"/>
      <w:bookmarkStart w:id="101" w:name="_Toc211614700"/>
      <w:bookmarkStart w:id="102" w:name="_Toc211614743"/>
      <w:r w:rsidRPr="00FA69AD">
        <w:t xml:space="preserve">Project </w:t>
      </w:r>
      <w:r w:rsidRPr="001C2134">
        <w:t>boundary</w:t>
      </w:r>
      <w:bookmarkEnd w:id="97"/>
      <w:bookmarkEnd w:id="98"/>
      <w:bookmarkEnd w:id="99"/>
      <w:bookmarkEnd w:id="100"/>
      <w:bookmarkEnd w:id="101"/>
      <w:bookmarkEnd w:id="102"/>
    </w:p>
    <w:p w14:paraId="072E0554" w14:textId="700E4012" w:rsidR="004334D2" w:rsidRDefault="004334D2" w:rsidP="00DA05CE">
      <w:pPr>
        <w:pStyle w:val="SDMPara"/>
        <w:keepNext/>
      </w:pPr>
      <w:bookmarkStart w:id="103" w:name="_Ref211092316"/>
      <w:r>
        <w:t xml:space="preserve">The </w:t>
      </w:r>
      <w:r w:rsidR="005704AC">
        <w:t>project boundary</w:t>
      </w:r>
      <w:r>
        <w:t xml:space="preserve"> shall include the site where the LFG is captured and, as applicable:</w:t>
      </w:r>
      <w:bookmarkEnd w:id="103"/>
    </w:p>
    <w:p w14:paraId="0B8F14C7" w14:textId="34884F79" w:rsidR="004334D2" w:rsidRDefault="004334D2" w:rsidP="00E66E80">
      <w:pPr>
        <w:pStyle w:val="SDMSubPara1"/>
      </w:pPr>
      <w:r>
        <w:t>Sites where the LFG is flared or used (e.g.</w:t>
      </w:r>
      <w:r w:rsidR="00126349">
        <w:t>,</w:t>
      </w:r>
      <w:r>
        <w:t xml:space="preserve"> flare, power plant, boiler, air heater, glass melting furnace, kiln, natural gas distribution network, dedicated pipeline or biogas processing facility);</w:t>
      </w:r>
    </w:p>
    <w:p w14:paraId="0B1CBEAF" w14:textId="77777777" w:rsidR="004334D2" w:rsidRDefault="004334D2" w:rsidP="00E66E80">
      <w:pPr>
        <w:pStyle w:val="SDMSubPara1"/>
      </w:pPr>
      <w:r>
        <w:t>Captive power plant(s) (including emergency diesel generators) or power generation sources connected to the grid, which are supplying electricity to the Article 6.4 activity;</w:t>
      </w:r>
    </w:p>
    <w:p w14:paraId="68CBEF60" w14:textId="6532FC84" w:rsidR="004334D2" w:rsidRDefault="004334D2" w:rsidP="00E66E80">
      <w:pPr>
        <w:pStyle w:val="SDMSubPara1"/>
      </w:pPr>
      <w:r>
        <w:t xml:space="preserve">Captive power plant(s) (including emergency diesel generators) or power generation sources connected to the grid, which are supplying electricity in the baseline scenario that is displaced by electricity generated by captured LFG in the </w:t>
      </w:r>
      <w:r w:rsidR="00C4396C">
        <w:t>project</w:t>
      </w:r>
      <w:r>
        <w:t xml:space="preserve"> scenario;</w:t>
      </w:r>
    </w:p>
    <w:p w14:paraId="72AB31BB" w14:textId="0560B2A7" w:rsidR="004334D2" w:rsidRDefault="004334D2" w:rsidP="00E66E80">
      <w:pPr>
        <w:pStyle w:val="SDMSubPara1"/>
      </w:pPr>
      <w:r>
        <w:t xml:space="preserve">Heat generation equipment or sources which are supplying heat in the baseline scenario that is displaced by heat generated by captured LFG in the </w:t>
      </w:r>
      <w:r w:rsidR="001E6941">
        <w:t>project</w:t>
      </w:r>
      <w:r>
        <w:t xml:space="preserve"> scenario; and</w:t>
      </w:r>
    </w:p>
    <w:p w14:paraId="2C9FB671" w14:textId="334458A0" w:rsidR="004334D2" w:rsidRDefault="004334D2" w:rsidP="00E66E80">
      <w:pPr>
        <w:pStyle w:val="SDMSubPara1"/>
      </w:pPr>
      <w:r>
        <w:t>The transportation equipment of the LFG or biomethane from the biogas processing facility to consumers</w:t>
      </w:r>
      <w:r w:rsidR="00D23CF1">
        <w:t>;</w:t>
      </w:r>
    </w:p>
    <w:p w14:paraId="3D187C21" w14:textId="70B5626D" w:rsidR="00D23CF1" w:rsidRDefault="00D23CF1" w:rsidP="00E66E80">
      <w:pPr>
        <w:pStyle w:val="SDMSubPara1"/>
      </w:pPr>
      <w:r>
        <w:t>Consumers of the LFG or biomethane.</w:t>
      </w:r>
    </w:p>
    <w:p w14:paraId="0626C8EC" w14:textId="72D78A9A" w:rsidR="004334D2" w:rsidRDefault="004334D2" w:rsidP="00247E9F">
      <w:pPr>
        <w:pStyle w:val="SDMPara"/>
        <w:numPr>
          <w:ilvl w:val="0"/>
          <w:numId w:val="5"/>
        </w:numPr>
      </w:pPr>
      <w:r>
        <w:t xml:space="preserve">The </w:t>
      </w:r>
      <w:r w:rsidR="005704AC">
        <w:t>project boundary</w:t>
      </w:r>
      <w:r>
        <w:t xml:space="preserve"> of the Article 6.4 activity is defined by the emission sources illustrated in the figure and listed in the table below.</w:t>
      </w:r>
      <w:r w:rsidRPr="00EC39F6">
        <w:t xml:space="preserve"> </w:t>
      </w:r>
      <w:r>
        <w:t>Note that the table also specifies the circumstances under which some emission sources are included or excluded.</w:t>
      </w:r>
    </w:p>
    <w:p w14:paraId="1F44A23A" w14:textId="6E22B1B9" w:rsidR="003560B1" w:rsidRDefault="003560B1" w:rsidP="001C2134">
      <w:pPr>
        <w:pStyle w:val="CaptionFullPage"/>
      </w:pPr>
      <w:r>
        <w:t xml:space="preserve">Figure </w:t>
      </w:r>
      <w:r w:rsidR="000E5056">
        <w:fldChar w:fldCharType="begin"/>
      </w:r>
      <w:r w:rsidR="000E5056">
        <w:instrText xml:space="preserve"> SEQ Figure \* ARABIC </w:instrText>
      </w:r>
      <w:r w:rsidR="000E5056">
        <w:fldChar w:fldCharType="separate"/>
      </w:r>
      <w:r w:rsidR="00302468">
        <w:rPr>
          <w:noProof/>
        </w:rPr>
        <w:t>1</w:t>
      </w:r>
      <w:r w:rsidR="000E5056">
        <w:rPr>
          <w:noProof/>
        </w:rPr>
        <w:fldChar w:fldCharType="end"/>
      </w:r>
      <w:r>
        <w:t>.</w:t>
      </w:r>
      <w:r>
        <w:tab/>
      </w:r>
      <w:r w:rsidR="005704AC">
        <w:t xml:space="preserve">Project </w:t>
      </w:r>
      <w:r w:rsidR="005704AC" w:rsidRPr="001C2134">
        <w:t>boundary</w:t>
      </w:r>
    </w:p>
    <w:tbl>
      <w:tblPr>
        <w:tblStyle w:val="TableGrid"/>
        <w:tblW w:w="0" w:type="auto"/>
        <w:tblInd w:w="-108" w:type="dxa"/>
        <w:tblBorders>
          <w:insideV w:val="single" w:sz="4" w:space="0" w:color="auto"/>
        </w:tblBorders>
        <w:tblLook w:val="04A0" w:firstRow="1" w:lastRow="0" w:firstColumn="1" w:lastColumn="0" w:noHBand="0" w:noVBand="1"/>
      </w:tblPr>
      <w:tblGrid>
        <w:gridCol w:w="9463"/>
      </w:tblGrid>
      <w:tr w:rsidR="004334D2" w14:paraId="30008CF3" w14:textId="77777777" w:rsidTr="007E5A9B">
        <w:trPr>
          <w:trHeight w:val="4195"/>
        </w:trPr>
        <w:tc>
          <w:tcPr>
            <w:tcW w:w="9463" w:type="dxa"/>
          </w:tcPr>
          <w:p w14:paraId="18F6BE3C" w14:textId="44265C2F" w:rsidR="004334D2" w:rsidRDefault="004334D2" w:rsidP="00182414">
            <w:r>
              <w:rPr>
                <w:noProof/>
              </w:rPr>
              <w:drawing>
                <wp:anchor distT="0" distB="0" distL="114300" distR="114300" simplePos="0" relativeHeight="251660288" behindDoc="0" locked="0" layoutInCell="1" allowOverlap="1" wp14:anchorId="14C13E46" wp14:editId="78963F23">
                  <wp:simplePos x="0" y="0"/>
                  <wp:positionH relativeFrom="column">
                    <wp:posOffset>353695</wp:posOffset>
                  </wp:positionH>
                  <wp:positionV relativeFrom="paragraph">
                    <wp:posOffset>19050</wp:posOffset>
                  </wp:positionV>
                  <wp:extent cx="5450205" cy="3107055"/>
                  <wp:effectExtent l="19050" t="19050" r="17145" b="1714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50205" cy="3107055"/>
                          </a:xfrm>
                          <a:prstGeom prst="rect">
                            <a:avLst/>
                          </a:prstGeom>
                          <a:noFill/>
                          <a:ln>
                            <a:solidFill>
                              <a:schemeClr val="tx1"/>
                            </a:solidFill>
                            <a:prstDash val="lgDash"/>
                          </a:ln>
                        </pic:spPr>
                      </pic:pic>
                    </a:graphicData>
                  </a:graphic>
                  <wp14:sizeRelH relativeFrom="margin">
                    <wp14:pctWidth>0</wp14:pctWidth>
                  </wp14:sizeRelH>
                  <wp14:sizeRelV relativeFrom="margin">
                    <wp14:pctHeight>0</wp14:pctHeight>
                  </wp14:sizeRelV>
                </wp:anchor>
              </w:drawing>
            </w:r>
          </w:p>
          <w:p w14:paraId="0EAB6273" w14:textId="1690E579" w:rsidR="00182414" w:rsidRDefault="006B02FE" w:rsidP="00182414">
            <w:r>
              <w:rPr>
                <w:noProof/>
              </w:rPr>
              <w:drawing>
                <wp:anchor distT="0" distB="0" distL="114300" distR="114300" simplePos="0" relativeHeight="251657216" behindDoc="0" locked="0" layoutInCell="1" allowOverlap="1" wp14:anchorId="1AD743FE" wp14:editId="7B4445A2">
                  <wp:simplePos x="0" y="0"/>
                  <wp:positionH relativeFrom="column">
                    <wp:posOffset>349250</wp:posOffset>
                  </wp:positionH>
                  <wp:positionV relativeFrom="paragraph">
                    <wp:posOffset>180340</wp:posOffset>
                  </wp:positionV>
                  <wp:extent cx="5454650" cy="3069590"/>
                  <wp:effectExtent l="19050" t="19050" r="12700" b="165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54650" cy="3069590"/>
                          </a:xfrm>
                          <a:prstGeom prst="rect">
                            <a:avLst/>
                          </a:prstGeom>
                          <a:noFill/>
                          <a:ln>
                            <a:solidFill>
                              <a:schemeClr val="tx1"/>
                            </a:solidFill>
                            <a:prstDash val="lgDash"/>
                          </a:ln>
                        </pic:spPr>
                      </pic:pic>
                    </a:graphicData>
                  </a:graphic>
                  <wp14:sizeRelH relativeFrom="margin">
                    <wp14:pctWidth>0</wp14:pctWidth>
                  </wp14:sizeRelH>
                  <wp14:sizeRelV relativeFrom="margin">
                    <wp14:pctHeight>0</wp14:pctHeight>
                  </wp14:sizeRelV>
                </wp:anchor>
              </w:drawing>
            </w:r>
          </w:p>
          <w:p w14:paraId="4CECB5A0" w14:textId="5016D25C" w:rsidR="004334D2" w:rsidRDefault="004334D2" w:rsidP="00182414"/>
        </w:tc>
      </w:tr>
      <w:tr w:rsidR="004334D2" w:rsidRPr="003560B1" w14:paraId="541E9B81" w14:textId="77777777" w:rsidTr="007E5A9B">
        <w:tc>
          <w:tcPr>
            <w:tcW w:w="9463" w:type="dxa"/>
          </w:tcPr>
          <w:p w14:paraId="202C073E" w14:textId="41B12CB5" w:rsidR="004334D2" w:rsidRPr="003560B1" w:rsidRDefault="004334D2" w:rsidP="003560B1"/>
        </w:tc>
      </w:tr>
    </w:tbl>
    <w:p w14:paraId="09E348DF" w14:textId="4AA6E5C3" w:rsidR="004334D2" w:rsidRDefault="004334D2" w:rsidP="001C2134">
      <w:pPr>
        <w:pStyle w:val="Caption"/>
      </w:pPr>
      <w:bookmarkStart w:id="104" w:name="_Ref210900643"/>
      <w:r w:rsidRPr="003560B1">
        <w:t xml:space="preserve">Table </w:t>
      </w:r>
      <w:r w:rsidRPr="003560B1">
        <w:fldChar w:fldCharType="begin"/>
      </w:r>
      <w:r w:rsidRPr="003560B1">
        <w:instrText>SEQ Table \* ARABIC</w:instrText>
      </w:r>
      <w:r w:rsidRPr="003560B1">
        <w:fldChar w:fldCharType="separate"/>
      </w:r>
      <w:r w:rsidR="00302468">
        <w:rPr>
          <w:noProof/>
        </w:rPr>
        <w:t>1</w:t>
      </w:r>
      <w:r w:rsidRPr="003560B1">
        <w:fldChar w:fldCharType="end"/>
      </w:r>
      <w:bookmarkEnd w:id="104"/>
      <w:r w:rsidRPr="003560B1">
        <w:t>.</w:t>
      </w:r>
      <w:r w:rsidR="001C2134">
        <w:tab/>
      </w:r>
      <w:r w:rsidRPr="00D37ECC">
        <w:t xml:space="preserve">Emissions sources </w:t>
      </w:r>
      <w:r w:rsidRPr="001C2134">
        <w:t>included</w:t>
      </w:r>
      <w:r w:rsidRPr="00D37ECC">
        <w:t xml:space="preserve"> in or excluded from the </w:t>
      </w:r>
      <w:r w:rsidR="005704AC">
        <w:t>project boundary</w:t>
      </w:r>
    </w:p>
    <w:tbl>
      <w:tblPr>
        <w:tblStyle w:val="SDMTable"/>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709"/>
        <w:gridCol w:w="1275"/>
        <w:gridCol w:w="1559"/>
        <w:gridCol w:w="3119"/>
      </w:tblGrid>
      <w:tr w:rsidR="004334D2" w:rsidRPr="00BC72D9" w14:paraId="2BB331D7" w14:textId="77777777" w:rsidTr="006628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6F6F4AAE" w14:textId="77777777" w:rsidR="004334D2" w:rsidRPr="00BC72D9" w:rsidRDefault="004334D2" w:rsidP="00182414">
            <w:pPr>
              <w:pStyle w:val="SDMTableBoxParaNotNumbered"/>
            </w:pPr>
          </w:p>
        </w:tc>
        <w:tc>
          <w:tcPr>
            <w:tcW w:w="141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1B90F3D8" w14:textId="77777777" w:rsidR="004334D2" w:rsidRPr="00BC72D9" w:rsidRDefault="004334D2" w:rsidP="00182414">
            <w:pPr>
              <w:pStyle w:val="SDMTableBoxParaNotNumbered"/>
              <w:cnfStyle w:val="100000000000" w:firstRow="1" w:lastRow="0" w:firstColumn="0" w:lastColumn="0" w:oddVBand="0" w:evenVBand="0" w:oddHBand="0" w:evenHBand="0" w:firstRowFirstColumn="0" w:firstRowLastColumn="0" w:lastRowFirstColumn="0" w:lastRowLastColumn="0"/>
            </w:pPr>
            <w:r w:rsidRPr="00BC72D9">
              <w:t>Source</w:t>
            </w:r>
          </w:p>
        </w:tc>
        <w:tc>
          <w:tcPr>
            <w:tcW w:w="70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22E7580C" w14:textId="77777777" w:rsidR="004334D2" w:rsidRPr="00BC72D9" w:rsidRDefault="004334D2" w:rsidP="00182414">
            <w:pPr>
              <w:pStyle w:val="SDMTableBoxParaNotNumbered"/>
              <w:cnfStyle w:val="100000000000" w:firstRow="1" w:lastRow="0" w:firstColumn="0" w:lastColumn="0" w:oddVBand="0" w:evenVBand="0" w:oddHBand="0" w:evenHBand="0" w:firstRowFirstColumn="0" w:firstRowLastColumn="0" w:lastRowFirstColumn="0" w:lastRowLastColumn="0"/>
            </w:pPr>
            <w:r w:rsidRPr="00BC72D9">
              <w:t>GHG</w:t>
            </w:r>
          </w:p>
        </w:tc>
        <w:tc>
          <w:tcPr>
            <w:tcW w:w="127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20298F24" w14:textId="77777777" w:rsidR="004334D2" w:rsidRPr="00BC72D9" w:rsidRDefault="004334D2" w:rsidP="00182414">
            <w:pPr>
              <w:pStyle w:val="SDMTableBoxParaNotNumbered"/>
              <w:cnfStyle w:val="100000000000" w:firstRow="1" w:lastRow="0" w:firstColumn="0" w:lastColumn="0" w:oddVBand="0" w:evenVBand="0" w:oddHBand="0" w:evenHBand="0" w:firstRowFirstColumn="0" w:firstRowLastColumn="0" w:lastRowFirstColumn="0" w:lastRowLastColumn="0"/>
            </w:pPr>
            <w:r>
              <w:t>Included?</w:t>
            </w:r>
          </w:p>
        </w:tc>
        <w:tc>
          <w:tcPr>
            <w:tcW w:w="155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75651631" w14:textId="77777777" w:rsidR="004334D2" w:rsidRPr="00BC72D9" w:rsidRDefault="004334D2" w:rsidP="00182414">
            <w:pPr>
              <w:pStyle w:val="SDMTableBoxParaNotNumbered"/>
              <w:cnfStyle w:val="100000000000" w:firstRow="1" w:lastRow="0" w:firstColumn="0" w:lastColumn="0" w:oddVBand="0" w:evenVBand="0" w:oddHBand="0" w:evenHBand="0" w:firstRowFirstColumn="0" w:firstRowLastColumn="0" w:lastRowFirstColumn="0" w:lastRowLastColumn="0"/>
            </w:pPr>
            <w:r>
              <w:t>Controlled / Related to / Affected by?</w:t>
            </w:r>
          </w:p>
        </w:tc>
        <w:tc>
          <w:tcPr>
            <w:tcW w:w="3119"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14:paraId="421145E5" w14:textId="77777777" w:rsidR="004334D2" w:rsidRPr="00BC72D9" w:rsidRDefault="004334D2" w:rsidP="00182414">
            <w:pPr>
              <w:pStyle w:val="SDMTableBoxParaNotNumbered"/>
              <w:cnfStyle w:val="100000000000" w:firstRow="1" w:lastRow="0" w:firstColumn="0" w:lastColumn="0" w:oddVBand="0" w:evenVBand="0" w:oddHBand="0" w:evenHBand="0" w:firstRowFirstColumn="0" w:firstRowLastColumn="0" w:lastRowFirstColumn="0" w:lastRowLastColumn="0"/>
            </w:pPr>
            <w:r w:rsidRPr="00BC72D9">
              <w:t>Justification / Explanation</w:t>
            </w:r>
          </w:p>
        </w:tc>
      </w:tr>
      <w:tr w:rsidR="004334D2" w:rsidRPr="00BC72D9" w14:paraId="2AD6B486"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restart"/>
            <w:textDirection w:val="btLr"/>
            <w:vAlign w:val="center"/>
          </w:tcPr>
          <w:p w14:paraId="148BE22B" w14:textId="77777777" w:rsidR="004334D2" w:rsidRPr="00BC72D9" w:rsidRDefault="004334D2" w:rsidP="00722715">
            <w:pPr>
              <w:pStyle w:val="SDMTableBoxParaNotNumbered"/>
              <w:jc w:val="center"/>
            </w:pPr>
            <w:r w:rsidRPr="00BC72D9">
              <w:t>BASELINE</w:t>
            </w:r>
            <w:r>
              <w:t xml:space="preserve"> SCENARIO</w:t>
            </w:r>
          </w:p>
        </w:tc>
        <w:tc>
          <w:tcPr>
            <w:tcW w:w="1418" w:type="dxa"/>
            <w:vMerge w:val="restart"/>
            <w:vAlign w:val="center"/>
          </w:tcPr>
          <w:p w14:paraId="55705606"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Emissions from decomposition of waste in the SWDS (venting or flaring)</w:t>
            </w:r>
          </w:p>
        </w:tc>
        <w:tc>
          <w:tcPr>
            <w:tcW w:w="709" w:type="dxa"/>
            <w:vAlign w:val="center"/>
          </w:tcPr>
          <w:p w14:paraId="51A10C2E"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CO</w:t>
            </w:r>
            <w:r w:rsidRPr="00BC72D9">
              <w:rPr>
                <w:vertAlign w:val="subscript"/>
              </w:rPr>
              <w:t>2</w:t>
            </w:r>
          </w:p>
        </w:tc>
        <w:tc>
          <w:tcPr>
            <w:tcW w:w="1275" w:type="dxa"/>
            <w:vAlign w:val="center"/>
          </w:tcPr>
          <w:p w14:paraId="2A5D1F0C"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517CDD22"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3E3C5005"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Pr>
                <w:lang w:val="en-ZA"/>
              </w:rPr>
              <w:t>N</w:t>
            </w:r>
            <w:r w:rsidRPr="000C5FD6">
              <w:rPr>
                <w:lang w:val="en-ZA"/>
              </w:rPr>
              <w:t xml:space="preserve">ot accounted </w:t>
            </w:r>
            <w:r>
              <w:rPr>
                <w:lang w:val="en-ZA"/>
              </w:rPr>
              <w:t xml:space="preserve">for </w:t>
            </w:r>
            <w:r w:rsidRPr="000C5FD6">
              <w:rPr>
                <w:lang w:val="en-ZA"/>
              </w:rPr>
              <w:t>since the CO</w:t>
            </w:r>
            <w:r w:rsidRPr="000C5FD6">
              <w:rPr>
                <w:vertAlign w:val="subscript"/>
                <w:lang w:val="en-ZA"/>
              </w:rPr>
              <w:t xml:space="preserve">2 </w:t>
            </w:r>
            <w:r w:rsidRPr="000C5FD6">
              <w:rPr>
                <w:lang w:val="en-ZA"/>
              </w:rPr>
              <w:t xml:space="preserve">is also released </w:t>
            </w:r>
            <w:r>
              <w:rPr>
                <w:lang w:val="en-ZA"/>
              </w:rPr>
              <w:t>in</w:t>
            </w:r>
            <w:r w:rsidRPr="000C5FD6">
              <w:rPr>
                <w:lang w:val="en-ZA"/>
              </w:rPr>
              <w:t xml:space="preserve"> the </w:t>
            </w:r>
            <w:r>
              <w:rPr>
                <w:lang w:val="en-ZA"/>
              </w:rPr>
              <w:t>Article 6.4</w:t>
            </w:r>
            <w:r w:rsidRPr="000C5FD6">
              <w:rPr>
                <w:lang w:val="en-ZA"/>
              </w:rPr>
              <w:t xml:space="preserve"> activity</w:t>
            </w:r>
            <w:r>
              <w:rPr>
                <w:lang w:val="en-ZA"/>
              </w:rPr>
              <w:t xml:space="preserve"> scenario</w:t>
            </w:r>
          </w:p>
        </w:tc>
      </w:tr>
      <w:tr w:rsidR="004334D2" w:rsidRPr="00BC72D9" w14:paraId="5BC7F90A" w14:textId="77777777" w:rsidTr="006628C1">
        <w:trPr>
          <w:trHeight w:val="18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09D830F4" w14:textId="77777777" w:rsidR="004334D2" w:rsidRPr="00BC72D9" w:rsidRDefault="004334D2" w:rsidP="00182414">
            <w:pPr>
              <w:pStyle w:val="SDMTableBoxParaNotNumbered"/>
            </w:pPr>
          </w:p>
        </w:tc>
        <w:tc>
          <w:tcPr>
            <w:tcW w:w="1418" w:type="dxa"/>
            <w:vMerge/>
            <w:vAlign w:val="center"/>
          </w:tcPr>
          <w:p w14:paraId="45DAC3ED"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749B394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CH</w:t>
            </w:r>
            <w:r w:rsidRPr="00BC72D9">
              <w:rPr>
                <w:vertAlign w:val="subscript"/>
              </w:rPr>
              <w:t>4</w:t>
            </w:r>
          </w:p>
        </w:tc>
        <w:tc>
          <w:tcPr>
            <w:tcW w:w="1275" w:type="dxa"/>
            <w:vAlign w:val="center"/>
          </w:tcPr>
          <w:p w14:paraId="01F1655D"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24CA4AF9"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Controlled</w:t>
            </w:r>
          </w:p>
        </w:tc>
        <w:tc>
          <w:tcPr>
            <w:tcW w:w="3119" w:type="dxa"/>
          </w:tcPr>
          <w:p w14:paraId="7FAAF00C"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M</w:t>
            </w:r>
            <w:r w:rsidRPr="000C5FD6">
              <w:t xml:space="preserve">ajor </w:t>
            </w:r>
            <w:r>
              <w:t xml:space="preserve">emission </w:t>
            </w:r>
            <w:r w:rsidRPr="000C5FD6">
              <w:t>source</w:t>
            </w:r>
          </w:p>
        </w:tc>
      </w:tr>
      <w:tr w:rsidR="004334D2" w:rsidRPr="00BC72D9" w14:paraId="286795D6" w14:textId="77777777" w:rsidTr="006628C1">
        <w:trPr>
          <w:trHeight w:val="639"/>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1A9D811" w14:textId="77777777" w:rsidR="004334D2" w:rsidRPr="00BC72D9" w:rsidRDefault="004334D2" w:rsidP="00182414">
            <w:pPr>
              <w:pStyle w:val="SDMTableBoxParaNotNumbered"/>
            </w:pPr>
          </w:p>
        </w:tc>
        <w:tc>
          <w:tcPr>
            <w:tcW w:w="1418" w:type="dxa"/>
            <w:vMerge/>
            <w:vAlign w:val="center"/>
          </w:tcPr>
          <w:p w14:paraId="0BD2B914"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2E12F0E2"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N</w:t>
            </w:r>
            <w:r w:rsidRPr="00BC72D9">
              <w:rPr>
                <w:vertAlign w:val="subscript"/>
              </w:rPr>
              <w:t>2</w:t>
            </w:r>
            <w:r w:rsidRPr="00BC72D9">
              <w:t>O</w:t>
            </w:r>
          </w:p>
        </w:tc>
        <w:tc>
          <w:tcPr>
            <w:tcW w:w="1275" w:type="dxa"/>
            <w:vAlign w:val="center"/>
          </w:tcPr>
          <w:p w14:paraId="27AFE5EB"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22143DB7"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7D906B0C"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E</w:t>
            </w:r>
            <w:r w:rsidRPr="000C5FD6">
              <w:t>missions are small compared to CH</w:t>
            </w:r>
            <w:r w:rsidRPr="000C5FD6">
              <w:rPr>
                <w:vertAlign w:val="subscript"/>
              </w:rPr>
              <w:t>4</w:t>
            </w:r>
            <w:r w:rsidRPr="000C5FD6">
              <w:t xml:space="preserve"> emissions from SWDS</w:t>
            </w:r>
            <w:r>
              <w:t xml:space="preserve"> and</w:t>
            </w:r>
            <w:r w:rsidRPr="000C5FD6">
              <w:t xml:space="preserve"> </w:t>
            </w:r>
            <w:r>
              <w:t>exclusion</w:t>
            </w:r>
            <w:r w:rsidRPr="000C5FD6">
              <w:t xml:space="preserve"> is conservative</w:t>
            </w:r>
          </w:p>
        </w:tc>
      </w:tr>
      <w:tr w:rsidR="004334D2" w:rsidRPr="00BC72D9" w14:paraId="654846C4" w14:textId="77777777" w:rsidTr="006628C1">
        <w:trPr>
          <w:trHeight w:val="1064"/>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8EBEA91" w14:textId="77777777" w:rsidR="004334D2" w:rsidRPr="00BC72D9" w:rsidRDefault="004334D2" w:rsidP="00182414">
            <w:pPr>
              <w:pStyle w:val="SDMTableBoxParaNotNumbered"/>
            </w:pPr>
          </w:p>
        </w:tc>
        <w:tc>
          <w:tcPr>
            <w:tcW w:w="1418" w:type="dxa"/>
            <w:vMerge w:val="restart"/>
            <w:vAlign w:val="center"/>
          </w:tcPr>
          <w:p w14:paraId="7D927C83"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Emissions from electricity generation by power plants connected to the electric grid or captive power plant(s) displaced by the Article 6.4 activity</w:t>
            </w:r>
          </w:p>
        </w:tc>
        <w:tc>
          <w:tcPr>
            <w:tcW w:w="709" w:type="dxa"/>
            <w:vAlign w:val="center"/>
          </w:tcPr>
          <w:p w14:paraId="77BFA47F"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CO</w:t>
            </w:r>
            <w:r w:rsidRPr="00BC72D9">
              <w:rPr>
                <w:vertAlign w:val="subscript"/>
              </w:rPr>
              <w:t>2</w:t>
            </w:r>
          </w:p>
        </w:tc>
        <w:tc>
          <w:tcPr>
            <w:tcW w:w="1275" w:type="dxa"/>
            <w:vAlign w:val="center"/>
          </w:tcPr>
          <w:p w14:paraId="0E16A68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15FF75C4"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Affected by</w:t>
            </w:r>
          </w:p>
        </w:tc>
        <w:tc>
          <w:tcPr>
            <w:tcW w:w="3119" w:type="dxa"/>
          </w:tcPr>
          <w:p w14:paraId="0455A930" w14:textId="77777777" w:rsidR="004334D2"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A47043">
              <w:t xml:space="preserve">Major emission source if </w:t>
            </w:r>
            <w:r>
              <w:t>the project involves the generation of electricity using LFG</w:t>
            </w:r>
          </w:p>
        </w:tc>
      </w:tr>
      <w:tr w:rsidR="004334D2" w:rsidRPr="00BC72D9" w14:paraId="161B14E9" w14:textId="77777777" w:rsidTr="006628C1">
        <w:trPr>
          <w:trHeight w:val="876"/>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0CFAD1D" w14:textId="77777777" w:rsidR="004334D2" w:rsidRPr="00BC72D9" w:rsidRDefault="004334D2" w:rsidP="00182414">
            <w:pPr>
              <w:pStyle w:val="SDMTableBoxParaNotNumbered"/>
            </w:pPr>
          </w:p>
        </w:tc>
        <w:tc>
          <w:tcPr>
            <w:tcW w:w="1418" w:type="dxa"/>
            <w:vMerge/>
            <w:vAlign w:val="center"/>
          </w:tcPr>
          <w:p w14:paraId="5A30F831"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23AE54A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CH</w:t>
            </w:r>
            <w:r w:rsidRPr="00BC72D9">
              <w:rPr>
                <w:vertAlign w:val="subscript"/>
              </w:rPr>
              <w:t>4</w:t>
            </w:r>
          </w:p>
        </w:tc>
        <w:tc>
          <w:tcPr>
            <w:tcW w:w="1275" w:type="dxa"/>
            <w:vAlign w:val="center"/>
          </w:tcPr>
          <w:p w14:paraId="71F2773D"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7DD54090"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791AD99B" w14:textId="77777777" w:rsidR="004334D2"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Excluded for simplification and conservativeness</w:t>
            </w:r>
          </w:p>
        </w:tc>
      </w:tr>
      <w:tr w:rsidR="004334D2" w:rsidRPr="00BC72D9" w14:paraId="57EF42C5" w14:textId="77777777" w:rsidTr="006628C1">
        <w:trPr>
          <w:trHeight w:val="2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7FDDD07" w14:textId="77777777" w:rsidR="004334D2" w:rsidRPr="00BC72D9" w:rsidRDefault="004334D2" w:rsidP="00182414">
            <w:pPr>
              <w:pStyle w:val="SDMTableBoxParaNotNumbered"/>
            </w:pPr>
          </w:p>
        </w:tc>
        <w:tc>
          <w:tcPr>
            <w:tcW w:w="1418" w:type="dxa"/>
            <w:vMerge/>
            <w:vAlign w:val="center"/>
          </w:tcPr>
          <w:p w14:paraId="511519BA"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3188D9A6"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N</w:t>
            </w:r>
            <w:r w:rsidRPr="00BC72D9">
              <w:rPr>
                <w:vertAlign w:val="subscript"/>
              </w:rPr>
              <w:t>2</w:t>
            </w:r>
            <w:r w:rsidRPr="00BC72D9">
              <w:t>O</w:t>
            </w:r>
          </w:p>
        </w:tc>
        <w:tc>
          <w:tcPr>
            <w:tcW w:w="1275" w:type="dxa"/>
            <w:vAlign w:val="center"/>
          </w:tcPr>
          <w:p w14:paraId="6A12906A"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653B2DEA"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2A5D4A11" w14:textId="77777777" w:rsidR="004334D2"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Excluded for simplification and conservativeness</w:t>
            </w:r>
          </w:p>
        </w:tc>
      </w:tr>
      <w:tr w:rsidR="004334D2" w:rsidRPr="00BC72D9" w14:paraId="0781091F" w14:textId="77777777" w:rsidTr="006628C1">
        <w:trPr>
          <w:trHeight w:val="95"/>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0E15C2E" w14:textId="77777777" w:rsidR="004334D2" w:rsidRPr="00BC72D9" w:rsidRDefault="004334D2" w:rsidP="00182414">
            <w:pPr>
              <w:pStyle w:val="SDMTableBoxParaNotNumbered"/>
            </w:pPr>
          </w:p>
        </w:tc>
        <w:tc>
          <w:tcPr>
            <w:tcW w:w="1418" w:type="dxa"/>
            <w:vMerge w:val="restart"/>
            <w:vAlign w:val="center"/>
          </w:tcPr>
          <w:p w14:paraId="309A17AB"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Emissions from heat generation displaced by Article 6.4 Activity</w:t>
            </w:r>
          </w:p>
        </w:tc>
        <w:tc>
          <w:tcPr>
            <w:tcW w:w="709" w:type="dxa"/>
            <w:vAlign w:val="center"/>
          </w:tcPr>
          <w:p w14:paraId="228AD57D"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CO</w:t>
            </w:r>
            <w:r w:rsidRPr="00BC72D9">
              <w:rPr>
                <w:vertAlign w:val="subscript"/>
              </w:rPr>
              <w:t>2</w:t>
            </w:r>
          </w:p>
        </w:tc>
        <w:tc>
          <w:tcPr>
            <w:tcW w:w="1275" w:type="dxa"/>
            <w:vAlign w:val="center"/>
          </w:tcPr>
          <w:p w14:paraId="432CD222"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29864542"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Related to</w:t>
            </w:r>
          </w:p>
        </w:tc>
        <w:tc>
          <w:tcPr>
            <w:tcW w:w="3119" w:type="dxa"/>
          </w:tcPr>
          <w:p w14:paraId="1F1BC5D4" w14:textId="77777777" w:rsidR="004334D2"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A47043">
              <w:t>Major emission source if</w:t>
            </w:r>
            <w:r>
              <w:t xml:space="preserve"> the project involves the generation of heat using LFG</w:t>
            </w:r>
          </w:p>
        </w:tc>
      </w:tr>
      <w:tr w:rsidR="004334D2" w:rsidRPr="00BC72D9" w14:paraId="1BB249E9" w14:textId="77777777" w:rsidTr="006628C1">
        <w:trPr>
          <w:trHeight w:val="401"/>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C479917" w14:textId="77777777" w:rsidR="004334D2" w:rsidRPr="00BC72D9" w:rsidRDefault="004334D2" w:rsidP="00182414">
            <w:pPr>
              <w:pStyle w:val="SDMTableBoxParaNotNumbered"/>
            </w:pPr>
          </w:p>
        </w:tc>
        <w:tc>
          <w:tcPr>
            <w:tcW w:w="1418" w:type="dxa"/>
            <w:vMerge/>
            <w:vAlign w:val="center"/>
          </w:tcPr>
          <w:p w14:paraId="61C8F559"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75794A0B"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CH</w:t>
            </w:r>
            <w:r w:rsidRPr="00BC72D9">
              <w:rPr>
                <w:vertAlign w:val="subscript"/>
              </w:rPr>
              <w:t>4</w:t>
            </w:r>
          </w:p>
        </w:tc>
        <w:tc>
          <w:tcPr>
            <w:tcW w:w="1275" w:type="dxa"/>
            <w:vAlign w:val="center"/>
          </w:tcPr>
          <w:p w14:paraId="491A8BB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1A6EF846"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2E375485" w14:textId="77777777" w:rsidR="004334D2"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471A78">
              <w:t>Excluded for simplification and conservativeness</w:t>
            </w:r>
          </w:p>
        </w:tc>
      </w:tr>
      <w:tr w:rsidR="004334D2" w:rsidRPr="00BC72D9" w14:paraId="4380EAE2" w14:textId="77777777" w:rsidTr="006628C1">
        <w:trPr>
          <w:trHeight w:val="2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1CA3016" w14:textId="77777777" w:rsidR="004334D2" w:rsidRPr="00BC72D9" w:rsidRDefault="004334D2" w:rsidP="00182414">
            <w:pPr>
              <w:pStyle w:val="SDMTableBoxParaNotNumbered"/>
            </w:pPr>
          </w:p>
        </w:tc>
        <w:tc>
          <w:tcPr>
            <w:tcW w:w="1418" w:type="dxa"/>
            <w:vMerge/>
            <w:vAlign w:val="center"/>
          </w:tcPr>
          <w:p w14:paraId="64A3778F"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6E2E924C"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N</w:t>
            </w:r>
            <w:r w:rsidRPr="00BC72D9">
              <w:rPr>
                <w:vertAlign w:val="subscript"/>
              </w:rPr>
              <w:t>2</w:t>
            </w:r>
            <w:r w:rsidRPr="00BC72D9">
              <w:t>O</w:t>
            </w:r>
          </w:p>
        </w:tc>
        <w:tc>
          <w:tcPr>
            <w:tcW w:w="1275" w:type="dxa"/>
            <w:vAlign w:val="center"/>
          </w:tcPr>
          <w:p w14:paraId="0BAF564A"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608DFEEA"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42795364" w14:textId="77777777" w:rsidR="004334D2"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471A78">
              <w:t>Excluded for simplification and conservativeness</w:t>
            </w:r>
          </w:p>
        </w:tc>
      </w:tr>
      <w:tr w:rsidR="004334D2" w:rsidRPr="00BC72D9" w14:paraId="0D7ACF97" w14:textId="77777777" w:rsidTr="006628C1">
        <w:trPr>
          <w:trHeight w:val="690"/>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43BFCBD9" w14:textId="77777777" w:rsidR="004334D2" w:rsidRPr="00BC72D9" w:rsidRDefault="004334D2" w:rsidP="00182414">
            <w:pPr>
              <w:pStyle w:val="SDMTableBoxParaNotNumbered"/>
            </w:pPr>
          </w:p>
        </w:tc>
        <w:tc>
          <w:tcPr>
            <w:tcW w:w="1418" w:type="dxa"/>
            <w:vMerge w:val="restart"/>
            <w:vAlign w:val="center"/>
          </w:tcPr>
          <w:p w14:paraId="2FFC2551"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Emissions from the use of natural gas by consumers</w:t>
            </w:r>
          </w:p>
        </w:tc>
        <w:tc>
          <w:tcPr>
            <w:tcW w:w="709" w:type="dxa"/>
            <w:vAlign w:val="center"/>
          </w:tcPr>
          <w:p w14:paraId="773053F6"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CO</w:t>
            </w:r>
            <w:r w:rsidRPr="00BC72D9">
              <w:rPr>
                <w:vertAlign w:val="subscript"/>
              </w:rPr>
              <w:t>2</w:t>
            </w:r>
          </w:p>
        </w:tc>
        <w:tc>
          <w:tcPr>
            <w:tcW w:w="1275" w:type="dxa"/>
            <w:vAlign w:val="center"/>
          </w:tcPr>
          <w:p w14:paraId="141205C5"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127424B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Related to</w:t>
            </w:r>
          </w:p>
        </w:tc>
        <w:tc>
          <w:tcPr>
            <w:tcW w:w="3119" w:type="dxa"/>
          </w:tcPr>
          <w:p w14:paraId="0CB16BA2" w14:textId="0AC608CC"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A47043">
              <w:t xml:space="preserve">Major emission source if </w:t>
            </w:r>
            <w:r>
              <w:t>the project involves the supply of biomethane or LFG to consumers</w:t>
            </w:r>
          </w:p>
        </w:tc>
      </w:tr>
      <w:tr w:rsidR="004334D2" w:rsidRPr="00BC72D9" w14:paraId="4C65872F" w14:textId="77777777" w:rsidTr="006628C1">
        <w:trPr>
          <w:trHeight w:val="461"/>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3B7A8E00" w14:textId="77777777" w:rsidR="004334D2" w:rsidRPr="00BC72D9" w:rsidRDefault="004334D2" w:rsidP="00182414">
            <w:pPr>
              <w:pStyle w:val="SDMTableBoxParaNotNumbered"/>
            </w:pPr>
          </w:p>
        </w:tc>
        <w:tc>
          <w:tcPr>
            <w:tcW w:w="1418" w:type="dxa"/>
            <w:vMerge/>
            <w:vAlign w:val="center"/>
          </w:tcPr>
          <w:p w14:paraId="67A66E0A"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76D85FE1"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CH</w:t>
            </w:r>
            <w:r w:rsidRPr="00BC72D9">
              <w:rPr>
                <w:vertAlign w:val="subscript"/>
              </w:rPr>
              <w:t>4</w:t>
            </w:r>
          </w:p>
        </w:tc>
        <w:tc>
          <w:tcPr>
            <w:tcW w:w="1275" w:type="dxa"/>
            <w:vAlign w:val="center"/>
          </w:tcPr>
          <w:p w14:paraId="65E32A4E"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56DADE02"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2583CD3E" w14:textId="77777777"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471A78">
              <w:t>Excluded for simplification and conservativeness</w:t>
            </w:r>
          </w:p>
        </w:tc>
      </w:tr>
      <w:tr w:rsidR="004334D2" w:rsidRPr="00BC72D9" w14:paraId="49D6AF2B" w14:textId="77777777" w:rsidTr="006628C1">
        <w:trPr>
          <w:trHeight w:val="418"/>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6DFFF0BC" w14:textId="77777777" w:rsidR="004334D2" w:rsidRPr="00BC72D9" w:rsidRDefault="004334D2" w:rsidP="00182414">
            <w:pPr>
              <w:pStyle w:val="SDMTableBoxParaNotNumbered"/>
            </w:pPr>
          </w:p>
        </w:tc>
        <w:tc>
          <w:tcPr>
            <w:tcW w:w="1418" w:type="dxa"/>
            <w:vMerge/>
            <w:vAlign w:val="center"/>
          </w:tcPr>
          <w:p w14:paraId="0EC35443"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76843A7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N</w:t>
            </w:r>
            <w:r w:rsidRPr="00BC72D9">
              <w:rPr>
                <w:vertAlign w:val="subscript"/>
              </w:rPr>
              <w:t>2</w:t>
            </w:r>
            <w:r w:rsidRPr="00BC72D9">
              <w:t>O</w:t>
            </w:r>
          </w:p>
        </w:tc>
        <w:tc>
          <w:tcPr>
            <w:tcW w:w="1275" w:type="dxa"/>
            <w:vAlign w:val="center"/>
          </w:tcPr>
          <w:p w14:paraId="49C40D45"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013DFDB1"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423A18D0" w14:textId="77777777"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471A78">
              <w:t>Excluded for simplification and conservativeness</w:t>
            </w:r>
          </w:p>
        </w:tc>
      </w:tr>
      <w:tr w:rsidR="004334D2" w:rsidRPr="00BC72D9" w14:paraId="15D1D3E2"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restart"/>
            <w:textDirection w:val="btLr"/>
            <w:vAlign w:val="center"/>
          </w:tcPr>
          <w:p w14:paraId="4C0ACE20" w14:textId="77777777" w:rsidR="004334D2" w:rsidRPr="00BC72D9" w:rsidRDefault="004334D2" w:rsidP="00FA5331">
            <w:pPr>
              <w:pStyle w:val="SDMTableBoxParaNotNumbered"/>
              <w:jc w:val="center"/>
            </w:pPr>
            <w:r>
              <w:t xml:space="preserve">ARTICLE 6.4 </w:t>
            </w:r>
            <w:r w:rsidRPr="00BC72D9">
              <w:t>ACTIVITY</w:t>
            </w:r>
            <w:r>
              <w:t xml:space="preserve"> SCENARIO</w:t>
            </w:r>
          </w:p>
        </w:tc>
        <w:tc>
          <w:tcPr>
            <w:tcW w:w="1418" w:type="dxa"/>
            <w:vMerge w:val="restart"/>
            <w:vAlign w:val="center"/>
          </w:tcPr>
          <w:p w14:paraId="559282BB"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Emissions from on-site fossil fuel consumption for purposes other than electricity generation</w:t>
            </w:r>
          </w:p>
        </w:tc>
        <w:tc>
          <w:tcPr>
            <w:tcW w:w="709" w:type="dxa"/>
            <w:vAlign w:val="center"/>
          </w:tcPr>
          <w:p w14:paraId="70AE295B"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CO</w:t>
            </w:r>
            <w:r w:rsidRPr="00BC72D9">
              <w:rPr>
                <w:vertAlign w:val="subscript"/>
              </w:rPr>
              <w:t>2</w:t>
            </w:r>
          </w:p>
        </w:tc>
        <w:tc>
          <w:tcPr>
            <w:tcW w:w="1275" w:type="dxa"/>
            <w:vAlign w:val="center"/>
          </w:tcPr>
          <w:p w14:paraId="647577B3"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097E00BF"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Controlled</w:t>
            </w:r>
          </w:p>
        </w:tc>
        <w:tc>
          <w:tcPr>
            <w:tcW w:w="3119" w:type="dxa"/>
          </w:tcPr>
          <w:p w14:paraId="41EF5662"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Significant</w:t>
            </w:r>
            <w:r w:rsidRPr="00A47043">
              <w:t xml:space="preserve"> emission source</w:t>
            </w:r>
            <w:r>
              <w:t xml:space="preserve"> if fossil fuels are consumed to operate the project</w:t>
            </w:r>
          </w:p>
        </w:tc>
      </w:tr>
      <w:tr w:rsidR="004334D2" w:rsidRPr="00BC72D9" w14:paraId="4CA1F3CD"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DBA3642" w14:textId="77777777" w:rsidR="004334D2" w:rsidRPr="00BC72D9" w:rsidRDefault="004334D2" w:rsidP="00182414">
            <w:pPr>
              <w:pStyle w:val="SDMTableBoxParaNotNumbered"/>
            </w:pPr>
          </w:p>
        </w:tc>
        <w:tc>
          <w:tcPr>
            <w:tcW w:w="1418" w:type="dxa"/>
            <w:vMerge/>
            <w:vAlign w:val="center"/>
          </w:tcPr>
          <w:p w14:paraId="5BC03B72"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78B56A77"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CH</w:t>
            </w:r>
            <w:r w:rsidRPr="00BC72D9">
              <w:rPr>
                <w:vertAlign w:val="subscript"/>
              </w:rPr>
              <w:t>4</w:t>
            </w:r>
          </w:p>
        </w:tc>
        <w:tc>
          <w:tcPr>
            <w:tcW w:w="1275" w:type="dxa"/>
            <w:vAlign w:val="center"/>
          </w:tcPr>
          <w:p w14:paraId="62C24034"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5125F729"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Controlled</w:t>
            </w:r>
          </w:p>
        </w:tc>
        <w:tc>
          <w:tcPr>
            <w:tcW w:w="3119" w:type="dxa"/>
          </w:tcPr>
          <w:p w14:paraId="3887CBCB" w14:textId="6A4C2EEE" w:rsidR="004334D2" w:rsidRPr="003D6C8A"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C262E2">
              <w:t>Accounted for in the emission factor for equivalent CO</w:t>
            </w:r>
            <w:r w:rsidRPr="00C262E2">
              <w:rPr>
                <w:vertAlign w:val="subscript"/>
              </w:rPr>
              <w:t>2</w:t>
            </w:r>
            <w:r w:rsidRPr="00C262E2">
              <w:t xml:space="preserve"> emissions</w:t>
            </w:r>
          </w:p>
        </w:tc>
      </w:tr>
      <w:tr w:rsidR="004334D2" w:rsidRPr="00BC72D9" w14:paraId="4FDABC02"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7C12DD21" w14:textId="77777777" w:rsidR="004334D2" w:rsidRPr="00BC72D9" w:rsidRDefault="004334D2" w:rsidP="00182414">
            <w:pPr>
              <w:pStyle w:val="SDMTableBoxParaNotNumbered"/>
            </w:pPr>
          </w:p>
        </w:tc>
        <w:tc>
          <w:tcPr>
            <w:tcW w:w="1418" w:type="dxa"/>
            <w:vMerge/>
            <w:vAlign w:val="center"/>
          </w:tcPr>
          <w:p w14:paraId="7ABA3D23"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55C8552F"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N</w:t>
            </w:r>
            <w:r w:rsidRPr="00BC72D9">
              <w:rPr>
                <w:vertAlign w:val="subscript"/>
              </w:rPr>
              <w:t>2</w:t>
            </w:r>
            <w:r w:rsidRPr="00BC72D9">
              <w:t>O</w:t>
            </w:r>
          </w:p>
        </w:tc>
        <w:tc>
          <w:tcPr>
            <w:tcW w:w="1275" w:type="dxa"/>
            <w:vAlign w:val="center"/>
          </w:tcPr>
          <w:p w14:paraId="0178D474"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137B1A9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Controlled</w:t>
            </w:r>
          </w:p>
        </w:tc>
        <w:tc>
          <w:tcPr>
            <w:tcW w:w="3119" w:type="dxa"/>
          </w:tcPr>
          <w:p w14:paraId="74B7F263" w14:textId="3B2987AE" w:rsidR="004334D2" w:rsidRPr="003D6C8A"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C262E2">
              <w:t>Accounted for in the emission factor for equivalent CO</w:t>
            </w:r>
            <w:r w:rsidRPr="00C262E2">
              <w:rPr>
                <w:vertAlign w:val="subscript"/>
              </w:rPr>
              <w:t>2</w:t>
            </w:r>
            <w:r w:rsidRPr="00C262E2">
              <w:t xml:space="preserve"> emissions</w:t>
            </w:r>
          </w:p>
        </w:tc>
      </w:tr>
      <w:tr w:rsidR="004334D2" w:rsidRPr="00BC72D9" w14:paraId="74E06C8E"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56B7A83" w14:textId="77777777" w:rsidR="004334D2" w:rsidRPr="00BC72D9" w:rsidRDefault="004334D2" w:rsidP="00182414">
            <w:pPr>
              <w:pStyle w:val="SDMTableBoxParaNotNumbered"/>
            </w:pPr>
          </w:p>
        </w:tc>
        <w:tc>
          <w:tcPr>
            <w:tcW w:w="1418" w:type="dxa"/>
            <w:vMerge w:val="restart"/>
            <w:vAlign w:val="center"/>
          </w:tcPr>
          <w:p w14:paraId="5747A8A3"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 xml:space="preserve">Emissions from on-site electricity consumption </w:t>
            </w:r>
          </w:p>
        </w:tc>
        <w:tc>
          <w:tcPr>
            <w:tcW w:w="709" w:type="dxa"/>
            <w:vAlign w:val="center"/>
          </w:tcPr>
          <w:p w14:paraId="731D6621"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CO</w:t>
            </w:r>
            <w:r w:rsidRPr="00BC72D9">
              <w:rPr>
                <w:vertAlign w:val="subscript"/>
              </w:rPr>
              <w:t>2</w:t>
            </w:r>
          </w:p>
        </w:tc>
        <w:tc>
          <w:tcPr>
            <w:tcW w:w="1275" w:type="dxa"/>
            <w:vAlign w:val="center"/>
          </w:tcPr>
          <w:p w14:paraId="49E3F5ED"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495E5B57"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Controlled</w:t>
            </w:r>
          </w:p>
        </w:tc>
        <w:tc>
          <w:tcPr>
            <w:tcW w:w="3119" w:type="dxa"/>
          </w:tcPr>
          <w:p w14:paraId="43E2F511" w14:textId="77777777"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Significant</w:t>
            </w:r>
            <w:r w:rsidRPr="00A47043">
              <w:t xml:space="preserve"> emission source if </w:t>
            </w:r>
            <w:r>
              <w:t>electricity is consumed to operate the project</w:t>
            </w:r>
          </w:p>
        </w:tc>
      </w:tr>
      <w:tr w:rsidR="004334D2" w:rsidRPr="00BC72D9" w14:paraId="76F159EF"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60B18C8E" w14:textId="77777777" w:rsidR="004334D2" w:rsidRPr="00BC72D9" w:rsidRDefault="004334D2" w:rsidP="00182414">
            <w:pPr>
              <w:pStyle w:val="SDMTableBoxParaNotNumbered"/>
            </w:pPr>
          </w:p>
        </w:tc>
        <w:tc>
          <w:tcPr>
            <w:tcW w:w="1418" w:type="dxa"/>
            <w:vMerge/>
            <w:vAlign w:val="center"/>
          </w:tcPr>
          <w:p w14:paraId="1669FEED"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7B658DAE"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CH</w:t>
            </w:r>
            <w:r w:rsidRPr="00BC72D9">
              <w:rPr>
                <w:vertAlign w:val="subscript"/>
              </w:rPr>
              <w:t>4</w:t>
            </w:r>
          </w:p>
        </w:tc>
        <w:tc>
          <w:tcPr>
            <w:tcW w:w="1275" w:type="dxa"/>
            <w:vAlign w:val="center"/>
          </w:tcPr>
          <w:p w14:paraId="01F94646"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53099ADC"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3286C2F1" w14:textId="4346F32E"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471A78">
              <w:t>Excluded for simplification</w:t>
            </w:r>
          </w:p>
        </w:tc>
      </w:tr>
      <w:tr w:rsidR="004334D2" w:rsidRPr="00BC72D9" w14:paraId="55FDEC53"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414237B" w14:textId="77777777" w:rsidR="004334D2" w:rsidRPr="00BC72D9" w:rsidRDefault="004334D2" w:rsidP="00182414">
            <w:pPr>
              <w:pStyle w:val="SDMTableBoxParaNotNumbered"/>
            </w:pPr>
          </w:p>
        </w:tc>
        <w:tc>
          <w:tcPr>
            <w:tcW w:w="1418" w:type="dxa"/>
            <w:vMerge/>
            <w:vAlign w:val="center"/>
          </w:tcPr>
          <w:p w14:paraId="33A1F0B0"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669B62F5"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N</w:t>
            </w:r>
            <w:r w:rsidRPr="00BC72D9">
              <w:rPr>
                <w:vertAlign w:val="subscript"/>
              </w:rPr>
              <w:t>2</w:t>
            </w:r>
            <w:r w:rsidRPr="00BC72D9">
              <w:t>O</w:t>
            </w:r>
          </w:p>
        </w:tc>
        <w:tc>
          <w:tcPr>
            <w:tcW w:w="1275" w:type="dxa"/>
            <w:vAlign w:val="center"/>
          </w:tcPr>
          <w:p w14:paraId="723034BB"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3E63E112"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18BE4230" w14:textId="13EC04CE"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471A78">
              <w:t>Excluded for simplification</w:t>
            </w:r>
          </w:p>
        </w:tc>
      </w:tr>
      <w:tr w:rsidR="004334D2" w:rsidRPr="00BC72D9" w14:paraId="2A8395D7"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09601189" w14:textId="77777777" w:rsidR="004334D2" w:rsidRPr="00BC72D9" w:rsidRDefault="004334D2" w:rsidP="00182414">
            <w:pPr>
              <w:pStyle w:val="SDMTableBoxParaNotNumbered"/>
            </w:pPr>
          </w:p>
        </w:tc>
        <w:tc>
          <w:tcPr>
            <w:tcW w:w="1418" w:type="dxa"/>
            <w:vMerge w:val="restart"/>
            <w:vAlign w:val="center"/>
          </w:tcPr>
          <w:p w14:paraId="458D5F07"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Emissions from flaring of LFG</w:t>
            </w:r>
          </w:p>
        </w:tc>
        <w:tc>
          <w:tcPr>
            <w:tcW w:w="709" w:type="dxa"/>
            <w:vAlign w:val="center"/>
          </w:tcPr>
          <w:p w14:paraId="5B837A77"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CO</w:t>
            </w:r>
            <w:r w:rsidRPr="00BC72D9">
              <w:rPr>
                <w:vertAlign w:val="subscript"/>
              </w:rPr>
              <w:t>2</w:t>
            </w:r>
          </w:p>
        </w:tc>
        <w:tc>
          <w:tcPr>
            <w:tcW w:w="1275" w:type="dxa"/>
            <w:vAlign w:val="center"/>
          </w:tcPr>
          <w:p w14:paraId="5DFE08C9"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75A3F3E3"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2DD048BF" w14:textId="77777777"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Not accounted (biogenic)</w:t>
            </w:r>
          </w:p>
        </w:tc>
      </w:tr>
      <w:tr w:rsidR="004334D2" w:rsidRPr="00BC72D9" w14:paraId="4B2EA0DA"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15181367" w14:textId="77777777" w:rsidR="004334D2" w:rsidRPr="00BC72D9" w:rsidRDefault="004334D2" w:rsidP="00182414">
            <w:pPr>
              <w:pStyle w:val="SDMTableBoxParaNotNumbered"/>
            </w:pPr>
          </w:p>
        </w:tc>
        <w:tc>
          <w:tcPr>
            <w:tcW w:w="1418" w:type="dxa"/>
            <w:vMerge/>
            <w:vAlign w:val="center"/>
          </w:tcPr>
          <w:p w14:paraId="57AD160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263312EA"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CH</w:t>
            </w:r>
            <w:r w:rsidRPr="00BC72D9">
              <w:rPr>
                <w:vertAlign w:val="subscript"/>
              </w:rPr>
              <w:t>4</w:t>
            </w:r>
          </w:p>
        </w:tc>
        <w:tc>
          <w:tcPr>
            <w:tcW w:w="1275" w:type="dxa"/>
            <w:vAlign w:val="center"/>
          </w:tcPr>
          <w:p w14:paraId="106964F7"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365315EC"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Controlled</w:t>
            </w:r>
          </w:p>
        </w:tc>
        <w:tc>
          <w:tcPr>
            <w:tcW w:w="3119" w:type="dxa"/>
          </w:tcPr>
          <w:p w14:paraId="2C7CCF6F" w14:textId="06081755"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Significant</w:t>
            </w:r>
            <w:r w:rsidRPr="00A47043">
              <w:t xml:space="preserve"> emission source</w:t>
            </w:r>
          </w:p>
        </w:tc>
      </w:tr>
      <w:tr w:rsidR="004334D2" w:rsidRPr="00BC72D9" w14:paraId="3B207DB0"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56DDA8A1" w14:textId="77777777" w:rsidR="004334D2" w:rsidRPr="00BC72D9" w:rsidRDefault="004334D2" w:rsidP="00182414">
            <w:pPr>
              <w:pStyle w:val="SDMTableBoxParaNotNumbered"/>
            </w:pPr>
          </w:p>
        </w:tc>
        <w:tc>
          <w:tcPr>
            <w:tcW w:w="1418" w:type="dxa"/>
            <w:vMerge/>
            <w:vAlign w:val="center"/>
          </w:tcPr>
          <w:p w14:paraId="109B15BD"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289DA0B2"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N</w:t>
            </w:r>
            <w:r w:rsidRPr="00BC72D9">
              <w:rPr>
                <w:vertAlign w:val="subscript"/>
              </w:rPr>
              <w:t>2</w:t>
            </w:r>
            <w:r w:rsidRPr="00BC72D9">
              <w:t>O</w:t>
            </w:r>
          </w:p>
        </w:tc>
        <w:tc>
          <w:tcPr>
            <w:tcW w:w="1275" w:type="dxa"/>
            <w:vAlign w:val="center"/>
          </w:tcPr>
          <w:p w14:paraId="422A8682"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74770BC1"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160AE5D9" w14:textId="77777777"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471A78">
              <w:t>Excluded for simplification</w:t>
            </w:r>
          </w:p>
        </w:tc>
      </w:tr>
      <w:tr w:rsidR="004334D2" w:rsidRPr="00BC72D9" w14:paraId="6BED5373"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6882AA31" w14:textId="77777777" w:rsidR="004334D2" w:rsidRPr="00BC72D9" w:rsidRDefault="004334D2" w:rsidP="00182414">
            <w:pPr>
              <w:pStyle w:val="SDMTableBoxParaNotNumbered"/>
            </w:pPr>
          </w:p>
        </w:tc>
        <w:tc>
          <w:tcPr>
            <w:tcW w:w="1418" w:type="dxa"/>
            <w:vMerge w:val="restart"/>
            <w:vAlign w:val="center"/>
          </w:tcPr>
          <w:p w14:paraId="77C81129"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E40D7A">
              <w:t xml:space="preserve">Emissions from distribution of </w:t>
            </w:r>
            <w:r>
              <w:t xml:space="preserve">biomethane </w:t>
            </w:r>
            <w:r w:rsidRPr="00E40D7A">
              <w:t>using trucks</w:t>
            </w:r>
            <w:r>
              <w:t xml:space="preserve"> or through the natural gas distribution network</w:t>
            </w:r>
          </w:p>
        </w:tc>
        <w:tc>
          <w:tcPr>
            <w:tcW w:w="709" w:type="dxa"/>
            <w:vAlign w:val="center"/>
          </w:tcPr>
          <w:p w14:paraId="5147394B"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CO</w:t>
            </w:r>
            <w:r w:rsidRPr="00BC72D9">
              <w:rPr>
                <w:vertAlign w:val="subscript"/>
              </w:rPr>
              <w:t>2</w:t>
            </w:r>
          </w:p>
        </w:tc>
        <w:tc>
          <w:tcPr>
            <w:tcW w:w="1275" w:type="dxa"/>
            <w:vAlign w:val="center"/>
          </w:tcPr>
          <w:p w14:paraId="346DE590"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770C8DB1" w14:textId="77777777" w:rsidR="004334D2" w:rsidRPr="00FF649F"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FF649F">
              <w:t>Controlled</w:t>
            </w:r>
          </w:p>
          <w:p w14:paraId="37A4AAF9" w14:textId="77777777" w:rsidR="004334D2" w:rsidRPr="00FF649F"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FF649F">
              <w:t>Related to</w:t>
            </w:r>
          </w:p>
        </w:tc>
        <w:tc>
          <w:tcPr>
            <w:tcW w:w="3119" w:type="dxa"/>
          </w:tcPr>
          <w:p w14:paraId="433FED0C" w14:textId="77777777" w:rsidR="004334D2"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 xml:space="preserve">“Controlled” </w:t>
            </w:r>
            <w:r w:rsidRPr="00A47043">
              <w:t xml:space="preserve">emission source </w:t>
            </w:r>
            <w:r>
              <w:t>from the consumption of fuel by trucks;</w:t>
            </w:r>
          </w:p>
          <w:p w14:paraId="0675AFFE" w14:textId="77777777"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“Related to” emission source from the use of biomethane by consumers</w:t>
            </w:r>
          </w:p>
        </w:tc>
      </w:tr>
      <w:tr w:rsidR="004334D2" w:rsidRPr="00BC72D9" w14:paraId="431BE55B"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0AA75B1E" w14:textId="77777777" w:rsidR="004334D2" w:rsidRPr="00BC72D9" w:rsidRDefault="004334D2" w:rsidP="00182414">
            <w:pPr>
              <w:pStyle w:val="SDMTableBoxParaNotNumbered"/>
            </w:pPr>
          </w:p>
        </w:tc>
        <w:tc>
          <w:tcPr>
            <w:tcW w:w="1418" w:type="dxa"/>
            <w:vMerge/>
            <w:vAlign w:val="center"/>
          </w:tcPr>
          <w:p w14:paraId="515F3695"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4CBDE42B"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CH</w:t>
            </w:r>
            <w:r w:rsidRPr="00BC72D9">
              <w:rPr>
                <w:vertAlign w:val="subscript"/>
              </w:rPr>
              <w:t>4</w:t>
            </w:r>
          </w:p>
        </w:tc>
        <w:tc>
          <w:tcPr>
            <w:tcW w:w="1275" w:type="dxa"/>
            <w:vAlign w:val="center"/>
          </w:tcPr>
          <w:p w14:paraId="2BE730FF"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5F4F6546" w14:textId="77777777" w:rsidR="004334D2" w:rsidRPr="00FF649F"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FF649F">
              <w:t>Controlled</w:t>
            </w:r>
          </w:p>
          <w:p w14:paraId="03ED28F1"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FF649F">
              <w:t>Related to</w:t>
            </w:r>
          </w:p>
        </w:tc>
        <w:tc>
          <w:tcPr>
            <w:tcW w:w="3119" w:type="dxa"/>
          </w:tcPr>
          <w:p w14:paraId="3C48585A" w14:textId="77777777" w:rsidR="004334D2"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 xml:space="preserve">“Controlled” </w:t>
            </w:r>
            <w:r w:rsidRPr="00A47043">
              <w:t xml:space="preserve">emission source </w:t>
            </w:r>
            <w:r>
              <w:t>from the consumption of fuel by trucks;</w:t>
            </w:r>
          </w:p>
          <w:p w14:paraId="3E725461" w14:textId="77777777"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“Related to” emission source from the use of biomethane by consumers</w:t>
            </w:r>
          </w:p>
        </w:tc>
      </w:tr>
      <w:tr w:rsidR="004334D2" w:rsidRPr="00BC72D9" w14:paraId="7720C4D0"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203A9EEA" w14:textId="77777777" w:rsidR="004334D2" w:rsidRPr="00BC72D9" w:rsidRDefault="004334D2" w:rsidP="00182414">
            <w:pPr>
              <w:pStyle w:val="SDMTableBoxParaNotNumbered"/>
            </w:pPr>
          </w:p>
        </w:tc>
        <w:tc>
          <w:tcPr>
            <w:tcW w:w="1418" w:type="dxa"/>
            <w:vMerge/>
            <w:vAlign w:val="center"/>
          </w:tcPr>
          <w:p w14:paraId="03EF3C1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0BE12A55"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N</w:t>
            </w:r>
            <w:r w:rsidRPr="00BC72D9">
              <w:rPr>
                <w:vertAlign w:val="subscript"/>
              </w:rPr>
              <w:t>2</w:t>
            </w:r>
            <w:r w:rsidRPr="00BC72D9">
              <w:t>O</w:t>
            </w:r>
          </w:p>
        </w:tc>
        <w:tc>
          <w:tcPr>
            <w:tcW w:w="1275" w:type="dxa"/>
            <w:vAlign w:val="center"/>
          </w:tcPr>
          <w:p w14:paraId="5821A88A"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1E4B8FAD"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53D395A5" w14:textId="77777777"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471A78">
              <w:t>Excluded for simplification</w:t>
            </w:r>
          </w:p>
        </w:tc>
      </w:tr>
      <w:tr w:rsidR="004334D2" w:rsidRPr="00BC72D9" w14:paraId="691BE7C2"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3F2B52A7" w14:textId="77777777" w:rsidR="004334D2" w:rsidRPr="00BC72D9" w:rsidRDefault="004334D2" w:rsidP="00182414">
            <w:pPr>
              <w:pStyle w:val="SDMTableBoxParaNotNumbered"/>
            </w:pPr>
          </w:p>
        </w:tc>
        <w:tc>
          <w:tcPr>
            <w:tcW w:w="1418" w:type="dxa"/>
            <w:vMerge w:val="restart"/>
            <w:vAlign w:val="center"/>
          </w:tcPr>
          <w:p w14:paraId="7C0EAA81"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E40D7A">
              <w:t xml:space="preserve">Emissions from distribution of </w:t>
            </w:r>
            <w:r>
              <w:t xml:space="preserve">biomethane or </w:t>
            </w:r>
            <w:r w:rsidRPr="00E40D7A">
              <w:t xml:space="preserve">LFG </w:t>
            </w:r>
            <w:r>
              <w:t xml:space="preserve">to consumers </w:t>
            </w:r>
            <w:r w:rsidRPr="00E40D7A">
              <w:t>using dedicated pipelines</w:t>
            </w:r>
          </w:p>
        </w:tc>
        <w:tc>
          <w:tcPr>
            <w:tcW w:w="709" w:type="dxa"/>
            <w:vAlign w:val="center"/>
          </w:tcPr>
          <w:p w14:paraId="59B00EE6"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CO</w:t>
            </w:r>
            <w:r w:rsidRPr="00BC72D9">
              <w:rPr>
                <w:vertAlign w:val="subscript"/>
              </w:rPr>
              <w:t>2</w:t>
            </w:r>
          </w:p>
        </w:tc>
        <w:tc>
          <w:tcPr>
            <w:tcW w:w="1275" w:type="dxa"/>
            <w:vAlign w:val="center"/>
          </w:tcPr>
          <w:p w14:paraId="5238671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58D7DFE1"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Controlled</w:t>
            </w:r>
          </w:p>
        </w:tc>
        <w:tc>
          <w:tcPr>
            <w:tcW w:w="3119" w:type="dxa"/>
          </w:tcPr>
          <w:p w14:paraId="6CB4A49C" w14:textId="77777777"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Significant</w:t>
            </w:r>
            <w:r w:rsidRPr="00A47043">
              <w:t xml:space="preserve"> emission source</w:t>
            </w:r>
          </w:p>
        </w:tc>
      </w:tr>
      <w:tr w:rsidR="004334D2" w:rsidRPr="00BC72D9" w14:paraId="2756DCFA" w14:textId="77777777" w:rsidTr="006628C1">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6E96FDAD" w14:textId="77777777" w:rsidR="004334D2" w:rsidRPr="00BC72D9" w:rsidRDefault="004334D2" w:rsidP="00182414">
            <w:pPr>
              <w:pStyle w:val="SDMTableBoxParaNotNumbered"/>
            </w:pPr>
          </w:p>
        </w:tc>
        <w:tc>
          <w:tcPr>
            <w:tcW w:w="1418" w:type="dxa"/>
            <w:vMerge/>
            <w:vAlign w:val="center"/>
          </w:tcPr>
          <w:p w14:paraId="318ECDE2"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4E7D30A4"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CH</w:t>
            </w:r>
            <w:r w:rsidRPr="00BC72D9">
              <w:rPr>
                <w:vertAlign w:val="subscript"/>
              </w:rPr>
              <w:t>4</w:t>
            </w:r>
          </w:p>
        </w:tc>
        <w:tc>
          <w:tcPr>
            <w:tcW w:w="1275" w:type="dxa"/>
            <w:vAlign w:val="center"/>
          </w:tcPr>
          <w:p w14:paraId="33BFDFBE"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62F73F8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Controlled</w:t>
            </w:r>
          </w:p>
        </w:tc>
        <w:tc>
          <w:tcPr>
            <w:tcW w:w="3119" w:type="dxa"/>
          </w:tcPr>
          <w:p w14:paraId="424D377F" w14:textId="77777777"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Significant</w:t>
            </w:r>
            <w:r w:rsidRPr="00A47043">
              <w:t xml:space="preserve"> emission source</w:t>
            </w:r>
          </w:p>
        </w:tc>
      </w:tr>
      <w:tr w:rsidR="004334D2" w:rsidRPr="00BC72D9" w14:paraId="694173E9" w14:textId="77777777" w:rsidTr="006628C1">
        <w:trPr>
          <w:trHeight w:val="1471"/>
        </w:trPr>
        <w:tc>
          <w:tcPr>
            <w:cnfStyle w:val="001000000000" w:firstRow="0" w:lastRow="0" w:firstColumn="1" w:lastColumn="0" w:oddVBand="0" w:evenVBand="0" w:oddHBand="0" w:evenHBand="0" w:firstRowFirstColumn="0" w:firstRowLastColumn="0" w:lastRowFirstColumn="0" w:lastRowLastColumn="0"/>
            <w:tcW w:w="567" w:type="dxa"/>
            <w:vMerge/>
            <w:vAlign w:val="center"/>
          </w:tcPr>
          <w:p w14:paraId="4A68347E" w14:textId="77777777" w:rsidR="004334D2" w:rsidRPr="00BC72D9" w:rsidRDefault="004334D2" w:rsidP="00182414">
            <w:pPr>
              <w:pStyle w:val="SDMTableBoxParaNotNumbered"/>
            </w:pPr>
          </w:p>
        </w:tc>
        <w:tc>
          <w:tcPr>
            <w:tcW w:w="1418" w:type="dxa"/>
            <w:vMerge/>
            <w:vAlign w:val="center"/>
          </w:tcPr>
          <w:p w14:paraId="1AB29F2A"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5190DC7B"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N</w:t>
            </w:r>
            <w:r w:rsidRPr="00BC72D9">
              <w:rPr>
                <w:vertAlign w:val="subscript"/>
              </w:rPr>
              <w:t>2</w:t>
            </w:r>
            <w:r w:rsidRPr="00BC72D9">
              <w:t>O</w:t>
            </w:r>
          </w:p>
        </w:tc>
        <w:tc>
          <w:tcPr>
            <w:tcW w:w="1275" w:type="dxa"/>
            <w:vAlign w:val="center"/>
          </w:tcPr>
          <w:p w14:paraId="3D674CCD"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No</w:t>
            </w:r>
          </w:p>
        </w:tc>
        <w:tc>
          <w:tcPr>
            <w:tcW w:w="1559" w:type="dxa"/>
            <w:vAlign w:val="center"/>
          </w:tcPr>
          <w:p w14:paraId="3EFA2073"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3119" w:type="dxa"/>
          </w:tcPr>
          <w:p w14:paraId="1CBBBCA9" w14:textId="77777777" w:rsidR="004334D2" w:rsidRPr="00471A78"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471A78">
              <w:t>Excluded for simplification</w:t>
            </w:r>
          </w:p>
        </w:tc>
      </w:tr>
      <w:tr w:rsidR="004334D2" w:rsidRPr="00BC72D9" w14:paraId="19628DBC" w14:textId="77777777" w:rsidTr="006628C1">
        <w:trPr>
          <w:trHeight w:val="293"/>
        </w:trPr>
        <w:tc>
          <w:tcPr>
            <w:cnfStyle w:val="001000000000" w:firstRow="0" w:lastRow="0" w:firstColumn="1" w:lastColumn="0" w:oddVBand="0" w:evenVBand="0" w:oddHBand="0" w:evenHBand="0" w:firstRowFirstColumn="0" w:firstRowLastColumn="0" w:lastRowFirstColumn="0" w:lastRowLastColumn="0"/>
            <w:tcW w:w="567" w:type="dxa"/>
            <w:vMerge w:val="restart"/>
            <w:textDirection w:val="btLr"/>
            <w:vAlign w:val="center"/>
          </w:tcPr>
          <w:p w14:paraId="0F08ADA7" w14:textId="77777777" w:rsidR="004334D2" w:rsidRPr="00BC72D9" w:rsidRDefault="004334D2" w:rsidP="00182414">
            <w:pPr>
              <w:pStyle w:val="SDMTableBoxParaNotNumbered"/>
            </w:pPr>
            <w:r>
              <w:t>LEAKAGE</w:t>
            </w:r>
          </w:p>
        </w:tc>
        <w:tc>
          <w:tcPr>
            <w:tcW w:w="1418" w:type="dxa"/>
            <w:vMerge w:val="restart"/>
            <w:vAlign w:val="center"/>
          </w:tcPr>
          <w:p w14:paraId="5AFAAABF" w14:textId="7F73C9B4"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Upstream emissions</w:t>
            </w:r>
          </w:p>
        </w:tc>
        <w:tc>
          <w:tcPr>
            <w:tcW w:w="709" w:type="dxa"/>
            <w:vAlign w:val="center"/>
          </w:tcPr>
          <w:p w14:paraId="5D753B60"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CO</w:t>
            </w:r>
            <w:r w:rsidRPr="00BC72D9">
              <w:rPr>
                <w:vertAlign w:val="subscript"/>
              </w:rPr>
              <w:t>2</w:t>
            </w:r>
          </w:p>
        </w:tc>
        <w:tc>
          <w:tcPr>
            <w:tcW w:w="1275" w:type="dxa"/>
            <w:vAlign w:val="center"/>
          </w:tcPr>
          <w:p w14:paraId="7573B17B"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726CB331"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Affected by</w:t>
            </w:r>
          </w:p>
        </w:tc>
        <w:tc>
          <w:tcPr>
            <w:tcW w:w="3119" w:type="dxa"/>
          </w:tcPr>
          <w:p w14:paraId="4F235436"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Included in LCA analysis</w:t>
            </w:r>
          </w:p>
        </w:tc>
      </w:tr>
      <w:tr w:rsidR="004334D2" w:rsidRPr="00BC72D9" w14:paraId="5286EDA9" w14:textId="77777777" w:rsidTr="006628C1">
        <w:trPr>
          <w:trHeight w:val="355"/>
        </w:trPr>
        <w:tc>
          <w:tcPr>
            <w:cnfStyle w:val="001000000000" w:firstRow="0" w:lastRow="0" w:firstColumn="1" w:lastColumn="0" w:oddVBand="0" w:evenVBand="0" w:oddHBand="0" w:evenHBand="0" w:firstRowFirstColumn="0" w:firstRowLastColumn="0" w:lastRowFirstColumn="0" w:lastRowLastColumn="0"/>
            <w:tcW w:w="567" w:type="dxa"/>
            <w:vMerge/>
          </w:tcPr>
          <w:p w14:paraId="74E43145" w14:textId="77777777" w:rsidR="004334D2" w:rsidRPr="00BC72D9" w:rsidRDefault="004334D2" w:rsidP="00182414">
            <w:pPr>
              <w:pStyle w:val="SDMTableBoxParaNotNumbered"/>
            </w:pPr>
          </w:p>
        </w:tc>
        <w:tc>
          <w:tcPr>
            <w:tcW w:w="1418" w:type="dxa"/>
            <w:vMerge/>
            <w:vAlign w:val="center"/>
          </w:tcPr>
          <w:p w14:paraId="71432B4F"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38E170A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CH</w:t>
            </w:r>
            <w:r w:rsidRPr="00BC72D9">
              <w:rPr>
                <w:vertAlign w:val="subscript"/>
              </w:rPr>
              <w:t>4</w:t>
            </w:r>
          </w:p>
        </w:tc>
        <w:tc>
          <w:tcPr>
            <w:tcW w:w="1275" w:type="dxa"/>
            <w:vAlign w:val="center"/>
          </w:tcPr>
          <w:p w14:paraId="3BABB9B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460095C5"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Affected by</w:t>
            </w:r>
          </w:p>
        </w:tc>
        <w:tc>
          <w:tcPr>
            <w:tcW w:w="3119" w:type="dxa"/>
          </w:tcPr>
          <w:p w14:paraId="1F7E7CD0"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Included in an LCA analysis</w:t>
            </w:r>
          </w:p>
        </w:tc>
      </w:tr>
      <w:tr w:rsidR="004334D2" w:rsidRPr="00BC72D9" w14:paraId="003B0352" w14:textId="77777777" w:rsidTr="006628C1">
        <w:trPr>
          <w:trHeight w:val="341"/>
        </w:trPr>
        <w:tc>
          <w:tcPr>
            <w:cnfStyle w:val="001000000000" w:firstRow="0" w:lastRow="0" w:firstColumn="1" w:lastColumn="0" w:oddVBand="0" w:evenVBand="0" w:oddHBand="0" w:evenHBand="0" w:firstRowFirstColumn="0" w:firstRowLastColumn="0" w:lastRowFirstColumn="0" w:lastRowLastColumn="0"/>
            <w:tcW w:w="567" w:type="dxa"/>
            <w:vMerge/>
          </w:tcPr>
          <w:p w14:paraId="1D584BC8" w14:textId="77777777" w:rsidR="004334D2" w:rsidRPr="00BC72D9" w:rsidRDefault="004334D2" w:rsidP="00182414">
            <w:pPr>
              <w:pStyle w:val="SDMTableBoxParaNotNumbered"/>
            </w:pPr>
          </w:p>
        </w:tc>
        <w:tc>
          <w:tcPr>
            <w:tcW w:w="1418" w:type="dxa"/>
            <w:vMerge/>
            <w:vAlign w:val="center"/>
          </w:tcPr>
          <w:p w14:paraId="5F5FF3E6"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p>
        </w:tc>
        <w:tc>
          <w:tcPr>
            <w:tcW w:w="709" w:type="dxa"/>
            <w:vAlign w:val="center"/>
          </w:tcPr>
          <w:p w14:paraId="7F1C99E4"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rsidRPr="00BC72D9">
              <w:t>N</w:t>
            </w:r>
            <w:r w:rsidRPr="00BC72D9">
              <w:rPr>
                <w:vertAlign w:val="subscript"/>
              </w:rPr>
              <w:t>2</w:t>
            </w:r>
            <w:r w:rsidRPr="00BC72D9">
              <w:t>O</w:t>
            </w:r>
          </w:p>
        </w:tc>
        <w:tc>
          <w:tcPr>
            <w:tcW w:w="1275" w:type="dxa"/>
            <w:vAlign w:val="center"/>
          </w:tcPr>
          <w:p w14:paraId="0748A9C8"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Yes</w:t>
            </w:r>
          </w:p>
        </w:tc>
        <w:tc>
          <w:tcPr>
            <w:tcW w:w="1559" w:type="dxa"/>
            <w:vAlign w:val="center"/>
          </w:tcPr>
          <w:p w14:paraId="09A60B24"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Affected by</w:t>
            </w:r>
          </w:p>
        </w:tc>
        <w:tc>
          <w:tcPr>
            <w:tcW w:w="3119" w:type="dxa"/>
          </w:tcPr>
          <w:p w14:paraId="4206215F" w14:textId="77777777" w:rsidR="004334D2" w:rsidRPr="00BC72D9" w:rsidRDefault="004334D2" w:rsidP="00182414">
            <w:pPr>
              <w:pStyle w:val="SDMTableBoxParaNotNumbered"/>
              <w:cnfStyle w:val="000000000000" w:firstRow="0" w:lastRow="0" w:firstColumn="0" w:lastColumn="0" w:oddVBand="0" w:evenVBand="0" w:oddHBand="0" w:evenHBand="0" w:firstRowFirstColumn="0" w:firstRowLastColumn="0" w:lastRowFirstColumn="0" w:lastRowLastColumn="0"/>
            </w:pPr>
            <w:r>
              <w:t>Included in an LCA analysis</w:t>
            </w:r>
          </w:p>
        </w:tc>
      </w:tr>
    </w:tbl>
    <w:p w14:paraId="72FB110A" w14:textId="2D458AC6" w:rsidR="004334D2" w:rsidRDefault="004334D2" w:rsidP="00247E9F">
      <w:pPr>
        <w:pStyle w:val="SDMPara"/>
        <w:numPr>
          <w:ilvl w:val="0"/>
          <w:numId w:val="5"/>
        </w:numPr>
      </w:pPr>
      <w:r>
        <w:t xml:space="preserve">Activity participants shall </w:t>
      </w:r>
      <w:r w:rsidR="00D51E12">
        <w:t xml:space="preserve">include </w:t>
      </w:r>
      <w:r>
        <w:t xml:space="preserve">in the PDD the location of the Article 6.4 activity in the form of Keyhole Markup Language (KML) files or similar formats as one or more polygon(s), by specifying the coordinates of the geographic boundary using a known coordinate system or any other </w:t>
      </w:r>
      <w:r w:rsidR="00D51E12">
        <w:t xml:space="preserve">established </w:t>
      </w:r>
      <w:r>
        <w:t>method.</w:t>
      </w:r>
    </w:p>
    <w:p w14:paraId="24C9ABF0" w14:textId="77777777" w:rsidR="004334D2" w:rsidRDefault="004334D2" w:rsidP="008B12E5">
      <w:pPr>
        <w:pStyle w:val="SDMHead1"/>
      </w:pPr>
      <w:bookmarkStart w:id="105" w:name="_Toc211555304"/>
      <w:bookmarkStart w:id="106" w:name="_Toc211598956"/>
      <w:bookmarkStart w:id="107" w:name="_Toc211599458"/>
      <w:bookmarkStart w:id="108" w:name="_Toc211612254"/>
      <w:bookmarkStart w:id="109" w:name="_Toc211614701"/>
      <w:bookmarkStart w:id="110" w:name="_Toc211614744"/>
      <w:r w:rsidRPr="008B12E5">
        <w:t>Demonstration</w:t>
      </w:r>
      <w:r>
        <w:t xml:space="preserve"> of additionality</w:t>
      </w:r>
      <w:bookmarkEnd w:id="105"/>
      <w:bookmarkEnd w:id="106"/>
      <w:bookmarkEnd w:id="107"/>
      <w:bookmarkEnd w:id="108"/>
      <w:bookmarkEnd w:id="109"/>
      <w:bookmarkEnd w:id="110"/>
    </w:p>
    <w:p w14:paraId="67D5EF6D" w14:textId="77777777" w:rsidR="004334D2" w:rsidRDefault="004334D2" w:rsidP="00DA05CE">
      <w:pPr>
        <w:pStyle w:val="SDMPara"/>
        <w:keepNext/>
      </w:pPr>
      <w:r>
        <w:t>To demonstrate additionality, activity participants shall apply:</w:t>
      </w:r>
    </w:p>
    <w:p w14:paraId="154F0F41" w14:textId="680252B3" w:rsidR="004334D2" w:rsidRDefault="004334D2" w:rsidP="00E66E80">
      <w:pPr>
        <w:pStyle w:val="SDMSubPara1"/>
      </w:pPr>
      <w:r>
        <w:t>A regulatory analysis (section </w:t>
      </w:r>
      <w:r>
        <w:fldChar w:fldCharType="begin"/>
      </w:r>
      <w:r>
        <w:instrText xml:space="preserve"> REF _Ref207822713 \r \p \h </w:instrText>
      </w:r>
      <w:r>
        <w:fldChar w:fldCharType="separate"/>
      </w:r>
      <w:r w:rsidR="00302468">
        <w:rPr>
          <w:cs/>
        </w:rPr>
        <w:t>‎</w:t>
      </w:r>
      <w:r w:rsidR="00302468">
        <w:t>6.1 below</w:t>
      </w:r>
      <w:r>
        <w:fldChar w:fldCharType="end"/>
      </w:r>
      <w:r>
        <w:t>);</w:t>
      </w:r>
    </w:p>
    <w:p w14:paraId="1508DE3F" w14:textId="6C929C43" w:rsidR="004334D2" w:rsidRDefault="004334D2" w:rsidP="00E66E80">
      <w:pPr>
        <w:pStyle w:val="SDMSubPara1"/>
      </w:pPr>
      <w:r>
        <w:t xml:space="preserve">A lock-in analysis (section </w:t>
      </w:r>
      <w:r>
        <w:fldChar w:fldCharType="begin"/>
      </w:r>
      <w:r>
        <w:instrText xml:space="preserve"> REF _Ref207822772 \r \p \h </w:instrText>
      </w:r>
      <w:r>
        <w:fldChar w:fldCharType="separate"/>
      </w:r>
      <w:r w:rsidR="00302468">
        <w:rPr>
          <w:cs/>
        </w:rPr>
        <w:t>‎</w:t>
      </w:r>
      <w:r w:rsidR="00302468">
        <w:t>6.2 below</w:t>
      </w:r>
      <w:r>
        <w:fldChar w:fldCharType="end"/>
      </w:r>
      <w:r>
        <w:t>);</w:t>
      </w:r>
    </w:p>
    <w:p w14:paraId="1042E21E" w14:textId="3E5043BA" w:rsidR="004334D2" w:rsidRDefault="004334D2" w:rsidP="00E66E80">
      <w:pPr>
        <w:pStyle w:val="SDMSubPara1"/>
      </w:pPr>
      <w:r>
        <w:t xml:space="preserve">An investment analysis (section </w:t>
      </w:r>
      <w:r>
        <w:fldChar w:fldCharType="begin"/>
      </w:r>
      <w:r>
        <w:instrText xml:space="preserve"> REF _Ref207822820 \r \h </w:instrText>
      </w:r>
      <w:r>
        <w:fldChar w:fldCharType="separate"/>
      </w:r>
      <w:r w:rsidR="00302468">
        <w:rPr>
          <w:cs/>
        </w:rPr>
        <w:t>‎</w:t>
      </w:r>
      <w:r w:rsidR="00302468">
        <w:t>6.3.1</w:t>
      </w:r>
      <w:r>
        <w:fldChar w:fldCharType="end"/>
      </w:r>
      <w:r>
        <w:t xml:space="preserve"> below); and</w:t>
      </w:r>
    </w:p>
    <w:p w14:paraId="70E95A75" w14:textId="2E5B0F05" w:rsidR="004334D2" w:rsidRDefault="004334D2" w:rsidP="00E66E80">
      <w:pPr>
        <w:pStyle w:val="SDMSubPara1"/>
      </w:pPr>
      <w:r>
        <w:t>A common practice analysis (section </w:t>
      </w:r>
      <w:r>
        <w:fldChar w:fldCharType="begin"/>
      </w:r>
      <w:r>
        <w:instrText xml:space="preserve"> REF _Ref207822799 \r \h </w:instrText>
      </w:r>
      <w:r>
        <w:fldChar w:fldCharType="separate"/>
      </w:r>
      <w:r w:rsidR="00302468">
        <w:rPr>
          <w:cs/>
        </w:rPr>
        <w:t>‎</w:t>
      </w:r>
      <w:r w:rsidR="00302468">
        <w:t>6.3.2</w:t>
      </w:r>
      <w:r>
        <w:fldChar w:fldCharType="end"/>
      </w:r>
      <w:r>
        <w:t xml:space="preserve"> below).</w:t>
      </w:r>
    </w:p>
    <w:p w14:paraId="4340383C" w14:textId="77777777" w:rsidR="004334D2" w:rsidRDefault="004334D2" w:rsidP="00E66E80">
      <w:pPr>
        <w:pStyle w:val="SDMPara"/>
      </w:pPr>
      <w:r>
        <w:t>The proposed Article 6.4 activity shall only be considered additional if all four analyses are concluded positively.</w:t>
      </w:r>
    </w:p>
    <w:p w14:paraId="11BA27D9" w14:textId="77777777" w:rsidR="004334D2" w:rsidRDefault="004334D2" w:rsidP="008B12E5">
      <w:pPr>
        <w:pStyle w:val="SDMHead2"/>
      </w:pPr>
      <w:bookmarkStart w:id="111" w:name="_Ref207822713"/>
      <w:bookmarkStart w:id="112" w:name="_Toc211555305"/>
      <w:bookmarkStart w:id="113" w:name="_Toc211598957"/>
      <w:bookmarkStart w:id="114" w:name="_Toc211599459"/>
      <w:bookmarkStart w:id="115" w:name="_Toc211612255"/>
      <w:bookmarkStart w:id="116" w:name="_Toc211614702"/>
      <w:bookmarkStart w:id="117" w:name="_Toc211614745"/>
      <w:r>
        <w:t xml:space="preserve">Regulatory </w:t>
      </w:r>
      <w:r w:rsidRPr="008B12E5">
        <w:t>analysis</w:t>
      </w:r>
      <w:bookmarkEnd w:id="111"/>
      <w:bookmarkEnd w:id="112"/>
      <w:bookmarkEnd w:id="113"/>
      <w:bookmarkEnd w:id="114"/>
      <w:bookmarkEnd w:id="115"/>
      <w:bookmarkEnd w:id="116"/>
      <w:bookmarkEnd w:id="117"/>
    </w:p>
    <w:p w14:paraId="2D975F57" w14:textId="5BAF3D62" w:rsidR="004334D2" w:rsidRDefault="004334D2" w:rsidP="00DA05CE">
      <w:pPr>
        <w:pStyle w:val="SDMPara"/>
        <w:keepNext/>
      </w:pPr>
      <w:bookmarkStart w:id="118" w:name="_Ref210058930"/>
      <w:r>
        <w:t xml:space="preserve">Activity participants shall demonstrate and justify, based on a review of legal requirements on environmental and waste management applicable to the host country and the proposed Article 6.4 activity, that the emission reductions resulting from the </w:t>
      </w:r>
      <w:r w:rsidDel="00463592">
        <w:t xml:space="preserve">Article 6.4 </w:t>
      </w:r>
      <w:r>
        <w:t>activity would not occur as a result of any of these legal requirements (unless the law or regulation refers to or formally integrates the mechanism as an instrument for implementation)</w:t>
      </w:r>
      <w:r w:rsidR="00011ADE">
        <w:rPr>
          <w:rStyle w:val="FootnoteReference"/>
        </w:rPr>
        <w:footnoteReference w:id="10"/>
      </w:r>
      <w:r>
        <w:t xml:space="preserve"> by confirming that these legal requirements do not:</w:t>
      </w:r>
      <w:bookmarkEnd w:id="118"/>
    </w:p>
    <w:p w14:paraId="2331463A" w14:textId="77777777" w:rsidR="004334D2" w:rsidRDefault="004334D2" w:rsidP="00E66E80">
      <w:pPr>
        <w:pStyle w:val="SDMSubPara1"/>
      </w:pPr>
      <w:r>
        <w:t>Explicitly require SWDSs to install a</w:t>
      </w:r>
      <w:r>
        <w:rPr>
          <w:lang w:val="en-US"/>
        </w:rPr>
        <w:t>n</w:t>
      </w:r>
      <w:r>
        <w:t xml:space="preserve"> LFG capturing and flaring system, or an LFG capturing and utilization system;</w:t>
      </w:r>
    </w:p>
    <w:p w14:paraId="345FECB2" w14:textId="77777777" w:rsidR="004334D2" w:rsidRDefault="004334D2" w:rsidP="00E66E80">
      <w:pPr>
        <w:pStyle w:val="SDMSubPara1"/>
      </w:pPr>
      <w:r>
        <w:t>Include requirements for the treatment of waste in SWDSs which can only be achieved by either collecting and flaring LFG or collecting and utilizing the LFG for energy purposes;</w:t>
      </w:r>
    </w:p>
    <w:p w14:paraId="5F084965" w14:textId="69341705" w:rsidR="004334D2" w:rsidRDefault="004334D2" w:rsidP="00E66E80">
      <w:pPr>
        <w:pStyle w:val="SDMSubPara1"/>
      </w:pPr>
      <w:r>
        <w:t xml:space="preserve">Prohibit the use of specific waste treatment technologies </w:t>
      </w:r>
      <w:r w:rsidR="00D51E12">
        <w:t>(</w:t>
      </w:r>
      <w:r>
        <w:t>e.g.</w:t>
      </w:r>
      <w:r w:rsidR="00D51E12">
        <w:t>,</w:t>
      </w:r>
      <w:r>
        <w:t xml:space="preserve"> incineration</w:t>
      </w:r>
      <w:r w:rsidR="00D51E12">
        <w:t>)</w:t>
      </w:r>
      <w:r>
        <w:t xml:space="preserve"> and mandate the collection, flaring and/or utilization of the LFG for energy as part of </w:t>
      </w:r>
      <w:r w:rsidR="00D51E12">
        <w:t xml:space="preserve">a </w:t>
      </w:r>
      <w:r>
        <w:t>waste treatment technology or practice;</w:t>
      </w:r>
    </w:p>
    <w:p w14:paraId="5BF494A3" w14:textId="77777777" w:rsidR="004334D2" w:rsidRDefault="004334D2" w:rsidP="00DA05CE">
      <w:pPr>
        <w:pStyle w:val="SDMSubPara1"/>
        <w:keepNext/>
      </w:pPr>
      <w:r>
        <w:t>Establish a support scheme that:</w:t>
      </w:r>
    </w:p>
    <w:p w14:paraId="50F70F19" w14:textId="77777777" w:rsidR="004334D2" w:rsidRDefault="004334D2" w:rsidP="00E66E80">
      <w:pPr>
        <w:pStyle w:val="SDMSubPara2"/>
      </w:pPr>
      <w:r>
        <w:t>Is designed to achieve a quantitative target for methane destruction in SWDSs;</w:t>
      </w:r>
    </w:p>
    <w:p w14:paraId="310B22C7" w14:textId="77777777" w:rsidR="004334D2" w:rsidRDefault="004334D2" w:rsidP="00E66E80">
      <w:pPr>
        <w:pStyle w:val="SDMSubPara2"/>
      </w:pPr>
      <w:r>
        <w:t>Is applicable to the collection of LFG and its destruction in flares and/or use; and;</w:t>
      </w:r>
    </w:p>
    <w:p w14:paraId="1341E6F7" w14:textId="77777777" w:rsidR="004334D2" w:rsidRDefault="004334D2" w:rsidP="00E66E80">
      <w:pPr>
        <w:pStyle w:val="SDMSubPara2"/>
      </w:pPr>
      <w:r>
        <w:t>Would likely result in the same amount of emission reductions if the Article 6.4 activity was not implemented.</w:t>
      </w:r>
    </w:p>
    <w:p w14:paraId="62464DD2" w14:textId="4033EAAF" w:rsidR="004334D2" w:rsidRDefault="004334D2" w:rsidP="00E66E80">
      <w:pPr>
        <w:pStyle w:val="SDMPara"/>
        <w:rPr>
          <w:lang w:val="en-US"/>
        </w:rPr>
      </w:pPr>
      <w:r>
        <w:rPr>
          <w:lang w:val="en-US"/>
        </w:rPr>
        <w:t xml:space="preserve">If </w:t>
      </w:r>
      <w:r w:rsidR="00D142C6">
        <w:rPr>
          <w:lang w:val="en-US"/>
        </w:rPr>
        <w:t xml:space="preserve">one or more of the legal requirements listed in paragraph </w:t>
      </w:r>
      <w:r w:rsidR="00D142C6">
        <w:rPr>
          <w:lang w:val="en-US"/>
        </w:rPr>
        <w:fldChar w:fldCharType="begin"/>
      </w:r>
      <w:r w:rsidR="00D142C6">
        <w:rPr>
          <w:lang w:val="en-US"/>
        </w:rPr>
        <w:instrText xml:space="preserve"> REF _Ref210058930 \w \h </w:instrText>
      </w:r>
      <w:r w:rsidR="00D142C6">
        <w:rPr>
          <w:lang w:val="en-US"/>
        </w:rPr>
      </w:r>
      <w:r w:rsidR="00D142C6">
        <w:rPr>
          <w:lang w:val="en-US"/>
        </w:rPr>
        <w:fldChar w:fldCharType="separate"/>
      </w:r>
      <w:r w:rsidR="00302468">
        <w:rPr>
          <w:cs/>
          <w:lang w:val="en-US"/>
        </w:rPr>
        <w:t>‎</w:t>
      </w:r>
      <w:r w:rsidR="00302468">
        <w:rPr>
          <w:lang w:val="en-US"/>
        </w:rPr>
        <w:t>25</w:t>
      </w:r>
      <w:r w:rsidR="00D142C6">
        <w:rPr>
          <w:lang w:val="en-US"/>
        </w:rPr>
        <w:fldChar w:fldCharType="end"/>
      </w:r>
      <w:r>
        <w:rPr>
          <w:lang w:val="en-US"/>
        </w:rPr>
        <w:t xml:space="preserve"> applies to the Article 6.4 activity, </w:t>
      </w:r>
      <w:r w:rsidR="00D142C6">
        <w:rPr>
          <w:lang w:val="en-US"/>
        </w:rPr>
        <w:t xml:space="preserve">then </w:t>
      </w:r>
      <w:r>
        <w:rPr>
          <w:lang w:val="en-US"/>
        </w:rPr>
        <w:t xml:space="preserve">A6.4ERs cannot be claimed for emission reductions that result from meeting </w:t>
      </w:r>
      <w:r w:rsidR="00D142C6">
        <w:rPr>
          <w:lang w:val="en-US"/>
        </w:rPr>
        <w:t xml:space="preserve">any such </w:t>
      </w:r>
      <w:r>
        <w:rPr>
          <w:lang w:val="en-US"/>
        </w:rPr>
        <w:t xml:space="preserve">legal requirement(s). However, A6.4ERs </w:t>
      </w:r>
      <w:r w:rsidR="00D142C6">
        <w:rPr>
          <w:lang w:val="en-US"/>
        </w:rPr>
        <w:t xml:space="preserve">may be claimed </w:t>
      </w:r>
      <w:r>
        <w:rPr>
          <w:lang w:val="en-US"/>
        </w:rPr>
        <w:t xml:space="preserve">with respect to </w:t>
      </w:r>
      <w:r w:rsidR="00D142C6">
        <w:rPr>
          <w:lang w:val="en-US"/>
        </w:rPr>
        <w:t xml:space="preserve">any </w:t>
      </w:r>
      <w:r>
        <w:rPr>
          <w:lang w:val="en-US"/>
        </w:rPr>
        <w:t xml:space="preserve">emission reductions </w:t>
      </w:r>
      <w:r w:rsidR="00D142C6">
        <w:rPr>
          <w:lang w:val="en-US"/>
        </w:rPr>
        <w:t xml:space="preserve">that are </w:t>
      </w:r>
      <w:r>
        <w:rPr>
          <w:lang w:val="en-US"/>
        </w:rPr>
        <w:t xml:space="preserve">achieved </w:t>
      </w:r>
      <w:r w:rsidR="00D142C6">
        <w:rPr>
          <w:lang w:val="en-US"/>
        </w:rPr>
        <w:t xml:space="preserve">in excess of legal </w:t>
      </w:r>
      <w:r>
        <w:rPr>
          <w:lang w:val="en-US"/>
        </w:rPr>
        <w:t>requirement</w:t>
      </w:r>
      <w:r w:rsidR="00D142C6">
        <w:rPr>
          <w:lang w:val="en-US"/>
        </w:rPr>
        <w:t>(</w:t>
      </w:r>
      <w:r>
        <w:rPr>
          <w:lang w:val="en-US"/>
        </w:rPr>
        <w:t>s</w:t>
      </w:r>
      <w:r w:rsidR="00D142C6">
        <w:rPr>
          <w:lang w:val="en-US"/>
        </w:rPr>
        <w:t>)</w:t>
      </w:r>
      <w:r>
        <w:rPr>
          <w:lang w:val="en-US"/>
        </w:rPr>
        <w:t>.</w:t>
      </w:r>
    </w:p>
    <w:p w14:paraId="3E24650E" w14:textId="16BF5F87" w:rsidR="004334D2" w:rsidRDefault="004334D2" w:rsidP="00E66E80">
      <w:pPr>
        <w:pStyle w:val="SDMPara"/>
      </w:pPr>
      <w:r>
        <w:t>Activity participants shall update the regulatory analysis</w:t>
      </w:r>
      <w:r w:rsidRPr="00CE2CBF">
        <w:t xml:space="preserve"> </w:t>
      </w:r>
      <w:r>
        <w:t>annually to reflect any changes in legal requirements and update</w:t>
      </w:r>
      <w:r>
        <w:rPr>
          <w:rStyle w:val="CommentReference"/>
          <w:rFonts w:cs="Times New Roman"/>
          <w:lang w:eastAsia="en-US"/>
        </w:rPr>
        <w:t xml:space="preserve"> </w:t>
      </w:r>
      <w:r>
        <w:t xml:space="preserve">the parameter </w:t>
      </w:r>
      <w:r w:rsidRPr="004C5284">
        <w:rPr>
          <w:i/>
          <w:iCs/>
        </w:rPr>
        <w:t>F</w:t>
      </w:r>
      <w:r w:rsidRPr="004C5284">
        <w:rPr>
          <w:i/>
          <w:iCs/>
          <w:vertAlign w:val="subscript"/>
        </w:rPr>
        <w:t>CH4,BL,y</w:t>
      </w:r>
      <w:r>
        <w:t xml:space="preserve"> as per section </w:t>
      </w:r>
      <w:r>
        <w:fldChar w:fldCharType="begin"/>
      </w:r>
      <w:r>
        <w:instrText xml:space="preserve"> REF _Ref208232146 \w \p \h </w:instrText>
      </w:r>
      <w:r>
        <w:fldChar w:fldCharType="separate"/>
      </w:r>
      <w:r w:rsidR="00302468">
        <w:rPr>
          <w:cs/>
        </w:rPr>
        <w:t>‎</w:t>
      </w:r>
      <w:r w:rsidR="00302468">
        <w:t>7.3.2.1.3 below</w:t>
      </w:r>
      <w:r>
        <w:fldChar w:fldCharType="end"/>
      </w:r>
      <w:r>
        <w:t xml:space="preserve"> accordingly.</w:t>
      </w:r>
    </w:p>
    <w:p w14:paraId="154595EB" w14:textId="77777777" w:rsidR="004334D2" w:rsidRDefault="004334D2" w:rsidP="008B12E5">
      <w:pPr>
        <w:pStyle w:val="SDMHead2"/>
      </w:pPr>
      <w:bookmarkStart w:id="119" w:name="_Ref205221991"/>
      <w:bookmarkStart w:id="120" w:name="_Ref205290634"/>
      <w:bookmarkStart w:id="121" w:name="_Ref207822772"/>
      <w:bookmarkStart w:id="122" w:name="_Toc211555306"/>
      <w:bookmarkStart w:id="123" w:name="_Toc211598958"/>
      <w:bookmarkStart w:id="124" w:name="_Toc211599460"/>
      <w:bookmarkStart w:id="125" w:name="_Toc211612256"/>
      <w:bookmarkStart w:id="126" w:name="_Toc211614703"/>
      <w:bookmarkStart w:id="127" w:name="_Toc211614746"/>
      <w:r w:rsidRPr="00CA1AEC">
        <w:t xml:space="preserve">Avoidance </w:t>
      </w:r>
      <w:r w:rsidRPr="008B12E5">
        <w:t>of</w:t>
      </w:r>
      <w:r w:rsidRPr="00CA1AEC">
        <w:t xml:space="preserve"> locking-in the level of emissions</w:t>
      </w:r>
      <w:bookmarkEnd w:id="119"/>
      <w:bookmarkEnd w:id="120"/>
      <w:bookmarkEnd w:id="121"/>
      <w:bookmarkEnd w:id="122"/>
      <w:bookmarkEnd w:id="123"/>
      <w:bookmarkEnd w:id="124"/>
      <w:bookmarkEnd w:id="125"/>
      <w:bookmarkEnd w:id="126"/>
      <w:bookmarkEnd w:id="127"/>
    </w:p>
    <w:p w14:paraId="7833014F" w14:textId="426E8D3A" w:rsidR="004334D2" w:rsidRDefault="004334D2" w:rsidP="00E66E80">
      <w:pPr>
        <w:pStyle w:val="SDMPara"/>
      </w:pPr>
      <w:bookmarkStart w:id="128" w:name="_Ref208345482"/>
      <w:r>
        <w:t>Article 6.4 activities implemented at closed SWDS</w:t>
      </w:r>
      <w:r w:rsidR="00A3186A">
        <w:t>s</w:t>
      </w:r>
      <w:r>
        <w:t xml:space="preserve"> and Article 6.4 activities implemented at new SWDSs</w:t>
      </w:r>
      <w:r w:rsidR="00E20BA2">
        <w:t>,</w:t>
      </w:r>
      <w:r>
        <w:t xml:space="preserve"> and otherwise eligible under this </w:t>
      </w:r>
      <w:r w:rsidR="008A0B90">
        <w:t>mechanism methodology</w:t>
      </w:r>
      <w:r w:rsidR="00E20BA2">
        <w:t>,</w:t>
      </w:r>
      <w:r>
        <w:t xml:space="preserve"> are deemed to </w:t>
      </w:r>
      <w:r w:rsidR="00A3186A">
        <w:t xml:space="preserve">not </w:t>
      </w:r>
      <w:r>
        <w:t>have a lock-in risk.</w:t>
      </w:r>
      <w:bookmarkEnd w:id="128"/>
      <w:r w:rsidR="0081545D">
        <w:t xml:space="preserve"> </w:t>
      </w:r>
      <w:r>
        <w:t xml:space="preserve">This assessment is based on the following considerations: in the case of closed </w:t>
      </w:r>
      <w:r w:rsidR="00A3186A">
        <w:t>SWDSs</w:t>
      </w:r>
      <w:r>
        <w:t>, no more waste is added to the landfill</w:t>
      </w:r>
      <w:r w:rsidR="002A5335">
        <w:t xml:space="preserve"> and </w:t>
      </w:r>
      <w:r>
        <w:t xml:space="preserve">the implementation of the activity does not prolong the lifetime for which emissions occur but </w:t>
      </w:r>
      <w:r w:rsidR="001823E5">
        <w:t xml:space="preserve">rather </w:t>
      </w:r>
      <w:r>
        <w:t>reduces them. In the case of Article 6.4 activities implemented at new SWDS</w:t>
      </w:r>
      <w:r w:rsidR="00A3186A">
        <w:t>s</w:t>
      </w:r>
      <w:r>
        <w:t xml:space="preserve">, </w:t>
      </w:r>
      <w:r w:rsidR="00A3186A">
        <w:t xml:space="preserve">the </w:t>
      </w:r>
      <w:r w:rsidR="008A0B90">
        <w:t>mechanism methodology</w:t>
      </w:r>
      <w:r>
        <w:t xml:space="preserve"> requires determining the best available technology as the baseline</w:t>
      </w:r>
      <w:r w:rsidR="003715ED">
        <w:t xml:space="preserve">, where </w:t>
      </w:r>
      <w:r>
        <w:t xml:space="preserve">the lowest emission technology is selected among those that </w:t>
      </w:r>
      <w:r w:rsidR="00F81AE0">
        <w:t xml:space="preserve">are </w:t>
      </w:r>
      <w:r>
        <w:t xml:space="preserve">economically viable. This </w:t>
      </w:r>
      <w:r w:rsidR="003715ED">
        <w:t xml:space="preserve">requirement </w:t>
      </w:r>
      <w:r>
        <w:t>prevents the Article 6.4 activity from implementing a technology that is not among the lowest emissions technologies that are available.</w:t>
      </w:r>
    </w:p>
    <w:p w14:paraId="71917E38" w14:textId="335A4F90" w:rsidR="00F000D4" w:rsidRPr="003715ED" w:rsidRDefault="00F000D4" w:rsidP="00E66E80">
      <w:pPr>
        <w:pStyle w:val="SDMPara"/>
      </w:pPr>
      <w:bookmarkStart w:id="129" w:name="_Ref210740160"/>
      <w:r w:rsidRPr="003715ED">
        <w:t xml:space="preserve">For SWDS that are not yet closed, activity participants shall conservatively demonstrate in the PDD, </w:t>
      </w:r>
      <w:r w:rsidRPr="003715ED">
        <w:rPr>
          <w:lang w:val="en-US"/>
        </w:rPr>
        <w:t xml:space="preserve">based on credible evidence and validated by the DOE at the renewal of each crediting period, </w:t>
      </w:r>
      <w:r w:rsidRPr="003715ED">
        <w:t>that the revenues from A6.4 ERs will not prolong the reliance on landfilling practices to treat the solid waste by justifying that implementation of the Article 6.4 activity and the associated revenues do not create or exacerbate barriers to the implementation of alternative, lower-emission waste management practices necessary to achieve the</w:t>
      </w:r>
      <w:r w:rsidR="00426CAE">
        <w:t xml:space="preserve"> </w:t>
      </w:r>
      <w:r w:rsidRPr="003715ED">
        <w:t>host country’s national or sub-national strategies, NDCs, and LT-LEDS (if available) regarding the long-term transition of the waste sector, including targets for waste diversion, recycling, and composting in the relevant geographical area.</w:t>
      </w:r>
    </w:p>
    <w:p w14:paraId="101E79BC" w14:textId="63286673" w:rsidR="00FC2C12" w:rsidRDefault="004334D2" w:rsidP="00E66E80">
      <w:pPr>
        <w:pStyle w:val="SDMPara"/>
      </w:pPr>
      <w:bookmarkStart w:id="130" w:name="_Ref211553929"/>
      <w:r w:rsidRPr="00F341EB">
        <w:t xml:space="preserve">The </w:t>
      </w:r>
      <w:r w:rsidR="008A0B90">
        <w:t>mechanism methodology</w:t>
      </w:r>
      <w:r w:rsidRPr="00F341EB">
        <w:t xml:space="preserve"> includes </w:t>
      </w:r>
      <w:r w:rsidR="00661D3F">
        <w:t xml:space="preserve">provisions to the downward adjustment </w:t>
      </w:r>
      <w:r w:rsidRPr="00F341EB">
        <w:t xml:space="preserve">in section </w:t>
      </w:r>
      <w:r w:rsidR="001E5605">
        <w:fldChar w:fldCharType="begin"/>
      </w:r>
      <w:r w:rsidR="001E5605">
        <w:instrText xml:space="preserve"> REF _Ref203660539 \w \h </w:instrText>
      </w:r>
      <w:r w:rsidR="001E5605">
        <w:fldChar w:fldCharType="separate"/>
      </w:r>
      <w:r w:rsidR="00302468">
        <w:rPr>
          <w:cs/>
        </w:rPr>
        <w:t>‎</w:t>
      </w:r>
      <w:r w:rsidR="00302468">
        <w:t>7.4</w:t>
      </w:r>
      <w:r w:rsidR="001E5605">
        <w:fldChar w:fldCharType="end"/>
      </w:r>
      <w:r w:rsidR="001E5605">
        <w:t xml:space="preserve"> </w:t>
      </w:r>
      <w:r w:rsidRPr="00F341EB">
        <w:t xml:space="preserve">that strongly encourage the adoption of landfill gas utilization instead of landfill gas flaring over time. This encourages ambition and contributes to reducing the lock-in risk associated with </w:t>
      </w:r>
      <w:r w:rsidR="007608C9">
        <w:t xml:space="preserve">Article 6.4 activities </w:t>
      </w:r>
      <w:r w:rsidR="004D335E">
        <w:t xml:space="preserve">involving LFG flaring </w:t>
      </w:r>
      <w:r w:rsidRPr="00F341EB">
        <w:t>in existing and new SWDS</w:t>
      </w:r>
      <w:r w:rsidR="00A3186A">
        <w:t>s</w:t>
      </w:r>
      <w:r w:rsidRPr="00F341EB">
        <w:t xml:space="preserve"> under this </w:t>
      </w:r>
      <w:r w:rsidR="008A0B90">
        <w:t>mechanism methodology</w:t>
      </w:r>
      <w:r w:rsidRPr="00F341EB">
        <w:t xml:space="preserve">. Moreover, </w:t>
      </w:r>
      <w:r w:rsidR="00A3186A">
        <w:t xml:space="preserve">this </w:t>
      </w:r>
      <w:r w:rsidR="008A0B90">
        <w:t>mechanism methodology</w:t>
      </w:r>
      <w:r w:rsidR="00A3186A">
        <w:t xml:space="preserve"> mandates an </w:t>
      </w:r>
      <w:r w:rsidRPr="00F341EB">
        <w:t xml:space="preserve">investment comparison analysis for </w:t>
      </w:r>
      <w:r w:rsidR="00B664A1">
        <w:t>Article 6.4 activities involving LFG flaring</w:t>
      </w:r>
      <w:r w:rsidR="005D1FAA">
        <w:t xml:space="preserve"> </w:t>
      </w:r>
      <w:r w:rsidRPr="00F341EB">
        <w:t>in case</w:t>
      </w:r>
      <w:r w:rsidR="00A3186A">
        <w:t>s</w:t>
      </w:r>
      <w:r w:rsidRPr="00F341EB">
        <w:t xml:space="preserve"> </w:t>
      </w:r>
      <w:r w:rsidR="00A3186A">
        <w:t xml:space="preserve">where </w:t>
      </w:r>
      <w:r w:rsidRPr="00F341EB">
        <w:t>alternative scenarios generate revenues (i.e.</w:t>
      </w:r>
      <w:r w:rsidR="00A3186A">
        <w:t>,</w:t>
      </w:r>
      <w:r w:rsidRPr="00F341EB">
        <w:t xml:space="preserve"> energy recovery scenarios)</w:t>
      </w:r>
      <w:r w:rsidR="00A3186A">
        <w:t>. This</w:t>
      </w:r>
      <w:r w:rsidRPr="00F341EB">
        <w:t xml:space="preserve"> ensures that </w:t>
      </w:r>
      <w:r w:rsidR="00B664A1">
        <w:t>Article 6.4 activities involving LFG flaring</w:t>
      </w:r>
      <w:r w:rsidR="007608C9">
        <w:t xml:space="preserve"> </w:t>
      </w:r>
      <w:r w:rsidRPr="00F341EB">
        <w:t>will not prevent the implementation of lower</w:t>
      </w:r>
      <w:r w:rsidR="00A3186A">
        <w:t xml:space="preserve">-emission </w:t>
      </w:r>
      <w:r w:rsidRPr="00F341EB">
        <w:t xml:space="preserve">technologies </w:t>
      </w:r>
      <w:r w:rsidR="00A3186A">
        <w:t xml:space="preserve">that </w:t>
      </w:r>
      <w:r w:rsidRPr="00F341EB">
        <w:t>are financially attractive, which contributes to reducing lock-in risk</w:t>
      </w:r>
      <w:r w:rsidR="00A3186A">
        <w:t>s</w:t>
      </w:r>
      <w:r w:rsidRPr="00F341EB">
        <w:t>.</w:t>
      </w:r>
      <w:bookmarkEnd w:id="129"/>
      <w:bookmarkEnd w:id="130"/>
    </w:p>
    <w:p w14:paraId="6899E3E9" w14:textId="545443F8" w:rsidR="004334D2" w:rsidRDefault="004334D2" w:rsidP="008B12E5">
      <w:pPr>
        <w:pStyle w:val="SDMHead2"/>
      </w:pPr>
      <w:bookmarkStart w:id="131" w:name="_Ref207822736"/>
      <w:bookmarkStart w:id="132" w:name="_Toc211555307"/>
      <w:bookmarkStart w:id="133" w:name="_Toc211598959"/>
      <w:bookmarkStart w:id="134" w:name="_Toc211599461"/>
      <w:bookmarkStart w:id="135" w:name="_Toc211612257"/>
      <w:bookmarkStart w:id="136" w:name="_Toc211614704"/>
      <w:bookmarkStart w:id="137" w:name="_Toc211614747"/>
      <w:r w:rsidRPr="00847270">
        <w:t xml:space="preserve">Investment </w:t>
      </w:r>
      <w:r w:rsidRPr="008B12E5">
        <w:t>analysis</w:t>
      </w:r>
      <w:r w:rsidRPr="00847270">
        <w:t xml:space="preserve"> and </w:t>
      </w:r>
      <w:r w:rsidR="00356A8B">
        <w:t>c</w:t>
      </w:r>
      <w:r w:rsidRPr="00847270">
        <w:t>ommon practice analysis</w:t>
      </w:r>
      <w:bookmarkEnd w:id="131"/>
      <w:bookmarkEnd w:id="132"/>
      <w:bookmarkEnd w:id="133"/>
      <w:bookmarkEnd w:id="134"/>
      <w:bookmarkEnd w:id="135"/>
      <w:bookmarkEnd w:id="136"/>
      <w:bookmarkEnd w:id="137"/>
    </w:p>
    <w:p w14:paraId="72C93D81" w14:textId="46032604" w:rsidR="004334D2" w:rsidRDefault="004334D2" w:rsidP="008B12E5">
      <w:pPr>
        <w:pStyle w:val="SDMHead3"/>
      </w:pPr>
      <w:bookmarkStart w:id="138" w:name="_Ref207822820"/>
      <w:bookmarkStart w:id="139" w:name="_Ref207824142"/>
      <w:bookmarkStart w:id="140" w:name="_Ref207825593"/>
      <w:bookmarkStart w:id="141" w:name="_Toc211555308"/>
      <w:bookmarkStart w:id="142" w:name="_Toc211598960"/>
      <w:bookmarkStart w:id="143" w:name="_Toc211599462"/>
      <w:bookmarkStart w:id="144" w:name="_Toc211612258"/>
      <w:bookmarkStart w:id="145" w:name="_Toc211614705"/>
      <w:bookmarkStart w:id="146" w:name="_Toc211614748"/>
      <w:r w:rsidRPr="008B12E5">
        <w:t>Investment</w:t>
      </w:r>
      <w:r>
        <w:t xml:space="preserve"> analysis</w:t>
      </w:r>
      <w:bookmarkEnd w:id="138"/>
      <w:bookmarkEnd w:id="139"/>
      <w:bookmarkEnd w:id="140"/>
      <w:bookmarkEnd w:id="141"/>
      <w:bookmarkEnd w:id="142"/>
      <w:bookmarkEnd w:id="143"/>
      <w:bookmarkEnd w:id="144"/>
      <w:bookmarkEnd w:id="145"/>
      <w:bookmarkEnd w:id="146"/>
    </w:p>
    <w:p w14:paraId="75AFF85A" w14:textId="1DBC2009" w:rsidR="004334D2" w:rsidRPr="008C7AF6" w:rsidRDefault="004334D2" w:rsidP="00E66E80">
      <w:pPr>
        <w:pStyle w:val="SDMPara"/>
      </w:pPr>
      <w:r w:rsidRPr="008C7AF6">
        <w:t xml:space="preserve">Under this </w:t>
      </w:r>
      <w:r w:rsidR="008A0B90">
        <w:t>mechanism methodology</w:t>
      </w:r>
      <w:r w:rsidRPr="008C7AF6">
        <w:t>, investment analysis shall be conducted by activity participants following the provisions of the investment analysis tool.</w:t>
      </w:r>
    </w:p>
    <w:p w14:paraId="7AD79A5D" w14:textId="77777777" w:rsidR="004334D2" w:rsidRDefault="004334D2" w:rsidP="00DA05CE">
      <w:pPr>
        <w:pStyle w:val="SDMPara"/>
        <w:keepNext/>
      </w:pPr>
      <w:r>
        <w:t>In applying the tool, activity participants shall:</w:t>
      </w:r>
    </w:p>
    <w:p w14:paraId="3C49E3C9" w14:textId="0D8809AE" w:rsidR="004334D2" w:rsidRDefault="004334D2" w:rsidP="00DA05CE">
      <w:pPr>
        <w:pStyle w:val="SDMSubPara1"/>
        <w:keepNext/>
      </w:pPr>
      <w:r>
        <w:t>Identify realistic and credible alternative scenarios to the proposed Article 6.4 activity, which shall include</w:t>
      </w:r>
      <w:r w:rsidR="00A3186A">
        <w:t>,</w:t>
      </w:r>
      <w:r>
        <w:t xml:space="preserve"> but not be limited to</w:t>
      </w:r>
      <w:r w:rsidR="00A3186A">
        <w:t>,</w:t>
      </w:r>
      <w:r>
        <w:t xml:space="preserve"> the following:</w:t>
      </w:r>
    </w:p>
    <w:p w14:paraId="2318D6BA" w14:textId="180DF694" w:rsidR="00687FCB" w:rsidRPr="00B51B82" w:rsidRDefault="00687FCB" w:rsidP="00DA05CE">
      <w:pPr>
        <w:pStyle w:val="SDMSubPara2"/>
        <w:keepNext/>
      </w:pPr>
      <w:r w:rsidRPr="00B51B82">
        <w:t>For the capture and destruction of the LFG</w:t>
      </w:r>
      <w:r w:rsidR="007F4BA4">
        <w:t>:</w:t>
      </w:r>
    </w:p>
    <w:p w14:paraId="79B4758D" w14:textId="0F6B1ED0" w:rsidR="004334D2" w:rsidRPr="00B67BA5" w:rsidRDefault="004334D2" w:rsidP="008A7167">
      <w:pPr>
        <w:pStyle w:val="SDMSubPara3"/>
      </w:pPr>
      <w:r w:rsidRPr="00B67BA5">
        <w:t xml:space="preserve">LFG1: The Article 6.4 activity </w:t>
      </w:r>
      <w:r w:rsidR="00A3186A" w:rsidRPr="00B67BA5">
        <w:t xml:space="preserve">is </w:t>
      </w:r>
      <w:r w:rsidRPr="00B67BA5">
        <w:t>implemented without being registered under the Article 6.4 mechanism (i.e.</w:t>
      </w:r>
      <w:r w:rsidR="00A3186A" w:rsidRPr="00B67BA5">
        <w:t>,</w:t>
      </w:r>
      <w:r w:rsidRPr="00B67BA5">
        <w:t xml:space="preserve"> capture and flaring or use of LFG);</w:t>
      </w:r>
    </w:p>
    <w:p w14:paraId="1B0E92C4" w14:textId="71352F4D" w:rsidR="004334D2" w:rsidRPr="00B67BA5" w:rsidRDefault="004334D2" w:rsidP="00E66E80">
      <w:pPr>
        <w:pStyle w:val="SDMSubPara3"/>
      </w:pPr>
      <w:r w:rsidRPr="00B67BA5">
        <w:t>LFG2: Atmospheric release of the LFG in a</w:t>
      </w:r>
      <w:r w:rsidR="00BF2B2E" w:rsidRPr="00B67BA5">
        <w:t xml:space="preserve"> managed or</w:t>
      </w:r>
      <w:r w:rsidRPr="00B67BA5">
        <w:t xml:space="preserve"> </w:t>
      </w:r>
      <w:r w:rsidR="000372FD" w:rsidRPr="00B67BA5">
        <w:t>un</w:t>
      </w:r>
      <w:r w:rsidRPr="00B67BA5">
        <w:t>managed SWDS;</w:t>
      </w:r>
    </w:p>
    <w:p w14:paraId="19213C73" w14:textId="2D05994A" w:rsidR="004334D2" w:rsidRDefault="004334D2" w:rsidP="00E66E80">
      <w:pPr>
        <w:pStyle w:val="SDMSubPara3"/>
      </w:pPr>
      <w:r>
        <w:t xml:space="preserve">LFG3: </w:t>
      </w:r>
      <w:r w:rsidR="000372FD">
        <w:t>C</w:t>
      </w:r>
      <w:r>
        <w:t>apture of LFG in a managed SWDS and destruction through flaring to comply with regulations or contractual requirements, to address safety and odour concerns, or for other reasons;</w:t>
      </w:r>
    </w:p>
    <w:p w14:paraId="2B18DA0D" w14:textId="77777777" w:rsidR="004334D2" w:rsidRDefault="004334D2" w:rsidP="00E66E80">
      <w:pPr>
        <w:pStyle w:val="SDMSubPara3"/>
      </w:pPr>
      <w:r>
        <w:t>LFG4: LFG generation is partially avoided because part of the organic fraction of the solid waste is recycled and not disposed in the SWDS;</w:t>
      </w:r>
    </w:p>
    <w:p w14:paraId="7371E921" w14:textId="77777777" w:rsidR="004334D2" w:rsidRDefault="004334D2" w:rsidP="00E66E80">
      <w:pPr>
        <w:pStyle w:val="SDMSubPara3"/>
      </w:pPr>
      <w:r>
        <w:t>LFG5: LFG generation is partially avoided because part of the organic fraction of the solid waste is treated aerobically and not disposed in the SWDS;</w:t>
      </w:r>
    </w:p>
    <w:p w14:paraId="5514A031" w14:textId="76A50175" w:rsidR="00117265" w:rsidRDefault="004334D2" w:rsidP="00E66E80">
      <w:pPr>
        <w:pStyle w:val="SDMSubPara3"/>
      </w:pPr>
      <w:r>
        <w:t>LFG6: LFG generation is partially avoided because part of the organic fraction of the solid waste is incinerated and not disposed in the SWDS</w:t>
      </w:r>
      <w:r w:rsidR="007E08C8">
        <w:t>.</w:t>
      </w:r>
    </w:p>
    <w:p w14:paraId="31E8652C" w14:textId="0AD7D2EA" w:rsidR="00687FCB" w:rsidRPr="007B1D91" w:rsidRDefault="00687FCB" w:rsidP="00DA05CE">
      <w:pPr>
        <w:pStyle w:val="SDMSubPara2"/>
        <w:keepNext/>
      </w:pPr>
      <w:r w:rsidRPr="007B1D91">
        <w:t>For the electricity generation:</w:t>
      </w:r>
    </w:p>
    <w:p w14:paraId="62F8BCA3" w14:textId="77777777" w:rsidR="00787E6F" w:rsidRDefault="00F92DDA" w:rsidP="00E66E80">
      <w:pPr>
        <w:pStyle w:val="SDMSubPara3"/>
      </w:pPr>
      <w:r w:rsidRPr="007B1D91">
        <w:t xml:space="preserve">E1: </w:t>
      </w:r>
      <w:r w:rsidR="00D1653B" w:rsidRPr="007B1D91">
        <w:t>E</w:t>
      </w:r>
      <w:r w:rsidRPr="007B1D91">
        <w:t>lectricity generation from LFG</w:t>
      </w:r>
      <w:r w:rsidR="003957E8" w:rsidRPr="007B1D91">
        <w:t>, undertaken without being registered unde</w:t>
      </w:r>
      <w:r w:rsidR="00070C0B" w:rsidRPr="007B1D91">
        <w:t>r</w:t>
      </w:r>
      <w:r w:rsidR="003957E8" w:rsidRPr="007B1D91">
        <w:t xml:space="preserve"> the Article 6.4 mechanism</w:t>
      </w:r>
      <w:r w:rsidRPr="007B1D91">
        <w:t>;</w:t>
      </w:r>
    </w:p>
    <w:p w14:paraId="0C20D0DF" w14:textId="77777777" w:rsidR="00787E6F" w:rsidRDefault="00F92DDA" w:rsidP="00E66E80">
      <w:pPr>
        <w:pStyle w:val="SDMSubPara3"/>
      </w:pPr>
      <w:r w:rsidRPr="007B1D91">
        <w:t>E2: Electricity generation in existing or new renewable or fossil fuel based captive power plant(s);</w:t>
      </w:r>
    </w:p>
    <w:p w14:paraId="7CAE3028" w14:textId="62CDCC3B" w:rsidR="001F04A1" w:rsidRPr="007B1D91" w:rsidRDefault="00F92DDA" w:rsidP="00E66E80">
      <w:pPr>
        <w:pStyle w:val="SDMSubPara3"/>
      </w:pPr>
      <w:r w:rsidRPr="007B1D91">
        <w:t>E3: Electricity generation in existing and/or new grid-connected power plants</w:t>
      </w:r>
      <w:r w:rsidR="007E08C8" w:rsidRPr="007B1D91">
        <w:t>.</w:t>
      </w:r>
    </w:p>
    <w:p w14:paraId="6E73ED21" w14:textId="174293C0" w:rsidR="00687FCB" w:rsidRPr="007B1D91" w:rsidRDefault="00687FCB" w:rsidP="00DA05CE">
      <w:pPr>
        <w:pStyle w:val="SDMSubPara2"/>
        <w:keepNext/>
      </w:pPr>
      <w:r w:rsidRPr="007B1D91">
        <w:t>For the heat generation:</w:t>
      </w:r>
    </w:p>
    <w:p w14:paraId="3525E3C7" w14:textId="77777777" w:rsidR="00787E6F" w:rsidRDefault="001F04A1" w:rsidP="00E66E80">
      <w:pPr>
        <w:pStyle w:val="SDMSubPara3"/>
      </w:pPr>
      <w:r w:rsidRPr="007B1D91">
        <w:t>H1: Heat generation from LFG</w:t>
      </w:r>
      <w:r w:rsidR="003957E8" w:rsidRPr="007B1D91">
        <w:t>,</w:t>
      </w:r>
      <w:r w:rsidRPr="007B1D91">
        <w:t xml:space="preserve"> undertaken without being registered </w:t>
      </w:r>
      <w:r w:rsidR="00BA536E" w:rsidRPr="007B1D91">
        <w:t>under the Article 6.4 mechanism</w:t>
      </w:r>
      <w:r w:rsidRPr="007B1D91">
        <w:t>;</w:t>
      </w:r>
    </w:p>
    <w:p w14:paraId="41D459AD" w14:textId="77777777" w:rsidR="00787E6F" w:rsidRDefault="001F04A1" w:rsidP="00E66E80">
      <w:pPr>
        <w:pStyle w:val="SDMSubPara3"/>
      </w:pPr>
      <w:r w:rsidRPr="007B1D91">
        <w:t>H2: Heat generation in existing or new fossil fuel fired cogeneration plant(s);</w:t>
      </w:r>
    </w:p>
    <w:p w14:paraId="1F135D05" w14:textId="77777777" w:rsidR="00787E6F" w:rsidRDefault="001F04A1" w:rsidP="00E66E80">
      <w:pPr>
        <w:pStyle w:val="SDMSubPara3"/>
      </w:pPr>
      <w:r w:rsidRPr="007B1D91">
        <w:t>H3: Heat generation in existing or new renewable based cogeneration plant(s);</w:t>
      </w:r>
    </w:p>
    <w:p w14:paraId="68FFD690" w14:textId="77777777" w:rsidR="00787E6F" w:rsidRDefault="001F04A1" w:rsidP="00E66E80">
      <w:pPr>
        <w:pStyle w:val="SDMSubPara3"/>
      </w:pPr>
      <w:r w:rsidRPr="007B1D91">
        <w:t>H4: Heat generation in existing or new fossil fuel-based boiler(s), air heater(s), glass melting furnace(s) or kiln(s);</w:t>
      </w:r>
    </w:p>
    <w:p w14:paraId="75BB5237" w14:textId="77777777" w:rsidR="00787E6F" w:rsidRDefault="001F04A1" w:rsidP="00E66E80">
      <w:pPr>
        <w:pStyle w:val="SDMSubPara3"/>
      </w:pPr>
      <w:r w:rsidRPr="007B1D91">
        <w:t>H5: Heat generation in existing or new renewable energy-based boiler(s), air heater(s), glass melting furnace(s) or kiln(s);</w:t>
      </w:r>
    </w:p>
    <w:p w14:paraId="0DA9DD3D" w14:textId="28699664" w:rsidR="001F04A1" w:rsidRPr="007B1D91" w:rsidRDefault="001F04A1" w:rsidP="00E66E80">
      <w:pPr>
        <w:pStyle w:val="SDMSubPara3"/>
      </w:pPr>
      <w:r w:rsidRPr="007B1D91">
        <w:t>H6: Any other source, such as district heat; and</w:t>
      </w:r>
    </w:p>
    <w:p w14:paraId="740990F8" w14:textId="0A8018AD" w:rsidR="004334D2" w:rsidRPr="007B1D91" w:rsidRDefault="001F04A1" w:rsidP="00E66E80">
      <w:pPr>
        <w:pStyle w:val="SDMSubPara3"/>
      </w:pPr>
      <w:r w:rsidRPr="007B1D91">
        <w:t>H7: Other heat generation technologies (</w:t>
      </w:r>
      <w:r w:rsidR="00F55FF7" w:rsidRPr="007B1D91">
        <w:t>e.g.,</w:t>
      </w:r>
      <w:r w:rsidRPr="007B1D91">
        <w:t xml:space="preserve"> heat pumps or solar energy)</w:t>
      </w:r>
      <w:r w:rsidR="004334D2" w:rsidRPr="007B1D91">
        <w:t>.</w:t>
      </w:r>
    </w:p>
    <w:p w14:paraId="030C1159" w14:textId="6AB94CBA" w:rsidR="00C131A2" w:rsidRPr="007B1D91" w:rsidRDefault="00196F61" w:rsidP="00E66E80">
      <w:pPr>
        <w:pStyle w:val="SDMSubPara2"/>
      </w:pPr>
      <w:r w:rsidRPr="007B1D91">
        <w:t xml:space="preserve">For the supply of LFG </w:t>
      </w:r>
      <w:r w:rsidR="003957E8" w:rsidRPr="007B1D91">
        <w:t xml:space="preserve">or biomethane </w:t>
      </w:r>
      <w:r w:rsidRPr="007B1D91">
        <w:t xml:space="preserve">to </w:t>
      </w:r>
      <w:r w:rsidR="003957E8" w:rsidRPr="007B1D91">
        <w:t>consumers</w:t>
      </w:r>
      <w:r w:rsidRPr="007B1D91">
        <w:t>, the baseline is assumed to be the supply with natural gas</w:t>
      </w:r>
      <w:r w:rsidR="007F4BA4">
        <w:t>.</w:t>
      </w:r>
    </w:p>
    <w:p w14:paraId="2E0B6F35" w14:textId="77777777" w:rsidR="004334D2" w:rsidRDefault="004334D2" w:rsidP="00E66E80">
      <w:pPr>
        <w:pStyle w:val="SDMSubPara1"/>
      </w:pPr>
      <w:bookmarkStart w:id="147" w:name="OLE_LINK4"/>
      <w:bookmarkStart w:id="148" w:name="OLE_LINK7"/>
      <w:r>
        <w:t>Use the investment comparison analysis or, if the only alternative to the proposed Article 6.4 activity is the continuation of the current situation prior to the implementation of the Article 6.4 activity, use the benchmark analysis;</w:t>
      </w:r>
    </w:p>
    <w:bookmarkEnd w:id="147"/>
    <w:bookmarkEnd w:id="148"/>
    <w:p w14:paraId="07B61A80" w14:textId="77777777" w:rsidR="004334D2" w:rsidRDefault="004334D2" w:rsidP="00E66E80">
      <w:pPr>
        <w:pStyle w:val="SDMSubPara1"/>
      </w:pPr>
      <w:r>
        <w:t>Use the net present value (NPV) as financial indicator where the investment comparison analysis is applied and choose an appropriate indicator where the benchmark analysis is applied, such as internal rate of return (IRR) or NPV;</w:t>
      </w:r>
    </w:p>
    <w:p w14:paraId="70235698" w14:textId="204B67EF" w:rsidR="004334D2" w:rsidRDefault="004334D2" w:rsidP="00E66E80">
      <w:pPr>
        <w:pStyle w:val="SDMSubPara1"/>
      </w:pPr>
      <w:r>
        <w:t>Assume that the Article 6.4 activity could be</w:t>
      </w:r>
      <w:r w:rsidRPr="001A151E">
        <w:t xml:space="preserve"> implemented by either the activity participants or other enti</w:t>
      </w:r>
      <w:r>
        <w:t>ti</w:t>
      </w:r>
      <w:r w:rsidRPr="001A151E">
        <w:t>es</w:t>
      </w:r>
      <w:r>
        <w:t>, unless activity participants can demonstrate that in the specific context of the proposed Article 6.4 activity that it can o</w:t>
      </w:r>
      <w:r w:rsidRPr="00EE0350">
        <w:t>nly be implemented by the activity participants and not by any other entities</w:t>
      </w:r>
      <w:r w:rsidR="00787E6F">
        <w:t>.</w:t>
      </w:r>
    </w:p>
    <w:p w14:paraId="16BE0AF8" w14:textId="61C167EA" w:rsidR="004334D2" w:rsidRDefault="004334D2" w:rsidP="00E66E80">
      <w:pPr>
        <w:pStyle w:val="SDMPara"/>
      </w:pPr>
      <w:r>
        <w:t xml:space="preserve">In conducting the sensitivity analysis, apply a variation of at least </w:t>
      </w:r>
      <w:r w:rsidR="00491ECD">
        <w:t>+/-</w:t>
      </w:r>
      <w:r w:rsidRPr="00E53980">
        <w:t xml:space="preserve"> 10</w:t>
      </w:r>
      <w:r w:rsidR="00491ECD">
        <w:t xml:space="preserve"> per cent</w:t>
      </w:r>
      <w:r w:rsidRPr="00E53980">
        <w:t xml:space="preserve"> to the input values which constitute more than 20</w:t>
      </w:r>
      <w:r w:rsidR="00491ECD">
        <w:t xml:space="preserve"> per cent</w:t>
      </w:r>
      <w:r w:rsidRPr="00E53980">
        <w:t xml:space="preserve"> of the total costs or total revenues</w:t>
      </w:r>
      <w:r w:rsidR="007F4BA4">
        <w:t>.</w:t>
      </w:r>
    </w:p>
    <w:p w14:paraId="1F240FDF" w14:textId="77777777" w:rsidR="004334D2" w:rsidRDefault="004334D2" w:rsidP="008B12E5">
      <w:pPr>
        <w:pStyle w:val="SDMHead3"/>
      </w:pPr>
      <w:bookmarkStart w:id="149" w:name="_Ref207822799"/>
      <w:bookmarkStart w:id="150" w:name="_Toc211555309"/>
      <w:bookmarkStart w:id="151" w:name="_Toc211598961"/>
      <w:bookmarkStart w:id="152" w:name="_Toc211599463"/>
      <w:bookmarkStart w:id="153" w:name="_Toc211612259"/>
      <w:bookmarkStart w:id="154" w:name="_Toc211614706"/>
      <w:bookmarkStart w:id="155" w:name="_Toc211614749"/>
      <w:r>
        <w:t xml:space="preserve">Common </w:t>
      </w:r>
      <w:r w:rsidRPr="008B12E5">
        <w:t>practice</w:t>
      </w:r>
      <w:r>
        <w:t xml:space="preserve"> analysis</w:t>
      </w:r>
      <w:bookmarkEnd w:id="149"/>
      <w:bookmarkEnd w:id="150"/>
      <w:bookmarkEnd w:id="151"/>
      <w:bookmarkEnd w:id="152"/>
      <w:bookmarkEnd w:id="153"/>
      <w:bookmarkEnd w:id="154"/>
      <w:bookmarkEnd w:id="155"/>
    </w:p>
    <w:p w14:paraId="63738418" w14:textId="4FE65AAF" w:rsidR="007C17AB" w:rsidRDefault="007C17AB" w:rsidP="00DA05CE">
      <w:pPr>
        <w:pStyle w:val="SDMPara"/>
        <w:keepNext/>
      </w:pPr>
      <w:r>
        <w:t>When conducting the common practice analysis, the following activities are defined</w:t>
      </w:r>
      <w:r w:rsidR="009E5E89">
        <w:t xml:space="preserve"> as possible Article 6.4 project activi</w:t>
      </w:r>
      <w:r w:rsidR="00121F24">
        <w:t>ti</w:t>
      </w:r>
      <w:r w:rsidR="009E5E89">
        <w:t>es:</w:t>
      </w:r>
    </w:p>
    <w:p w14:paraId="34B0DBC2" w14:textId="77777777" w:rsidR="00426CAE" w:rsidRDefault="007C17AB" w:rsidP="00E66E80">
      <w:pPr>
        <w:pStyle w:val="SDMSubPara1"/>
        <w:rPr>
          <w:lang w:val="en-US" w:eastAsia="en-GB"/>
        </w:rPr>
      </w:pPr>
      <w:r w:rsidRPr="007C17AB">
        <w:rPr>
          <w:lang w:val="en-US" w:eastAsia="en-GB"/>
        </w:rPr>
        <w:t>Activity 1: LFG capture and flaring;</w:t>
      </w:r>
    </w:p>
    <w:p w14:paraId="4EB7CE65" w14:textId="77777777" w:rsidR="00426CAE" w:rsidRDefault="007C17AB" w:rsidP="00E66E80">
      <w:pPr>
        <w:pStyle w:val="SDMSubPara1"/>
        <w:rPr>
          <w:lang w:val="en-US" w:eastAsia="en-GB"/>
        </w:rPr>
      </w:pPr>
      <w:r w:rsidRPr="007C17AB">
        <w:rPr>
          <w:lang w:val="en-US" w:eastAsia="en-GB"/>
        </w:rPr>
        <w:t>Activity 2: LFG capture and use for electricity generation;</w:t>
      </w:r>
    </w:p>
    <w:p w14:paraId="20C1D769" w14:textId="77777777" w:rsidR="00426CAE" w:rsidRDefault="007C17AB" w:rsidP="00E66E80">
      <w:pPr>
        <w:pStyle w:val="SDMSubPara1"/>
        <w:rPr>
          <w:lang w:val="en-US" w:eastAsia="en-GB"/>
        </w:rPr>
      </w:pPr>
      <w:r w:rsidRPr="007C17AB">
        <w:rPr>
          <w:lang w:val="en-US" w:eastAsia="en-GB"/>
        </w:rPr>
        <w:t>Activity 3: LFG capture and use for heat generation;</w:t>
      </w:r>
    </w:p>
    <w:p w14:paraId="7E3F9D7F" w14:textId="77777777" w:rsidR="00426CAE" w:rsidRDefault="007C17AB" w:rsidP="00E66E80">
      <w:pPr>
        <w:pStyle w:val="SDMSubPara1"/>
        <w:rPr>
          <w:lang w:val="en-US" w:eastAsia="en-GB"/>
        </w:rPr>
      </w:pPr>
      <w:r w:rsidRPr="007C17AB">
        <w:rPr>
          <w:lang w:val="en-US" w:eastAsia="en-GB"/>
        </w:rPr>
        <w:t>Activity 4: LFG capture, supply of LFG or biomethane to consumers;</w:t>
      </w:r>
    </w:p>
    <w:p w14:paraId="491414F9" w14:textId="77777777" w:rsidR="00426CAE" w:rsidRDefault="007C17AB" w:rsidP="00E66E80">
      <w:pPr>
        <w:pStyle w:val="SDMSubPara1"/>
        <w:rPr>
          <w:lang w:val="en-US" w:eastAsia="en-GB"/>
        </w:rPr>
      </w:pPr>
      <w:r w:rsidRPr="007C17AB">
        <w:rPr>
          <w:lang w:val="en-US" w:eastAsia="en-GB"/>
        </w:rPr>
        <w:t>Activity 5: Any combination of Activities 2 to 4 above.</w:t>
      </w:r>
    </w:p>
    <w:p w14:paraId="4581A977" w14:textId="23853A23" w:rsidR="004334D2" w:rsidRDefault="004334D2" w:rsidP="00DA05CE">
      <w:pPr>
        <w:pStyle w:val="SDMPara"/>
        <w:keepNext/>
      </w:pPr>
      <w:r>
        <w:t>Activity participants shall assess common practice by applying the common practice tool. The following specific guidance shall be followed when applying the different steps in the tool:</w:t>
      </w:r>
    </w:p>
    <w:p w14:paraId="1A4F10B3" w14:textId="1031033A" w:rsidR="004334D2" w:rsidRDefault="004334D2" w:rsidP="00E66E80">
      <w:pPr>
        <w:pStyle w:val="SDMSubPara1"/>
      </w:pPr>
      <w:r w:rsidRPr="00385187">
        <w:rPr>
          <w:b/>
          <w:bCs/>
        </w:rPr>
        <w:t xml:space="preserve">Specification of the </w:t>
      </w:r>
      <w:r w:rsidR="00C036E9">
        <w:rPr>
          <w:b/>
          <w:bCs/>
        </w:rPr>
        <w:t>a</w:t>
      </w:r>
      <w:r w:rsidRPr="00385187">
        <w:rPr>
          <w:b/>
          <w:bCs/>
        </w:rPr>
        <w:t>pproach for common practice analysis:</w:t>
      </w:r>
      <w:r>
        <w:t xml:space="preserve"> Approach A, which is based on identification of existing ‘comparable activities’ and differentiation between ‘similar’ and ‘different’ activities, shall be used for the common practice analysis</w:t>
      </w:r>
      <w:r w:rsidR="007F4BA4">
        <w:t>;</w:t>
      </w:r>
    </w:p>
    <w:p w14:paraId="66406E07" w14:textId="575814A3" w:rsidR="004334D2" w:rsidRDefault="004334D2" w:rsidP="00E66E80">
      <w:pPr>
        <w:pStyle w:val="SDMSubPara1"/>
      </w:pPr>
      <w:r w:rsidRPr="00385187">
        <w:rPr>
          <w:b/>
          <w:bCs/>
        </w:rPr>
        <w:t>Specification of the indicator of common practice:</w:t>
      </w:r>
      <w:r>
        <w:t xml:space="preserve"> a count-based indicator of common practice shall be used in the analysis, based on</w:t>
      </w:r>
      <w:r w:rsidR="005758EA">
        <w:t>,</w:t>
      </w:r>
      <w:r>
        <w:t xml:space="preserve"> for example</w:t>
      </w:r>
      <w:r w:rsidR="005758EA">
        <w:t>,</w:t>
      </w:r>
      <w:r>
        <w:t xml:space="preserve"> the number of SWDSs or </w:t>
      </w:r>
      <w:r w:rsidR="005758EA">
        <w:t xml:space="preserve">the </w:t>
      </w:r>
      <w:r>
        <w:t>number of incineration plants</w:t>
      </w:r>
      <w:r w:rsidR="007F4BA4">
        <w:t>;</w:t>
      </w:r>
    </w:p>
    <w:p w14:paraId="50C9FBED" w14:textId="07F27F8B" w:rsidR="004334D2" w:rsidRDefault="004334D2" w:rsidP="00E66E80">
      <w:pPr>
        <w:pStyle w:val="SDMSubPara1"/>
      </w:pPr>
      <w:r w:rsidRPr="00385187">
        <w:rPr>
          <w:b/>
          <w:bCs/>
        </w:rPr>
        <w:t>Sample basis to be used in the analysis:</w:t>
      </w:r>
      <w:r>
        <w:t xml:space="preserve"> a stock-based approach shall be used in the common practice analysis, considering all operational SWDS</w:t>
      </w:r>
      <w:r w:rsidR="005758EA">
        <w:t>s</w:t>
      </w:r>
      <w:r>
        <w:t xml:space="preserve"> </w:t>
      </w:r>
      <w:r w:rsidR="005758EA">
        <w:t xml:space="preserve">at </w:t>
      </w:r>
      <w:r>
        <w:t>the time of the common practice analysis</w:t>
      </w:r>
      <w:r w:rsidR="007F4BA4">
        <w:t>;</w:t>
      </w:r>
    </w:p>
    <w:p w14:paraId="5AB7E45B" w14:textId="77777777" w:rsidR="00426CAE" w:rsidRDefault="004334D2" w:rsidP="00E66E80">
      <w:pPr>
        <w:pStyle w:val="SDMSubPara1"/>
      </w:pPr>
      <w:r w:rsidRPr="00385187">
        <w:rPr>
          <w:b/>
          <w:bCs/>
        </w:rPr>
        <w:t>Identification of the applicable geographical area:</w:t>
      </w:r>
      <w:r>
        <w:t xml:space="preserve"> the applicable geographical area is the host country. If the applicable geographical area is different than the geographical reference area used to determine the baseline geographical reference area, this should be justified</w:t>
      </w:r>
      <w:r w:rsidR="00DC6039">
        <w:t>;</w:t>
      </w:r>
    </w:p>
    <w:p w14:paraId="7CF113C9" w14:textId="0A00C5FB" w:rsidR="004334D2" w:rsidRDefault="004334D2" w:rsidP="00DA05CE">
      <w:pPr>
        <w:pStyle w:val="SDMSubPara1"/>
        <w:keepNext/>
      </w:pPr>
      <w:r w:rsidRPr="00385187">
        <w:rPr>
          <w:b/>
          <w:bCs/>
        </w:rPr>
        <w:t>Relevance of scale or capacity in the common practice analysis:</w:t>
      </w:r>
      <w:r>
        <w:t xml:space="preserve"> t</w:t>
      </w:r>
      <w:r w:rsidRPr="00B5290C">
        <w:t>he capacity or scale of the different activity types shall be considered relevant for the common practice analysis.</w:t>
      </w:r>
      <w:r>
        <w:t xml:space="preserve"> The scale of output for the SWDS and the output capacity of the technologies involved in the different types of activities are:</w:t>
      </w:r>
    </w:p>
    <w:p w14:paraId="4790FF07" w14:textId="77777777" w:rsidR="004334D2" w:rsidRDefault="004334D2" w:rsidP="00E66E80">
      <w:pPr>
        <w:pStyle w:val="SDMSubPara2"/>
      </w:pPr>
      <w:r>
        <w:t>Activity 1: the capacity does not apply;</w:t>
      </w:r>
    </w:p>
    <w:p w14:paraId="209496DF" w14:textId="4308EBD3" w:rsidR="004334D2" w:rsidRPr="00184973" w:rsidRDefault="004334D2" w:rsidP="00E66E80">
      <w:pPr>
        <w:pStyle w:val="SDMSubPara2"/>
      </w:pPr>
      <w:r w:rsidRPr="00184973">
        <w:t>Activities 2, 3</w:t>
      </w:r>
      <w:r w:rsidR="003E7E8F">
        <w:t>,</w:t>
      </w:r>
      <w:r w:rsidRPr="00184973">
        <w:t xml:space="preserve"> 4</w:t>
      </w:r>
      <w:r w:rsidR="003E7E8F">
        <w:t>, and 5</w:t>
      </w:r>
      <w:r w:rsidRPr="00184973">
        <w:t xml:space="preserve">: </w:t>
      </w:r>
      <w:r w:rsidR="00AB6C8F" w:rsidRPr="00AB6C8F">
        <w:t>+/-</w:t>
      </w:r>
      <w:r w:rsidRPr="00184973">
        <w:t xml:space="preserve"> 50</w:t>
      </w:r>
      <w:r w:rsidR="00194D02">
        <w:t xml:space="preserve"> per cent</w:t>
      </w:r>
      <w:r w:rsidR="005700C0">
        <w:t xml:space="preserve"> </w:t>
      </w:r>
      <w:r w:rsidRPr="00184973">
        <w:t>of the daily waste received by the SWDS.</w:t>
      </w:r>
    </w:p>
    <w:p w14:paraId="7F6CAEFE" w14:textId="34336180" w:rsidR="004334D2" w:rsidRDefault="004334D2" w:rsidP="00E66E80">
      <w:pPr>
        <w:pStyle w:val="SDMSubPara1"/>
      </w:pPr>
      <w:r w:rsidRPr="00385187">
        <w:rPr>
          <w:b/>
          <w:bCs/>
        </w:rPr>
        <w:t>Identifying comparable activities:</w:t>
      </w:r>
      <w:r>
        <w:t xml:space="preserve"> activities shall be considered comparable to the Article 6.4 activity if they treat </w:t>
      </w:r>
      <w:r w:rsidR="003E7E8F">
        <w:t xml:space="preserve">a </w:t>
      </w:r>
      <w:r>
        <w:t xml:space="preserve">comparable type of waste </w:t>
      </w:r>
      <w:r w:rsidR="003E7E8F">
        <w:t xml:space="preserve">(e.g., municipal waste) </w:t>
      </w:r>
      <w:r>
        <w:t>as the proposed Article 6.4 activity</w:t>
      </w:r>
      <w:r w:rsidR="003E7E8F">
        <w:t>, whether they use the same or</w:t>
      </w:r>
      <w:r>
        <w:t xml:space="preserve"> different technologies</w:t>
      </w:r>
      <w:r w:rsidR="003E7E8F">
        <w:t xml:space="preserve"> (e.g., </w:t>
      </w:r>
      <w:r>
        <w:t>landfilling, composting, incineration, recycling, etc.</w:t>
      </w:r>
      <w:r w:rsidR="003E7E8F">
        <w:t>).</w:t>
      </w:r>
    </w:p>
    <w:p w14:paraId="07823924" w14:textId="2355168F" w:rsidR="004334D2" w:rsidRDefault="004334D2" w:rsidP="00DA05CE">
      <w:pPr>
        <w:pStyle w:val="SDMSubPara1"/>
        <w:keepNext/>
      </w:pPr>
      <w:r>
        <w:rPr>
          <w:b/>
          <w:bCs/>
        </w:rPr>
        <w:t>D</w:t>
      </w:r>
      <w:r w:rsidRPr="00385187">
        <w:rPr>
          <w:b/>
          <w:bCs/>
        </w:rPr>
        <w:t>istinguishing between similar and different activities</w:t>
      </w:r>
      <w:r>
        <w:rPr>
          <w:b/>
          <w:bCs/>
        </w:rPr>
        <w:t>:</w:t>
      </w:r>
      <w:r>
        <w:t xml:space="preserve"> the differentiation between similar and different activities is based </w:t>
      </w:r>
      <w:r w:rsidRPr="0037790F">
        <w:t>on the type of measure (LFG destruction and/or energy recovery)</w:t>
      </w:r>
      <w:r>
        <w:t xml:space="preserve"> applied in the geographical area. Therefore, similar activities under this </w:t>
      </w:r>
      <w:r w:rsidR="008A0B90">
        <w:t>mechanism methodology</w:t>
      </w:r>
      <w:r>
        <w:t xml:space="preserve"> shall be identified as follows:</w:t>
      </w:r>
    </w:p>
    <w:p w14:paraId="29D6DF17" w14:textId="7550BB8E" w:rsidR="004334D2" w:rsidRPr="0037790F" w:rsidRDefault="004334D2" w:rsidP="00E66E80">
      <w:pPr>
        <w:pStyle w:val="SDMSubPara2"/>
      </w:pPr>
      <w:r w:rsidRPr="0037790F">
        <w:t>For Activity 1: managed SWDSs with a passive or active LFG collection system and methane destruction and/or energy recovery (</w:t>
      </w:r>
      <w:r w:rsidR="003E7E8F">
        <w:t xml:space="preserve">e.g., </w:t>
      </w:r>
      <w:r w:rsidRPr="0037790F">
        <w:t>flaring, electricity generation, heat generation, supply of LFG or biomethane to consumers);</w:t>
      </w:r>
    </w:p>
    <w:p w14:paraId="333933FF" w14:textId="523FD362" w:rsidR="004334D2" w:rsidRPr="0037790F" w:rsidRDefault="004334D2" w:rsidP="00E66E80">
      <w:pPr>
        <w:pStyle w:val="SDMSubPara2"/>
      </w:pPr>
      <w:r w:rsidRPr="0037790F">
        <w:t xml:space="preserve">For Activities 2, 3 and 4: managed SWDSs with a passive or active LFG collection system </w:t>
      </w:r>
      <w:r w:rsidR="003E7E8F">
        <w:t xml:space="preserve">and </w:t>
      </w:r>
      <w:r w:rsidRPr="0037790F">
        <w:t>energy recovery</w:t>
      </w:r>
      <w:r w:rsidR="003E7E8F">
        <w:t xml:space="preserve"> </w:t>
      </w:r>
      <w:r w:rsidRPr="0037790F">
        <w:t>(</w:t>
      </w:r>
      <w:r w:rsidR="003E7E8F">
        <w:t xml:space="preserve">e.g., </w:t>
      </w:r>
      <w:r w:rsidRPr="0037790F">
        <w:t>electricity generation, heat generation, supply of LFG or biomethane to consumers</w:t>
      </w:r>
      <w:r w:rsidR="003E7E8F">
        <w:t>; but not flaring</w:t>
      </w:r>
      <w:r w:rsidRPr="0037790F">
        <w:t>).</w:t>
      </w:r>
    </w:p>
    <w:p w14:paraId="348C91C8" w14:textId="76A89BA5" w:rsidR="004334D2" w:rsidRDefault="004334D2" w:rsidP="00E66E80">
      <w:pPr>
        <w:pStyle w:val="SDMSubPara1"/>
      </w:pPr>
      <w:r w:rsidRPr="00385187">
        <w:rPr>
          <w:b/>
          <w:bCs/>
        </w:rPr>
        <w:t>Determining the common practice threshold (F</w:t>
      </w:r>
      <w:r w:rsidRPr="00385187">
        <w:rPr>
          <w:b/>
          <w:bCs/>
          <w:vertAlign w:val="subscript"/>
        </w:rPr>
        <w:t>max</w:t>
      </w:r>
      <w:r w:rsidRPr="00385187">
        <w:rPr>
          <w:b/>
          <w:bCs/>
        </w:rPr>
        <w:t>):</w:t>
      </w:r>
      <w:r>
        <w:t xml:space="preserve"> the common practice factor thresholds to be applied under this </w:t>
      </w:r>
      <w:r w:rsidR="008A0B90">
        <w:t>mechanism methodology</w:t>
      </w:r>
      <w:r>
        <w:t xml:space="preserve"> are </w:t>
      </w:r>
      <w:r w:rsidRPr="00BA5B34">
        <w:t>16</w:t>
      </w:r>
      <w:r w:rsidR="00355D96">
        <w:t xml:space="preserve"> per cent</w:t>
      </w:r>
      <w:r>
        <w:rPr>
          <w:rStyle w:val="FootnoteReference"/>
        </w:rPr>
        <w:footnoteReference w:id="11"/>
      </w:r>
      <w:r w:rsidRPr="00BA5B34">
        <w:t xml:space="preserve"> for </w:t>
      </w:r>
      <w:r>
        <w:t>Article 6.4 activities located in non-</w:t>
      </w:r>
      <w:r w:rsidRPr="00BA5B34">
        <w:t>LDCs/SIDS, and 2</w:t>
      </w:r>
      <w:r>
        <w:t>0</w:t>
      </w:r>
      <w:r w:rsidR="00355D96">
        <w:t xml:space="preserve"> per cent</w:t>
      </w:r>
      <w:r w:rsidRPr="00BA5B34">
        <w:t xml:space="preserve"> for </w:t>
      </w:r>
      <w:r>
        <w:t xml:space="preserve">Article 6.4 activities located in </w:t>
      </w:r>
      <w:r w:rsidRPr="00BA5B34">
        <w:t>LDCs/SIDS</w:t>
      </w:r>
      <w:r>
        <w:t>.</w:t>
      </w:r>
    </w:p>
    <w:p w14:paraId="0FC17ED3" w14:textId="77777777" w:rsidR="004334D2" w:rsidRDefault="004334D2" w:rsidP="00DA05CE">
      <w:pPr>
        <w:pStyle w:val="SDMPara"/>
        <w:keepNext/>
      </w:pPr>
      <w:bookmarkStart w:id="156" w:name="_Toc206400527"/>
      <w:bookmarkStart w:id="157" w:name="_Toc206400528"/>
      <w:bookmarkStart w:id="158" w:name="_Toc206400529"/>
      <w:bookmarkStart w:id="159" w:name="_Toc206400530"/>
      <w:bookmarkEnd w:id="156"/>
      <w:bookmarkEnd w:id="157"/>
      <w:bookmarkEnd w:id="158"/>
      <w:bookmarkEnd w:id="159"/>
      <w:r>
        <w:t>The Article 6.4 activity is only additional if it is demonstrated that:</w:t>
      </w:r>
    </w:p>
    <w:p w14:paraId="0D2B1DFA" w14:textId="3413B7A0" w:rsidR="004334D2" w:rsidRDefault="004334D2" w:rsidP="00E66E80">
      <w:pPr>
        <w:pStyle w:val="SDMSubPara1"/>
      </w:pPr>
      <w:r>
        <w:t>Emission reductions or net removals resulting from an Article 6.4 activity would not occur as a result of the legal requirements</w:t>
      </w:r>
      <w:r w:rsidR="00F61052">
        <w:t>,</w:t>
      </w:r>
      <w:r>
        <w:t xml:space="preserve"> per section </w:t>
      </w:r>
      <w:r>
        <w:fldChar w:fldCharType="begin"/>
      </w:r>
      <w:r>
        <w:instrText xml:space="preserve"> REF _Ref207822713 \w \p \h </w:instrText>
      </w:r>
      <w:r>
        <w:fldChar w:fldCharType="separate"/>
      </w:r>
      <w:r w:rsidR="00302468">
        <w:rPr>
          <w:cs/>
        </w:rPr>
        <w:t>‎</w:t>
      </w:r>
      <w:r w:rsidR="00302468">
        <w:t>6.1 above</w:t>
      </w:r>
      <w:r>
        <w:fldChar w:fldCharType="end"/>
      </w:r>
      <w:r>
        <w:t>; and</w:t>
      </w:r>
    </w:p>
    <w:p w14:paraId="4A29B193" w14:textId="65529B40" w:rsidR="004334D2" w:rsidRDefault="004334D2" w:rsidP="00E66E80">
      <w:pPr>
        <w:pStyle w:val="SDMSubPara1"/>
      </w:pPr>
      <w:r>
        <w:t xml:space="preserve">The Article 6.4 activity is not financially viable, per section </w:t>
      </w:r>
      <w:r>
        <w:fldChar w:fldCharType="begin"/>
      </w:r>
      <w:r>
        <w:instrText xml:space="preserve"> REF _Ref207822820 \w \p \h </w:instrText>
      </w:r>
      <w:r>
        <w:fldChar w:fldCharType="separate"/>
      </w:r>
      <w:r w:rsidR="00302468">
        <w:rPr>
          <w:cs/>
        </w:rPr>
        <w:t>‎</w:t>
      </w:r>
      <w:r w:rsidR="00302468">
        <w:t>6.3.1 above</w:t>
      </w:r>
      <w:r>
        <w:fldChar w:fldCharType="end"/>
      </w:r>
      <w:r>
        <w:t>; and</w:t>
      </w:r>
    </w:p>
    <w:p w14:paraId="3C8E1F42" w14:textId="7A80D366" w:rsidR="004334D2" w:rsidRDefault="004334D2" w:rsidP="00E66E80">
      <w:pPr>
        <w:pStyle w:val="SDMSubPara1"/>
      </w:pPr>
      <w:r>
        <w:t xml:space="preserve">The Article 6.4 activity is not common practice, per section </w:t>
      </w:r>
      <w:r>
        <w:fldChar w:fldCharType="begin"/>
      </w:r>
      <w:r>
        <w:instrText xml:space="preserve"> REF _Ref207822799 \w \p \h </w:instrText>
      </w:r>
      <w:r>
        <w:fldChar w:fldCharType="separate"/>
      </w:r>
      <w:r w:rsidR="00302468">
        <w:rPr>
          <w:cs/>
        </w:rPr>
        <w:t>‎</w:t>
      </w:r>
      <w:r w:rsidR="00302468">
        <w:t>6.3.2 above</w:t>
      </w:r>
      <w:r>
        <w:fldChar w:fldCharType="end"/>
      </w:r>
      <w:r>
        <w:t>.</w:t>
      </w:r>
    </w:p>
    <w:p w14:paraId="3351EC10" w14:textId="77777777" w:rsidR="004334D2" w:rsidRDefault="004334D2" w:rsidP="008B12E5">
      <w:pPr>
        <w:pStyle w:val="SDMHead1"/>
      </w:pPr>
      <w:bookmarkStart w:id="160" w:name="_Toc211555310"/>
      <w:bookmarkStart w:id="161" w:name="_Toc211598962"/>
      <w:bookmarkStart w:id="162" w:name="_Toc211599464"/>
      <w:bookmarkStart w:id="163" w:name="_Toc211612260"/>
      <w:bookmarkStart w:id="164" w:name="_Toc211614707"/>
      <w:bookmarkStart w:id="165" w:name="_Toc211614750"/>
      <w:r>
        <w:t xml:space="preserve">Baseline </w:t>
      </w:r>
      <w:r w:rsidRPr="008B12E5">
        <w:t>scenario</w:t>
      </w:r>
      <w:bookmarkEnd w:id="160"/>
      <w:bookmarkEnd w:id="161"/>
      <w:bookmarkEnd w:id="162"/>
      <w:bookmarkEnd w:id="163"/>
      <w:bookmarkEnd w:id="164"/>
      <w:bookmarkEnd w:id="165"/>
    </w:p>
    <w:p w14:paraId="06F9111F" w14:textId="5785F97F" w:rsidR="00287636" w:rsidRPr="00B96E0B" w:rsidRDefault="00287636" w:rsidP="008B12E5">
      <w:pPr>
        <w:pStyle w:val="SDMHead2"/>
      </w:pPr>
      <w:bookmarkStart w:id="166" w:name="_Toc211555311"/>
      <w:bookmarkStart w:id="167" w:name="_Toc211598963"/>
      <w:bookmarkStart w:id="168" w:name="_Toc211599465"/>
      <w:bookmarkStart w:id="169" w:name="_Toc211612261"/>
      <w:bookmarkStart w:id="170" w:name="_Toc211614708"/>
      <w:bookmarkStart w:id="171" w:name="_Toc211614751"/>
      <w:r w:rsidRPr="00B96E0B">
        <w:t xml:space="preserve">Identification of </w:t>
      </w:r>
      <w:r w:rsidRPr="008B12E5">
        <w:t>components</w:t>
      </w:r>
      <w:r w:rsidRPr="00B96E0B">
        <w:t xml:space="preserve"> and sub-components of the </w:t>
      </w:r>
      <w:r w:rsidR="00CC140C" w:rsidRPr="00B96E0B">
        <w:t>Article 6.4 activity</w:t>
      </w:r>
      <w:bookmarkEnd w:id="166"/>
      <w:bookmarkEnd w:id="167"/>
      <w:bookmarkEnd w:id="168"/>
      <w:bookmarkEnd w:id="169"/>
      <w:bookmarkEnd w:id="170"/>
      <w:bookmarkEnd w:id="171"/>
    </w:p>
    <w:p w14:paraId="0746B82B" w14:textId="7A6C9F8C" w:rsidR="002B4284" w:rsidRPr="00B96E0B" w:rsidRDefault="00CC140C" w:rsidP="00DA05CE">
      <w:pPr>
        <w:pStyle w:val="SDMPara"/>
        <w:keepNext/>
      </w:pPr>
      <w:r w:rsidRPr="00B96E0B">
        <w:t xml:space="preserve">The determination of the baseline scenario and baseline emissions is conducted </w:t>
      </w:r>
      <w:r w:rsidR="00007040" w:rsidRPr="00B96E0B">
        <w:t xml:space="preserve">separately for different components of </w:t>
      </w:r>
      <w:r w:rsidR="002B4284" w:rsidRPr="00B96E0B">
        <w:t xml:space="preserve">the Article 6.4 </w:t>
      </w:r>
      <w:r w:rsidR="00007040" w:rsidRPr="00B96E0B">
        <w:t xml:space="preserve">activity. </w:t>
      </w:r>
      <w:r w:rsidR="00716C93" w:rsidRPr="00B96E0B">
        <w:t xml:space="preserve">In this </w:t>
      </w:r>
      <w:r w:rsidR="008A0B90">
        <w:t>mechanism methodology</w:t>
      </w:r>
      <w:r w:rsidR="002B4284" w:rsidRPr="00B96E0B">
        <w:t>, the following components and sub-components are differentiated:</w:t>
      </w:r>
    </w:p>
    <w:p w14:paraId="20543E91" w14:textId="17C7F9D4" w:rsidR="00007040" w:rsidRPr="00B96E0B" w:rsidRDefault="00007040" w:rsidP="00E66E80">
      <w:pPr>
        <w:pStyle w:val="SDMSubPara1"/>
      </w:pPr>
      <w:r w:rsidRPr="00B96E0B">
        <w:rPr>
          <w:b/>
        </w:rPr>
        <w:t>Methane component:</w:t>
      </w:r>
      <w:r w:rsidRPr="00B96E0B">
        <w:t xml:space="preserve"> </w:t>
      </w:r>
      <w:r w:rsidR="00AA3A5F" w:rsidRPr="00B96E0B">
        <w:t>T</w:t>
      </w:r>
      <w:r w:rsidRPr="00B96E0B">
        <w:t xml:space="preserve">his refers to the </w:t>
      </w:r>
      <w:r w:rsidR="00BE6606" w:rsidRPr="00B96E0B">
        <w:t xml:space="preserve">baseline </w:t>
      </w:r>
      <w:r w:rsidR="003F2125" w:rsidRPr="00B96E0B">
        <w:t xml:space="preserve">methane </w:t>
      </w:r>
      <w:r w:rsidR="00BE6606" w:rsidRPr="00B96E0B">
        <w:t>emissions from the SWDS;</w:t>
      </w:r>
    </w:p>
    <w:p w14:paraId="18B2BF74" w14:textId="0B70E2E1" w:rsidR="00D9046D" w:rsidRPr="00B96E0B" w:rsidRDefault="00BE6606" w:rsidP="00DA05CE">
      <w:pPr>
        <w:pStyle w:val="SDMSubPara1"/>
        <w:keepNext/>
      </w:pPr>
      <w:r w:rsidRPr="00B96E0B">
        <w:rPr>
          <w:b/>
        </w:rPr>
        <w:t>Electricity generation component:</w:t>
      </w:r>
      <w:r w:rsidRPr="00B96E0B">
        <w:t xml:space="preserve"> </w:t>
      </w:r>
      <w:r w:rsidR="00AA3A5F" w:rsidRPr="00B96E0B">
        <w:t>T</w:t>
      </w:r>
      <w:r w:rsidRPr="00B96E0B">
        <w:t xml:space="preserve">his </w:t>
      </w:r>
      <w:r w:rsidR="00D9046D" w:rsidRPr="00B96E0B">
        <w:t xml:space="preserve">applies to Article 6.4 activities that involve electricity generation and refers to </w:t>
      </w:r>
      <w:r w:rsidRPr="00B96E0B">
        <w:t>baseline emissions</w:t>
      </w:r>
      <w:r w:rsidR="00FA2BB3" w:rsidRPr="00B96E0B">
        <w:t xml:space="preserve"> </w:t>
      </w:r>
      <w:r w:rsidR="00D9046D" w:rsidRPr="00B96E0B">
        <w:t xml:space="preserve">from electricity generation, differentiating </w:t>
      </w:r>
      <w:r w:rsidR="00985C88" w:rsidRPr="00B96E0B">
        <w:t>between the following</w:t>
      </w:r>
      <w:r w:rsidR="00D9046D" w:rsidRPr="00B96E0B">
        <w:t xml:space="preserve"> sub-components:</w:t>
      </w:r>
    </w:p>
    <w:p w14:paraId="23955308" w14:textId="5D647929" w:rsidR="00BE6606" w:rsidRPr="00B96E0B" w:rsidRDefault="00985C88" w:rsidP="00E66E80">
      <w:pPr>
        <w:pStyle w:val="SDMSubPara2"/>
      </w:pPr>
      <w:r w:rsidRPr="00B96E0B">
        <w:t>The Article 6.4 activity supplies electricity to the grid;</w:t>
      </w:r>
    </w:p>
    <w:p w14:paraId="3E4E8149" w14:textId="35613371" w:rsidR="00985C88" w:rsidRPr="00B96E0B" w:rsidRDefault="00985C88" w:rsidP="00E66E80">
      <w:pPr>
        <w:pStyle w:val="SDMSubPara2"/>
      </w:pPr>
      <w:r w:rsidRPr="00B96E0B">
        <w:t xml:space="preserve">The Article 6.4 activity </w:t>
      </w:r>
      <w:r w:rsidR="00001A49" w:rsidRPr="00B96E0B">
        <w:t xml:space="preserve">replaces electricity </w:t>
      </w:r>
      <w:r w:rsidR="00D17BB4" w:rsidRPr="00B96E0B">
        <w:t xml:space="preserve">that would be </w:t>
      </w:r>
      <w:r w:rsidR="00001A49" w:rsidRPr="00B96E0B">
        <w:t>generated in existing captive fossil</w:t>
      </w:r>
      <w:r w:rsidR="001C2609">
        <w:t xml:space="preserve"> </w:t>
      </w:r>
      <w:r w:rsidR="00001A49" w:rsidRPr="00B96E0B">
        <w:t>fuel fired power plant</w:t>
      </w:r>
      <w:r w:rsidR="00AA3A5F" w:rsidRPr="00B96E0B">
        <w:t>s</w:t>
      </w:r>
      <w:r w:rsidR="00001A49" w:rsidRPr="00B96E0B">
        <w:t>;</w:t>
      </w:r>
    </w:p>
    <w:p w14:paraId="57459B2A" w14:textId="23031CB4" w:rsidR="00001A49" w:rsidRPr="00B96E0B" w:rsidRDefault="00AA3A5F" w:rsidP="00E66E80">
      <w:pPr>
        <w:pStyle w:val="SDMSubPara2"/>
      </w:pPr>
      <w:r w:rsidRPr="00B96E0B">
        <w:t xml:space="preserve">The Article 6.4 activity replaces electricity </w:t>
      </w:r>
      <w:r w:rsidR="00D17BB4" w:rsidRPr="00B96E0B">
        <w:t xml:space="preserve">that would be </w:t>
      </w:r>
      <w:r w:rsidRPr="00B96E0B">
        <w:t>generated in new captive fossil</w:t>
      </w:r>
      <w:r w:rsidR="001C2609">
        <w:t xml:space="preserve"> </w:t>
      </w:r>
      <w:r w:rsidRPr="00B96E0B">
        <w:t>fuel fired power plants</w:t>
      </w:r>
      <w:r w:rsidR="00DA0B1A">
        <w:t>.</w:t>
      </w:r>
    </w:p>
    <w:p w14:paraId="47EDF5F7" w14:textId="028377B4" w:rsidR="00007040" w:rsidRPr="00B96E0B" w:rsidRDefault="00AA3A5F" w:rsidP="00DA05CE">
      <w:pPr>
        <w:pStyle w:val="SDMSubPara1"/>
        <w:keepNext/>
      </w:pPr>
      <w:r w:rsidRPr="00B96E0B">
        <w:rPr>
          <w:b/>
        </w:rPr>
        <w:t>Heat generation component:</w:t>
      </w:r>
      <w:r w:rsidRPr="00B96E0B">
        <w:t xml:space="preserve"> This applies to Article 6.4 activities that involve heat generation and refers to baseline emissions from heat generation, differentiating between the following sub-components:</w:t>
      </w:r>
    </w:p>
    <w:p w14:paraId="50B4DEF7" w14:textId="46974CA0" w:rsidR="00AA3A5F" w:rsidRPr="00B96E0B" w:rsidRDefault="00E07702" w:rsidP="00E66E80">
      <w:pPr>
        <w:pStyle w:val="SDMSubPara2"/>
      </w:pPr>
      <w:r w:rsidRPr="00B96E0B">
        <w:t xml:space="preserve">The Article 6.4 activity </w:t>
      </w:r>
      <w:r w:rsidR="00C71B1D" w:rsidRPr="00B96E0B">
        <w:t>replaces</w:t>
      </w:r>
      <w:r w:rsidRPr="00B96E0B">
        <w:t xml:space="preserve"> heat </w:t>
      </w:r>
      <w:r w:rsidR="00D17BB4" w:rsidRPr="00B96E0B">
        <w:t xml:space="preserve">that would be </w:t>
      </w:r>
      <w:r w:rsidRPr="00B96E0B">
        <w:t xml:space="preserve">generated in </w:t>
      </w:r>
      <w:r w:rsidR="00C71B1D" w:rsidRPr="00B96E0B">
        <w:t xml:space="preserve">an </w:t>
      </w:r>
      <w:r w:rsidRPr="00B96E0B">
        <w:t>existing piece of equipment</w:t>
      </w:r>
      <w:r w:rsidR="00C71B1D" w:rsidRPr="00B96E0B">
        <w:t>;</w:t>
      </w:r>
    </w:p>
    <w:p w14:paraId="281B6B5A" w14:textId="03F7826F" w:rsidR="00C71B1D" w:rsidRPr="00B96E0B" w:rsidRDefault="00C71B1D" w:rsidP="00E66E80">
      <w:pPr>
        <w:pStyle w:val="SDMSubPara2"/>
      </w:pPr>
      <w:r w:rsidRPr="00B96E0B">
        <w:t xml:space="preserve">The Article 6.4 activity replaces heat </w:t>
      </w:r>
      <w:r w:rsidR="00D17BB4" w:rsidRPr="00B96E0B">
        <w:t xml:space="preserve">that would be </w:t>
      </w:r>
      <w:r w:rsidRPr="00B96E0B">
        <w:t xml:space="preserve">generated in a </w:t>
      </w:r>
      <w:r w:rsidR="00D17BB4" w:rsidRPr="00B96E0B">
        <w:t>new</w:t>
      </w:r>
      <w:r w:rsidRPr="00B96E0B">
        <w:t xml:space="preserve"> piece of equipment</w:t>
      </w:r>
      <w:r w:rsidR="00DA0B1A">
        <w:t>.</w:t>
      </w:r>
    </w:p>
    <w:p w14:paraId="2028CF86" w14:textId="11B844EF" w:rsidR="00AA3A5F" w:rsidRPr="00B96E0B" w:rsidRDefault="00B647CB" w:rsidP="00DA05CE">
      <w:pPr>
        <w:pStyle w:val="SDMSubPara1"/>
        <w:keepNext/>
      </w:pPr>
      <w:r w:rsidRPr="00B96E0B">
        <w:rPr>
          <w:b/>
        </w:rPr>
        <w:t>Supply of LFG or biomethane to consumers component:</w:t>
      </w:r>
      <w:r w:rsidRPr="00B96E0B">
        <w:t xml:space="preserve"> This applies</w:t>
      </w:r>
      <w:r w:rsidR="00D527BF" w:rsidRPr="00B96E0B">
        <w:t xml:space="preserve"> to Article 6.4 activities that </w:t>
      </w:r>
      <w:r w:rsidR="00607F49" w:rsidRPr="00B96E0B">
        <w:t>supply LFG or biomethane produced from the LFG to consumers, differentiating between the following sub-components:</w:t>
      </w:r>
    </w:p>
    <w:p w14:paraId="4AF35A42" w14:textId="543DC4BA" w:rsidR="00677A99" w:rsidRPr="00B96E0B" w:rsidRDefault="00646114" w:rsidP="00E66E80">
      <w:pPr>
        <w:pStyle w:val="SDMSubPara2"/>
      </w:pPr>
      <w:r w:rsidRPr="00B96E0B">
        <w:t>The Article 6.4 activity supplies</w:t>
      </w:r>
      <w:r w:rsidR="00677A99" w:rsidRPr="00B96E0B">
        <w:t xml:space="preserve"> biomethane produced from the LFG to consumers through a natural gas distribution network;</w:t>
      </w:r>
    </w:p>
    <w:p w14:paraId="74DA73C9" w14:textId="65A0DC97" w:rsidR="00677A99" w:rsidRPr="00B96E0B" w:rsidRDefault="00646114" w:rsidP="00E66E80">
      <w:pPr>
        <w:pStyle w:val="SDMSubPara2"/>
      </w:pPr>
      <w:r w:rsidRPr="00B96E0B">
        <w:t>The Article 6.4 activity s</w:t>
      </w:r>
      <w:r w:rsidR="00677A99" w:rsidRPr="00B96E0B">
        <w:t>uppli</w:t>
      </w:r>
      <w:r w:rsidRPr="00B96E0B">
        <w:t>es</w:t>
      </w:r>
      <w:r w:rsidR="00677A99" w:rsidRPr="00B96E0B">
        <w:t xml:space="preserve"> the LFG</w:t>
      </w:r>
      <w:r w:rsidRPr="00B96E0B">
        <w:t>,</w:t>
      </w:r>
      <w:r w:rsidR="00677A99" w:rsidRPr="00B96E0B">
        <w:t xml:space="preserve"> or the biomethane produced from the LFG to consumers via trucks;</w:t>
      </w:r>
    </w:p>
    <w:p w14:paraId="7B98CFBD" w14:textId="6D97840E" w:rsidR="00677A99" w:rsidRPr="00B96E0B" w:rsidRDefault="00646114" w:rsidP="00E66E80">
      <w:pPr>
        <w:pStyle w:val="SDMSubPara2"/>
      </w:pPr>
      <w:r w:rsidRPr="00B96E0B">
        <w:t>The Article 6.4 activity supplies</w:t>
      </w:r>
      <w:r w:rsidR="00677A99" w:rsidRPr="00B96E0B">
        <w:t xml:space="preserve"> the LFG</w:t>
      </w:r>
      <w:r w:rsidRPr="00B96E0B">
        <w:t>,</w:t>
      </w:r>
      <w:r w:rsidR="00677A99" w:rsidRPr="00B96E0B">
        <w:t xml:space="preserve"> or the biomethane produced from the LFG to consumers through a dedicated pipeline.</w:t>
      </w:r>
    </w:p>
    <w:p w14:paraId="72D7FCEB" w14:textId="74F04B23" w:rsidR="00D17BB4" w:rsidRPr="00B96E0B" w:rsidRDefault="008F3E1A" w:rsidP="00E66E80">
      <w:pPr>
        <w:pStyle w:val="SDMPara"/>
      </w:pPr>
      <w:r w:rsidRPr="00B96E0B">
        <w:t>Activity participants shall specify in the PDD which components and sub-components apply to the</w:t>
      </w:r>
      <w:r w:rsidR="00BF1189" w:rsidRPr="00B96E0B">
        <w:t xml:space="preserve">ir project. </w:t>
      </w:r>
      <w:r w:rsidR="00FF0DF2" w:rsidRPr="00B96E0B">
        <w:t xml:space="preserve">Note that the methane component applies to all Article 6.4 activities using this </w:t>
      </w:r>
      <w:r w:rsidR="008A0B90">
        <w:t>mechanism methodology</w:t>
      </w:r>
      <w:r w:rsidR="00FF0DF2" w:rsidRPr="00B96E0B">
        <w:t xml:space="preserve">, while the other </w:t>
      </w:r>
      <w:r w:rsidR="00AC2E2D" w:rsidRPr="00B96E0B">
        <w:t xml:space="preserve">components or sub-components may or may not apply. Further note that </w:t>
      </w:r>
      <w:r w:rsidR="002B4284" w:rsidRPr="00B96E0B">
        <w:t>Article 6.4 activities may involve different combination of components or sub-components.</w:t>
      </w:r>
    </w:p>
    <w:p w14:paraId="68D9E76B" w14:textId="38AE04C0" w:rsidR="004334D2" w:rsidRDefault="004334D2" w:rsidP="008B12E5">
      <w:pPr>
        <w:pStyle w:val="SDMHead2"/>
      </w:pPr>
      <w:bookmarkStart w:id="172" w:name="_Toc211555312"/>
      <w:bookmarkStart w:id="173" w:name="_Toc211598964"/>
      <w:bookmarkStart w:id="174" w:name="_Toc211599466"/>
      <w:bookmarkStart w:id="175" w:name="_Toc211612262"/>
      <w:bookmarkStart w:id="176" w:name="_Toc211614709"/>
      <w:bookmarkStart w:id="177" w:name="_Toc211614752"/>
      <w:r>
        <w:t xml:space="preserve">Selection of the </w:t>
      </w:r>
      <w:r w:rsidRPr="008B12E5">
        <w:t>baseline</w:t>
      </w:r>
      <w:r>
        <w:t xml:space="preserve"> approaches from paragraph 36 of the rules, modalities and procedures</w:t>
      </w:r>
      <w:bookmarkEnd w:id="172"/>
      <w:bookmarkEnd w:id="173"/>
      <w:bookmarkEnd w:id="174"/>
      <w:bookmarkEnd w:id="175"/>
      <w:bookmarkEnd w:id="176"/>
      <w:bookmarkEnd w:id="177"/>
    </w:p>
    <w:p w14:paraId="0A8FEA43" w14:textId="530012D7" w:rsidR="004334D2" w:rsidRDefault="004334D2" w:rsidP="00DA05CE">
      <w:pPr>
        <w:pStyle w:val="SDMPara"/>
        <w:keepNext/>
      </w:pPr>
      <w:bookmarkStart w:id="178" w:name="_Ref211554109"/>
      <w:r>
        <w:t xml:space="preserve">The selected approach to determine the baseline for the different possible components of </w:t>
      </w:r>
      <w:r w:rsidR="007608C9">
        <w:t>Article 6.4 activities</w:t>
      </w:r>
      <w:r w:rsidR="00C756EA">
        <w:t xml:space="preserve"> </w:t>
      </w:r>
      <w:r>
        <w:t xml:space="preserve">eligible under the </w:t>
      </w:r>
      <w:r w:rsidR="008A0B90">
        <w:t>mechanism methodology</w:t>
      </w:r>
      <w:r>
        <w:t xml:space="preserve"> are:</w:t>
      </w:r>
      <w:bookmarkEnd w:id="178"/>
    </w:p>
    <w:p w14:paraId="4E1ABF84" w14:textId="672B4C1C" w:rsidR="004334D2" w:rsidRDefault="004334D2" w:rsidP="00DA05CE">
      <w:pPr>
        <w:pStyle w:val="SDMSubPara1"/>
        <w:keepNext/>
      </w:pPr>
      <w:r>
        <w:t xml:space="preserve">For </w:t>
      </w:r>
      <w:r w:rsidRPr="007F2F7D">
        <w:t xml:space="preserve">the </w:t>
      </w:r>
      <w:r w:rsidR="003A6863" w:rsidRPr="00B96E0B">
        <w:t>methane</w:t>
      </w:r>
      <w:r w:rsidRPr="007F2F7D">
        <w:t xml:space="preserve"> component</w:t>
      </w:r>
      <w:r>
        <w:t>:</w:t>
      </w:r>
    </w:p>
    <w:p w14:paraId="7332071D" w14:textId="3F894E3E" w:rsidR="004334D2" w:rsidRDefault="004334D2" w:rsidP="00E66E80">
      <w:pPr>
        <w:pStyle w:val="SDMSubPara2"/>
      </w:pPr>
      <w:bookmarkStart w:id="179" w:name="_Hlk203033077"/>
      <w:bookmarkStart w:id="180" w:name="_Ref206511812"/>
      <w:r>
        <w:t xml:space="preserve">For Article 6.4 activities developed in </w:t>
      </w:r>
      <w:r w:rsidRPr="00913590">
        <w:rPr>
          <w:u w:val="single"/>
        </w:rPr>
        <w:t>existing SWDSs</w:t>
      </w:r>
      <w:r>
        <w:t xml:space="preserve">, the baseline is determined through existing actual or historical emissions (paragraph 36(iii) of the RMPs) </w:t>
      </w:r>
      <w:r w:rsidR="006638A5">
        <w:t xml:space="preserve">because </w:t>
      </w:r>
      <w:r>
        <w:t>data from existing SWDS is strongly heterogeneous and emissions are highly activity- or site-specific (e.g.</w:t>
      </w:r>
      <w:r w:rsidR="006638A5">
        <w:t>,</w:t>
      </w:r>
      <w:r>
        <w:t xml:space="preserve"> SWDSs located in humid regions tend to have higher methane generation rates when compared with SWDSs located in dry regions)</w:t>
      </w:r>
      <w:bookmarkEnd w:id="179"/>
      <w:r>
        <w:t>;</w:t>
      </w:r>
      <w:bookmarkEnd w:id="180"/>
    </w:p>
    <w:p w14:paraId="6147CD68" w14:textId="0A61C122" w:rsidR="004334D2" w:rsidRDefault="004334D2" w:rsidP="00E66E80">
      <w:pPr>
        <w:pStyle w:val="SDMSubPara2"/>
      </w:pPr>
      <w:r>
        <w:t xml:space="preserve">For Article 6.4 activities developed in </w:t>
      </w:r>
      <w:r w:rsidRPr="00913590">
        <w:rPr>
          <w:u w:val="single"/>
        </w:rPr>
        <w:t>new SWDSs</w:t>
      </w:r>
      <w:r>
        <w:t>, the baseline is determined based on the b</w:t>
      </w:r>
      <w:r w:rsidRPr="00A96EF3">
        <w:t>est available technolog</w:t>
      </w:r>
      <w:r>
        <w:t>y</w:t>
      </w:r>
      <w:r w:rsidRPr="00A96EF3">
        <w:t xml:space="preserve"> that represent</w:t>
      </w:r>
      <w:r w:rsidR="006638A5">
        <w:t>s</w:t>
      </w:r>
      <w:r w:rsidRPr="00A96EF3">
        <w:t xml:space="preserve"> an economically feasible and environmentally sound course of action</w:t>
      </w:r>
      <w:r w:rsidR="006638A5">
        <w:t xml:space="preserve"> </w:t>
      </w:r>
      <w:r>
        <w:t xml:space="preserve">(paragraph 36(i) of the RMPs) </w:t>
      </w:r>
      <w:r w:rsidR="006638A5">
        <w:t xml:space="preserve">because </w:t>
      </w:r>
      <w:r>
        <w:t>the activity (treatment of solid waste in a new SWDS) using alternative technologies for waste treatment (such as waste incineration, composting, pyrolysis, gasification, etc</w:t>
      </w:r>
      <w:r w:rsidR="006638A5">
        <w:t>.</w:t>
      </w:r>
      <w:r>
        <w:t>) provides reasonably homogeneous outputs (i.e.</w:t>
      </w:r>
      <w:r w:rsidR="006638A5">
        <w:t>,</w:t>
      </w:r>
      <w:r>
        <w:t xml:space="preserve"> waste treated) for the same pool of users (i.e.</w:t>
      </w:r>
      <w:r w:rsidR="006638A5">
        <w:t>, the</w:t>
      </w:r>
      <w:r>
        <w:t xml:space="preserve"> population served by the SWDS)</w:t>
      </w:r>
      <w:r w:rsidR="00DA0B1A">
        <w:t>.</w:t>
      </w:r>
    </w:p>
    <w:p w14:paraId="1AA001F3" w14:textId="77777777" w:rsidR="004334D2" w:rsidRDefault="004334D2" w:rsidP="00DA05CE">
      <w:pPr>
        <w:pStyle w:val="SDMSubPara1"/>
        <w:keepNext/>
      </w:pPr>
      <w:r>
        <w:t>For the electricity generation component:</w:t>
      </w:r>
    </w:p>
    <w:p w14:paraId="077781BA" w14:textId="77777777" w:rsidR="004334D2" w:rsidRDefault="004334D2" w:rsidP="00E66E80">
      <w:pPr>
        <w:pStyle w:val="SDMSubPara2"/>
      </w:pPr>
      <w:r>
        <w:t xml:space="preserve">If the electricity generated by the Article 6.4 activity is </w:t>
      </w:r>
      <w:r w:rsidRPr="004A236B">
        <w:rPr>
          <w:u w:val="single"/>
        </w:rPr>
        <w:t>supplied to the grid</w:t>
      </w:r>
      <w:r>
        <w:t>, the baseline is determined through existing actual or historical emissions (paragraph 36(iii) of the RMPs);</w:t>
      </w:r>
    </w:p>
    <w:p w14:paraId="0EB863C3" w14:textId="276F1B30" w:rsidR="004334D2" w:rsidRDefault="004334D2" w:rsidP="00E66E80">
      <w:pPr>
        <w:pStyle w:val="SDMSubPara2"/>
      </w:pPr>
      <w:r>
        <w:t xml:space="preserve">If the electricity generated by the Article 6.4 activity </w:t>
      </w:r>
      <w:r w:rsidRPr="000309D2">
        <w:rPr>
          <w:u w:val="single"/>
        </w:rPr>
        <w:t>replaces the electricity generated in an existing</w:t>
      </w:r>
      <w:r w:rsidRPr="00EA2FD9">
        <w:rPr>
          <w:u w:val="single"/>
        </w:rPr>
        <w:t xml:space="preserve"> captive</w:t>
      </w:r>
      <w:r>
        <w:t xml:space="preserve"> fossil</w:t>
      </w:r>
      <w:r w:rsidR="00D228A6">
        <w:t xml:space="preserve"> </w:t>
      </w:r>
      <w:r>
        <w:t>fuel fired power plants, the baseline is determined through existing actual or historical emissions (paragraph 36(iii) of the RMPs). The approach shall apply until the end of the remaining lifetime</w:t>
      </w:r>
      <w:bookmarkStart w:id="181" w:name="_Ref211555412"/>
      <w:r>
        <w:rPr>
          <w:rStyle w:val="FootnoteReference"/>
        </w:rPr>
        <w:footnoteReference w:id="12"/>
      </w:r>
      <w:bookmarkEnd w:id="181"/>
      <w:r>
        <w:t xml:space="preserve"> of the baseline equipment;</w:t>
      </w:r>
    </w:p>
    <w:p w14:paraId="52D7E33D" w14:textId="6630DC9E" w:rsidR="004334D2" w:rsidRDefault="004334D2" w:rsidP="00E66E80">
      <w:pPr>
        <w:pStyle w:val="SDMSubPara2"/>
      </w:pPr>
      <w:r>
        <w:t xml:space="preserve">After the end of the remaining lifetime of the baseline equipment, or if the electricity generated by the Article 6.4 activities </w:t>
      </w:r>
      <w:r w:rsidRPr="000309D2">
        <w:rPr>
          <w:u w:val="single"/>
        </w:rPr>
        <w:t>replaces the electricity generated in new captive</w:t>
      </w:r>
      <w:r>
        <w:t xml:space="preserve"> fossil</w:t>
      </w:r>
      <w:r w:rsidR="00D228A6">
        <w:t xml:space="preserve"> </w:t>
      </w:r>
      <w:r>
        <w:t>fuel fired power plants, the baseline is determined through the b</w:t>
      </w:r>
      <w:r w:rsidRPr="00A96EF3">
        <w:t>est available technolog</w:t>
      </w:r>
      <w:r>
        <w:t>y</w:t>
      </w:r>
      <w:r w:rsidRPr="00A96EF3">
        <w:t xml:space="preserve"> that represent</w:t>
      </w:r>
      <w:r>
        <w:t>s</w:t>
      </w:r>
      <w:r w:rsidRPr="00A96EF3">
        <w:t xml:space="preserve"> an economically feasible and environmentally sound course of action</w:t>
      </w:r>
      <w:r>
        <w:t xml:space="preserve"> (paragraph 36(i) of the RMPs)</w:t>
      </w:r>
      <w:r w:rsidR="00DA0B1A">
        <w:t>.</w:t>
      </w:r>
    </w:p>
    <w:p w14:paraId="3F358C3A" w14:textId="77777777" w:rsidR="004334D2" w:rsidRDefault="004334D2" w:rsidP="00DA05CE">
      <w:pPr>
        <w:pStyle w:val="SDMSubPara1"/>
        <w:keepNext/>
      </w:pPr>
      <w:r>
        <w:t>For the heat generation component:</w:t>
      </w:r>
    </w:p>
    <w:p w14:paraId="04516A96" w14:textId="5CCFC05D" w:rsidR="004334D2" w:rsidRDefault="004334D2" w:rsidP="00302468">
      <w:pPr>
        <w:pStyle w:val="SDMSubPara2"/>
      </w:pPr>
      <w:r>
        <w:t xml:space="preserve">If the heat generated from the LFG or the biomethane is </w:t>
      </w:r>
      <w:r w:rsidRPr="00C735C5">
        <w:rPr>
          <w:u w:val="single"/>
        </w:rPr>
        <w:t xml:space="preserve">replacing heat generated in </w:t>
      </w:r>
      <w:r w:rsidRPr="001F71A6">
        <w:rPr>
          <w:u w:val="single"/>
        </w:rPr>
        <w:t xml:space="preserve">existing </w:t>
      </w:r>
      <w:r w:rsidR="006638A5">
        <w:rPr>
          <w:u w:val="single"/>
        </w:rPr>
        <w:t xml:space="preserve">piece of </w:t>
      </w:r>
      <w:r w:rsidRPr="001F71A6">
        <w:rPr>
          <w:u w:val="single"/>
        </w:rPr>
        <w:t>equipment</w:t>
      </w:r>
      <w:r>
        <w:t xml:space="preserve">, the baseline is determined through existing actual or historical emissions (paragraph 36(iii) of the RMPs) </w:t>
      </w:r>
      <w:r w:rsidR="006638A5">
        <w:t xml:space="preserve">because </w:t>
      </w:r>
      <w:r>
        <w:t>emissions per ton of heat generated are highly activity- or site-specific</w:t>
      </w:r>
      <w:r w:rsidR="006638A5">
        <w:t xml:space="preserve"> and because </w:t>
      </w:r>
      <w:r>
        <w:t>the type and characteristics of the heat produced depends on its usage (e.g.</w:t>
      </w:r>
      <w:r w:rsidR="006638A5">
        <w:t>,</w:t>
      </w:r>
      <w:r>
        <w:t xml:space="preserve"> hot air, high-pressure steam, low-pressure steam, hot water, etc</w:t>
      </w:r>
      <w:r w:rsidR="006638A5">
        <w:t>.</w:t>
      </w:r>
      <w:r>
        <w:t>) and the fuel type used (e.g.</w:t>
      </w:r>
      <w:r w:rsidR="006638A5">
        <w:t>,</w:t>
      </w:r>
      <w:r>
        <w:t xml:space="preserve"> coal, diesel, </w:t>
      </w:r>
      <w:r w:rsidR="006638A5">
        <w:t>natural gas</w:t>
      </w:r>
      <w:r>
        <w:t>, etc.). The approach shall apply until the end of the remaining lifetime</w:t>
      </w:r>
      <w:r w:rsidR="000900F5">
        <w:fldChar w:fldCharType="begin"/>
      </w:r>
      <w:r w:rsidR="000900F5">
        <w:instrText xml:space="preserve"> NOTEREF _Ref211555412 \f \h </w:instrText>
      </w:r>
      <w:r w:rsidR="000900F5">
        <w:fldChar w:fldCharType="separate"/>
      </w:r>
      <w:r w:rsidR="00302468" w:rsidRPr="00302468">
        <w:rPr>
          <w:rStyle w:val="FootnoteReference"/>
        </w:rPr>
        <w:t>11</w:t>
      </w:r>
      <w:r w:rsidR="000900F5">
        <w:fldChar w:fldCharType="end"/>
      </w:r>
      <w:r>
        <w:t xml:space="preserve"> of the baseline equipment;</w:t>
      </w:r>
    </w:p>
    <w:p w14:paraId="4272A3FB" w14:textId="57BA6AFC" w:rsidR="004334D2" w:rsidRDefault="004334D2" w:rsidP="00E66E80">
      <w:pPr>
        <w:pStyle w:val="SDMSubPara2"/>
      </w:pPr>
      <w:r>
        <w:t xml:space="preserve">After the end of the remaining lifetime of the baseline equipment, or if the heat generated from the LFG or the biomethane is </w:t>
      </w:r>
      <w:r w:rsidRPr="00C735C5">
        <w:rPr>
          <w:u w:val="single"/>
        </w:rPr>
        <w:t xml:space="preserve">replacing heat produced in </w:t>
      </w:r>
      <w:r w:rsidR="006638A5" w:rsidRPr="00C735C5">
        <w:rPr>
          <w:u w:val="single"/>
        </w:rPr>
        <w:t xml:space="preserve">a </w:t>
      </w:r>
      <w:r w:rsidRPr="007D0663">
        <w:rPr>
          <w:u w:val="single"/>
        </w:rPr>
        <w:t>new</w:t>
      </w:r>
      <w:r w:rsidRPr="00F603E1">
        <w:rPr>
          <w:u w:val="single"/>
        </w:rPr>
        <w:t xml:space="preserve"> </w:t>
      </w:r>
      <w:r w:rsidR="006638A5">
        <w:rPr>
          <w:u w:val="single"/>
        </w:rPr>
        <w:t xml:space="preserve">piece of </w:t>
      </w:r>
      <w:r w:rsidRPr="00F603E1">
        <w:rPr>
          <w:u w:val="single"/>
        </w:rPr>
        <w:t>equipment</w:t>
      </w:r>
      <w:r>
        <w:t>, the baseline is determined based on the b</w:t>
      </w:r>
      <w:r w:rsidRPr="00A96EF3">
        <w:t>est available technolog</w:t>
      </w:r>
      <w:r>
        <w:t>y</w:t>
      </w:r>
      <w:r w:rsidRPr="00A96EF3">
        <w:t xml:space="preserve"> that represent</w:t>
      </w:r>
      <w:r w:rsidR="006638A5">
        <w:t>s</w:t>
      </w:r>
      <w:r w:rsidRPr="00A96EF3">
        <w:t xml:space="preserve"> an economically feasible and environmentally sound course of action</w:t>
      </w:r>
      <w:r w:rsidR="006638A5">
        <w:t xml:space="preserve"> </w:t>
      </w:r>
      <w:r>
        <w:t xml:space="preserve">(paragraph 36(i) of the RMPs) </w:t>
      </w:r>
      <w:r w:rsidR="006638A5">
        <w:t xml:space="preserve">because </w:t>
      </w:r>
      <w:r>
        <w:t>the emissions per unit of output (i.e.</w:t>
      </w:r>
      <w:r w:rsidR="006638A5">
        <w:t>,</w:t>
      </w:r>
      <w:r>
        <w:t xml:space="preserve"> tCO</w:t>
      </w:r>
      <w:r w:rsidRPr="007D0663">
        <w:rPr>
          <w:vertAlign w:val="subscript"/>
        </w:rPr>
        <w:t>2</w:t>
      </w:r>
      <w:r>
        <w:t>e/unit of output such as tonnes of steam, tonnes of hot water, tonnes of brick, tonnes of melted glass, etc</w:t>
      </w:r>
      <w:r w:rsidR="006638A5">
        <w:t>.</w:t>
      </w:r>
      <w:r>
        <w:t>) are determined primarily by the technology(ies) and/or practice(s) used in the Article 6.4 activity (e.g.</w:t>
      </w:r>
      <w:r w:rsidR="006638A5">
        <w:t>,</w:t>
      </w:r>
      <w:r>
        <w:t xml:space="preserve"> boiler, glass melting furnace, water heater, air heater, brick kiln, etc</w:t>
      </w:r>
      <w:r w:rsidR="006638A5">
        <w:t>.</w:t>
      </w:r>
      <w:r>
        <w:t>). In addition, the same output is provided for the same pool of users by the activity and by other technologies and/or practices (i.e.</w:t>
      </w:r>
      <w:r w:rsidR="006638A5">
        <w:t>,</w:t>
      </w:r>
      <w:r>
        <w:t xml:space="preserve"> a boiler is used to prod</w:t>
      </w:r>
      <w:r w:rsidR="00862E00">
        <w:t>u</w:t>
      </w:r>
      <w:r>
        <w:t>ce steam or hot water; a brick kiln is used to produce bricks; a glass melting furnace is used to produce melted glass</w:t>
      </w:r>
      <w:r w:rsidR="006638A5">
        <w:t>;</w:t>
      </w:r>
      <w:r>
        <w:t xml:space="preserve"> etc</w:t>
      </w:r>
      <w:r w:rsidR="006638A5">
        <w:t>.</w:t>
      </w:r>
      <w:r>
        <w:t>)</w:t>
      </w:r>
      <w:r w:rsidR="00DA0B1A">
        <w:t>.</w:t>
      </w:r>
    </w:p>
    <w:p w14:paraId="4309A375" w14:textId="03217B41" w:rsidR="004334D2" w:rsidRPr="00A001F4" w:rsidRDefault="004334D2" w:rsidP="00E66E80">
      <w:pPr>
        <w:pStyle w:val="SDMSubPara1"/>
      </w:pPr>
      <w:r>
        <w:t>For the supply of LFG or biomethane to consumers component, the baseline is determined through existing actual or historical emissions (paragraph 36(iii) of the RMPs)</w:t>
      </w:r>
      <w:r w:rsidR="00C756EA">
        <w:t>.</w:t>
      </w:r>
    </w:p>
    <w:p w14:paraId="63D0A016" w14:textId="77777777" w:rsidR="004334D2" w:rsidRDefault="004334D2" w:rsidP="008B12E5">
      <w:pPr>
        <w:pStyle w:val="SDMHead2"/>
      </w:pPr>
      <w:bookmarkStart w:id="182" w:name="_Ref211087179"/>
      <w:bookmarkStart w:id="183" w:name="_Toc211555313"/>
      <w:bookmarkStart w:id="184" w:name="_Toc211598965"/>
      <w:bookmarkStart w:id="185" w:name="_Toc211599467"/>
      <w:bookmarkStart w:id="186" w:name="_Toc211612263"/>
      <w:bookmarkStart w:id="187" w:name="_Toc211614710"/>
      <w:bookmarkStart w:id="188" w:name="_Toc211614753"/>
      <w:r>
        <w:t xml:space="preserve">Application of the </w:t>
      </w:r>
      <w:r w:rsidRPr="008B12E5">
        <w:t>selected</w:t>
      </w:r>
      <w:r>
        <w:t xml:space="preserve"> approach, prior to implementation of a downward adjustment</w:t>
      </w:r>
      <w:bookmarkEnd w:id="182"/>
      <w:bookmarkEnd w:id="183"/>
      <w:bookmarkEnd w:id="184"/>
      <w:bookmarkEnd w:id="185"/>
      <w:bookmarkEnd w:id="186"/>
      <w:bookmarkEnd w:id="187"/>
      <w:bookmarkEnd w:id="188"/>
    </w:p>
    <w:p w14:paraId="559A4B00" w14:textId="77777777" w:rsidR="004334D2" w:rsidRDefault="004334D2" w:rsidP="008B12E5">
      <w:pPr>
        <w:pStyle w:val="SDMHead3"/>
      </w:pPr>
      <w:bookmarkStart w:id="189" w:name="_Toc211555314"/>
      <w:bookmarkStart w:id="190" w:name="_Toc211598966"/>
      <w:bookmarkStart w:id="191" w:name="_Toc211599468"/>
      <w:bookmarkStart w:id="192" w:name="_Toc211612264"/>
      <w:bookmarkStart w:id="193" w:name="_Toc211614711"/>
      <w:bookmarkStart w:id="194" w:name="_Toc211614754"/>
      <w:r>
        <w:t xml:space="preserve">Procedure for the </w:t>
      </w:r>
      <w:r w:rsidRPr="008B12E5">
        <w:t>identification</w:t>
      </w:r>
      <w:r>
        <w:t xml:space="preserve"> of the baseline scenario</w:t>
      </w:r>
      <w:bookmarkEnd w:id="189"/>
      <w:bookmarkEnd w:id="190"/>
      <w:bookmarkEnd w:id="191"/>
      <w:bookmarkEnd w:id="192"/>
      <w:bookmarkEnd w:id="193"/>
      <w:bookmarkEnd w:id="194"/>
    </w:p>
    <w:p w14:paraId="1B3C2521" w14:textId="28BF4470" w:rsidR="004334D2" w:rsidRDefault="004334D2" w:rsidP="00DA05CE">
      <w:pPr>
        <w:pStyle w:val="SDMPara"/>
        <w:keepNext/>
      </w:pPr>
      <w:r>
        <w:t xml:space="preserve">The baseline scenario for the different components of </w:t>
      </w:r>
      <w:r w:rsidR="007608C9">
        <w:t xml:space="preserve">Article 6.4 activities </w:t>
      </w:r>
      <w:r>
        <w:t xml:space="preserve">eligible under the </w:t>
      </w:r>
      <w:r w:rsidR="008A0B90">
        <w:t>mechanism methodology</w:t>
      </w:r>
      <w:r>
        <w:t xml:space="preserve"> are described in the table below:</w:t>
      </w:r>
    </w:p>
    <w:p w14:paraId="6D692C91" w14:textId="4E8FDAE6" w:rsidR="004334D2" w:rsidRPr="004D7AFF" w:rsidRDefault="004334D2" w:rsidP="008B12E5">
      <w:pPr>
        <w:pStyle w:val="CaptionFullPage"/>
        <w:ind w:left="1130" w:hanging="1130"/>
      </w:pPr>
      <w:bookmarkStart w:id="195" w:name="_Ref208349054"/>
      <w:r>
        <w:t>Table </w:t>
      </w:r>
      <w:r>
        <w:fldChar w:fldCharType="begin"/>
      </w:r>
      <w:r>
        <w:instrText>SEQ Table \* ARABIC</w:instrText>
      </w:r>
      <w:r>
        <w:fldChar w:fldCharType="separate"/>
      </w:r>
      <w:r w:rsidR="00302468">
        <w:rPr>
          <w:noProof/>
        </w:rPr>
        <w:t>2</w:t>
      </w:r>
      <w:r>
        <w:fldChar w:fldCharType="end"/>
      </w:r>
      <w:bookmarkEnd w:id="195"/>
      <w:r>
        <w:rPr>
          <w:noProof/>
        </w:rPr>
        <w:t>.</w:t>
      </w:r>
      <w:r>
        <w:tab/>
        <w:t xml:space="preserve">Baseline scenario for different components of </w:t>
      </w:r>
      <w:r w:rsidR="007608C9">
        <w:t>Article 6.4 activities</w:t>
      </w:r>
      <w:r w:rsidR="0001553A">
        <w:t xml:space="preserve"> </w:t>
      </w:r>
      <w:r>
        <w:t xml:space="preserve">eligible under the </w:t>
      </w:r>
      <w:r w:rsidR="008A0B90">
        <w:t>mechanism methodology</w:t>
      </w:r>
    </w:p>
    <w:tbl>
      <w:tblPr>
        <w:tblStyle w:val="SDMTable"/>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3150"/>
        <w:gridCol w:w="3152"/>
        <w:gridCol w:w="3054"/>
      </w:tblGrid>
      <w:tr w:rsidR="004334D2" w:rsidRPr="00911F51" w14:paraId="7F2AFE89" w14:textId="77777777" w:rsidTr="00A672F6">
        <w:trPr>
          <w:cnfStyle w:val="100000000000" w:firstRow="1" w:lastRow="0" w:firstColumn="0" w:lastColumn="0" w:oddVBand="0" w:evenVBand="0" w:oddHBand="0" w:evenHBand="0" w:firstRowFirstColumn="0" w:firstRowLastColumn="0" w:lastRowFirstColumn="0" w:lastRowLastColumn="0"/>
        </w:trPr>
        <w:tc>
          <w:tcPr>
            <w:tcW w:w="2872"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DF9EC0" w14:textId="77777777" w:rsidR="004334D2" w:rsidRPr="004F23C4" w:rsidRDefault="004334D2" w:rsidP="00E66E80">
            <w:pPr>
              <w:pStyle w:val="SDMTableBoxParaNumbered"/>
              <w:jc w:val="center"/>
            </w:pPr>
            <w:r>
              <w:t>Component</w:t>
            </w:r>
          </w:p>
        </w:tc>
        <w:tc>
          <w:tcPr>
            <w:tcW w:w="287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DA1120" w14:textId="77777777" w:rsidR="004334D2" w:rsidRPr="00CF6457" w:rsidRDefault="004334D2" w:rsidP="00E06D0C">
            <w:pPr>
              <w:pStyle w:val="SDMTableBoxParaNotNumbered"/>
              <w:jc w:val="center"/>
            </w:pPr>
            <w:r>
              <w:t>Baseline approach</w:t>
            </w:r>
          </w:p>
        </w:tc>
        <w:tc>
          <w:tcPr>
            <w:tcW w:w="278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CFEFAF" w14:textId="77777777" w:rsidR="004334D2" w:rsidRPr="00CF6457" w:rsidRDefault="004334D2" w:rsidP="00E06D0C">
            <w:pPr>
              <w:pStyle w:val="SDMTableBoxParaNotNumbered"/>
              <w:jc w:val="center"/>
            </w:pPr>
            <w:r>
              <w:t>Baseline scenario</w:t>
            </w:r>
          </w:p>
        </w:tc>
      </w:tr>
      <w:tr w:rsidR="004334D2" w:rsidRPr="00911F51" w14:paraId="6F30B025" w14:textId="77777777" w:rsidTr="00A672F6">
        <w:tc>
          <w:tcPr>
            <w:tcW w:w="2872" w:type="dxa"/>
          </w:tcPr>
          <w:p w14:paraId="2F73D89D" w14:textId="1AC78348" w:rsidR="004334D2" w:rsidRPr="004F23C4" w:rsidRDefault="004334D2" w:rsidP="00E06D0C">
            <w:pPr>
              <w:pStyle w:val="SDMTableBoxParaNumbered"/>
              <w:numPr>
                <w:ilvl w:val="0"/>
                <w:numId w:val="0"/>
              </w:numPr>
            </w:pPr>
            <w:r>
              <w:t xml:space="preserve">LFG – </w:t>
            </w:r>
            <w:r w:rsidR="007608C9">
              <w:t>Article 6.4 activities</w:t>
            </w:r>
            <w:r>
              <w:t xml:space="preserve"> implemented in an existing SWDS</w:t>
            </w:r>
          </w:p>
        </w:tc>
        <w:tc>
          <w:tcPr>
            <w:tcW w:w="2873" w:type="dxa"/>
          </w:tcPr>
          <w:p w14:paraId="0A49C8D8" w14:textId="77777777" w:rsidR="004334D2" w:rsidRPr="00672B03" w:rsidRDefault="004334D2" w:rsidP="00E06D0C">
            <w:pPr>
              <w:pStyle w:val="SDMTableBoxParaNotNumbered"/>
            </w:pPr>
            <w:r>
              <w:t>Existing actual or historical emissions</w:t>
            </w:r>
          </w:p>
        </w:tc>
        <w:tc>
          <w:tcPr>
            <w:tcW w:w="2784" w:type="dxa"/>
          </w:tcPr>
          <w:p w14:paraId="4BAAB6B9" w14:textId="0BFC7E86" w:rsidR="004334D2" w:rsidRPr="00CF6457" w:rsidRDefault="004334D2" w:rsidP="00E06D0C">
            <w:pPr>
              <w:pStyle w:val="SDMTableBoxParaNotNumbered"/>
            </w:pPr>
            <w:r>
              <w:t xml:space="preserve">The continuation of the pre-activity scenario, </w:t>
            </w:r>
            <w:r w:rsidR="00390F6F">
              <w:t>i.e.,</w:t>
            </w:r>
            <w:r>
              <w:t xml:space="preserve"> the methane generated is emitted to the atmosphere or is partially captured and/or partially destroyed</w:t>
            </w:r>
          </w:p>
        </w:tc>
      </w:tr>
      <w:tr w:rsidR="004334D2" w:rsidRPr="00911F51" w14:paraId="52D368D9" w14:textId="77777777" w:rsidTr="00A672F6">
        <w:tc>
          <w:tcPr>
            <w:tcW w:w="2872" w:type="dxa"/>
          </w:tcPr>
          <w:p w14:paraId="39E26C95" w14:textId="730433CD" w:rsidR="004334D2" w:rsidRPr="004F23C4" w:rsidRDefault="004334D2" w:rsidP="00E06D0C">
            <w:pPr>
              <w:pStyle w:val="SDMTableBoxParaNumbered"/>
              <w:numPr>
                <w:ilvl w:val="0"/>
                <w:numId w:val="0"/>
              </w:numPr>
            </w:pPr>
            <w:r>
              <w:t xml:space="preserve">LFG – </w:t>
            </w:r>
            <w:r w:rsidR="007608C9">
              <w:t>Article 6.4 activities</w:t>
            </w:r>
            <w:r>
              <w:t xml:space="preserve"> implemented in new SWDS</w:t>
            </w:r>
          </w:p>
        </w:tc>
        <w:tc>
          <w:tcPr>
            <w:tcW w:w="2873" w:type="dxa"/>
          </w:tcPr>
          <w:p w14:paraId="3E6C74C2" w14:textId="77777777" w:rsidR="004334D2" w:rsidRPr="00672B03" w:rsidRDefault="004334D2" w:rsidP="00E06D0C">
            <w:pPr>
              <w:pStyle w:val="SDMTableBoxParaNotNumbered"/>
            </w:pPr>
            <w:r>
              <w:t>Best available technologies that represent an economically feasible and environmentally sound course of action</w:t>
            </w:r>
          </w:p>
        </w:tc>
        <w:tc>
          <w:tcPr>
            <w:tcW w:w="2784" w:type="dxa"/>
          </w:tcPr>
          <w:p w14:paraId="61C80E24" w14:textId="09EEAE9A" w:rsidR="004334D2" w:rsidRPr="00CF6457" w:rsidRDefault="004334D2" w:rsidP="00E06D0C">
            <w:pPr>
              <w:pStyle w:val="SDMTableBoxParaNotNumbered"/>
            </w:pPr>
            <w:r>
              <w:t xml:space="preserve">Determined based on section </w:t>
            </w:r>
            <w:r>
              <w:fldChar w:fldCharType="begin"/>
            </w:r>
            <w:r>
              <w:instrText xml:space="preserve"> REF _Ref206538158 \r \p \h </w:instrText>
            </w:r>
            <w:r w:rsidR="00D5245F">
              <w:instrText xml:space="preserve"> \* MERGEFORMAT </w:instrText>
            </w:r>
            <w:r>
              <w:fldChar w:fldCharType="separate"/>
            </w:r>
            <w:r w:rsidR="00302468">
              <w:rPr>
                <w:cs/>
              </w:rPr>
              <w:t>‎</w:t>
            </w:r>
            <w:r w:rsidR="00302468">
              <w:t>7.3.1.1 below</w:t>
            </w:r>
            <w:r>
              <w:fldChar w:fldCharType="end"/>
            </w:r>
          </w:p>
        </w:tc>
      </w:tr>
      <w:tr w:rsidR="004334D2" w:rsidRPr="00911F51" w14:paraId="4406F7DB" w14:textId="77777777" w:rsidTr="00A672F6">
        <w:tc>
          <w:tcPr>
            <w:tcW w:w="2872" w:type="dxa"/>
          </w:tcPr>
          <w:p w14:paraId="136A2AA5" w14:textId="77777777" w:rsidR="004334D2" w:rsidRPr="004F23C4" w:rsidRDefault="004334D2" w:rsidP="00E06D0C">
            <w:pPr>
              <w:pStyle w:val="SDMTableBoxParaNumbered"/>
              <w:numPr>
                <w:ilvl w:val="0"/>
                <w:numId w:val="0"/>
              </w:numPr>
            </w:pPr>
            <w:r>
              <w:t>Electricity generation and supply to the electric grid</w:t>
            </w:r>
          </w:p>
        </w:tc>
        <w:tc>
          <w:tcPr>
            <w:tcW w:w="2873" w:type="dxa"/>
          </w:tcPr>
          <w:p w14:paraId="6AF2BF4D" w14:textId="77777777" w:rsidR="004334D2" w:rsidRPr="00672B03" w:rsidRDefault="004334D2" w:rsidP="00E06D0C">
            <w:pPr>
              <w:pStyle w:val="SDMTableBoxParaNotNumbered"/>
            </w:pPr>
            <w:r>
              <w:t>Existing actual or historical emissions (grid emission factor)</w:t>
            </w:r>
          </w:p>
        </w:tc>
        <w:tc>
          <w:tcPr>
            <w:tcW w:w="2784" w:type="dxa"/>
          </w:tcPr>
          <w:p w14:paraId="7DA1D21F" w14:textId="2899FE93" w:rsidR="004334D2" w:rsidRPr="00CF6457" w:rsidRDefault="004334D2" w:rsidP="00E06D0C">
            <w:pPr>
              <w:pStyle w:val="SDMTableBoxParaNotNumbered"/>
            </w:pPr>
            <w:r>
              <w:t>The continuation of the pre-activity scenario, i.e. the electricity would have been generated by existing power plants connected to the same electricity grid</w:t>
            </w:r>
          </w:p>
        </w:tc>
      </w:tr>
      <w:tr w:rsidR="004334D2" w:rsidRPr="00911F51" w14:paraId="30613962" w14:textId="77777777" w:rsidTr="00A672F6">
        <w:tc>
          <w:tcPr>
            <w:tcW w:w="2872" w:type="dxa"/>
          </w:tcPr>
          <w:p w14:paraId="5A5F6B7E" w14:textId="178937C5" w:rsidR="004334D2" w:rsidRPr="009D553E" w:rsidRDefault="004334D2" w:rsidP="00E06D0C">
            <w:pPr>
              <w:pStyle w:val="SDMTableBoxParaNumbered"/>
              <w:numPr>
                <w:ilvl w:val="0"/>
                <w:numId w:val="0"/>
              </w:numPr>
            </w:pPr>
            <w:r w:rsidRPr="009D553E">
              <w:t xml:space="preserve">Electricity generation replacing </w:t>
            </w:r>
            <w:r>
              <w:t xml:space="preserve">electricity generated </w:t>
            </w:r>
            <w:r w:rsidRPr="004765DE">
              <w:t xml:space="preserve">in an </w:t>
            </w:r>
            <w:r w:rsidRPr="00B47E15">
              <w:t>existing</w:t>
            </w:r>
            <w:r w:rsidRPr="009D553E">
              <w:t xml:space="preserve"> </w:t>
            </w:r>
            <w:r w:rsidR="001C2609">
              <w:t xml:space="preserve">captive </w:t>
            </w:r>
            <w:r>
              <w:t xml:space="preserve">fossil fuel fired </w:t>
            </w:r>
            <w:r w:rsidRPr="009D553E">
              <w:t xml:space="preserve">power </w:t>
            </w:r>
            <w:r w:rsidRPr="004765DE">
              <w:t>plant</w:t>
            </w:r>
          </w:p>
        </w:tc>
        <w:tc>
          <w:tcPr>
            <w:tcW w:w="2873" w:type="dxa"/>
          </w:tcPr>
          <w:p w14:paraId="19AB9FEF" w14:textId="77777777" w:rsidR="004334D2" w:rsidRPr="00672B03" w:rsidRDefault="004334D2" w:rsidP="00E06D0C">
            <w:pPr>
              <w:pStyle w:val="SDMTableBoxParaNotNumbered"/>
            </w:pPr>
            <w:r w:rsidRPr="009D553E">
              <w:t>Existing actual or historical emissions</w:t>
            </w:r>
          </w:p>
        </w:tc>
        <w:tc>
          <w:tcPr>
            <w:tcW w:w="2784" w:type="dxa"/>
          </w:tcPr>
          <w:p w14:paraId="68236186" w14:textId="36C819E8" w:rsidR="004334D2" w:rsidRDefault="004334D2" w:rsidP="00E06D0C">
            <w:pPr>
              <w:pStyle w:val="SDMTableBoxParaNotNumbered"/>
            </w:pPr>
            <w:r w:rsidRPr="0072271B">
              <w:t xml:space="preserve">The continuation of the pre-activity scenario, i.e. the electricity would have been generated in the existing captive </w:t>
            </w:r>
            <w:r w:rsidR="001C2609">
              <w:t xml:space="preserve">fossil fuel </w:t>
            </w:r>
            <w:r w:rsidRPr="0072271B">
              <w:t xml:space="preserve">power plant using the same fossil fuel up to the end of the remaining lifetime of the captive fossil fuel </w:t>
            </w:r>
            <w:r w:rsidR="001C2609">
              <w:t xml:space="preserve">fired </w:t>
            </w:r>
            <w:r w:rsidRPr="0072271B">
              <w:t xml:space="preserve">power plant. After the end of the lifetime of the captive fossil fuel </w:t>
            </w:r>
            <w:r w:rsidR="001C2609">
              <w:t xml:space="preserve">fired </w:t>
            </w:r>
            <w:r w:rsidRPr="0072271B">
              <w:t>power plant, the baseline shall be determined based on BAT</w:t>
            </w:r>
          </w:p>
        </w:tc>
      </w:tr>
      <w:tr w:rsidR="004334D2" w:rsidRPr="00911F51" w14:paraId="2D86FC8C" w14:textId="77777777" w:rsidTr="00A672F6">
        <w:tc>
          <w:tcPr>
            <w:tcW w:w="2872" w:type="dxa"/>
          </w:tcPr>
          <w:p w14:paraId="1CE32711" w14:textId="77777777" w:rsidR="004334D2" w:rsidRPr="00E65A60" w:rsidRDefault="004334D2" w:rsidP="00E06D0C">
            <w:pPr>
              <w:pStyle w:val="SDMTableBoxParaNumbered"/>
              <w:numPr>
                <w:ilvl w:val="0"/>
                <w:numId w:val="0"/>
              </w:numPr>
              <w:rPr>
                <w:highlight w:val="yellow"/>
              </w:rPr>
            </w:pPr>
            <w:r w:rsidRPr="00652C28">
              <w:t xml:space="preserve">Electricity generation replacing </w:t>
            </w:r>
            <w:r>
              <w:t xml:space="preserve">electricity </w:t>
            </w:r>
            <w:r w:rsidRPr="004765DE">
              <w:t>generated in</w:t>
            </w:r>
            <w:r w:rsidRPr="004832F3">
              <w:t xml:space="preserve"> </w:t>
            </w:r>
            <w:r w:rsidRPr="00B47E15">
              <w:t>new</w:t>
            </w:r>
            <w:r w:rsidRPr="00652C28">
              <w:t xml:space="preserve"> captive </w:t>
            </w:r>
            <w:r>
              <w:t xml:space="preserve">fossil fuel fired </w:t>
            </w:r>
            <w:r w:rsidRPr="00652C28">
              <w:t xml:space="preserve">power </w:t>
            </w:r>
            <w:r w:rsidRPr="004765DE">
              <w:t>plant</w:t>
            </w:r>
          </w:p>
        </w:tc>
        <w:tc>
          <w:tcPr>
            <w:tcW w:w="2873" w:type="dxa"/>
          </w:tcPr>
          <w:p w14:paraId="515E6F12" w14:textId="77777777" w:rsidR="004334D2" w:rsidRPr="00672B03" w:rsidRDefault="004334D2" w:rsidP="00E06D0C">
            <w:pPr>
              <w:pStyle w:val="SDMTableBoxParaNotNumbered"/>
              <w:rPr>
                <w:highlight w:val="yellow"/>
              </w:rPr>
            </w:pPr>
            <w:r>
              <w:t>Best available technologies that represent an economically feasible and environmentally sound course of action</w:t>
            </w:r>
          </w:p>
        </w:tc>
        <w:tc>
          <w:tcPr>
            <w:tcW w:w="2784" w:type="dxa"/>
          </w:tcPr>
          <w:p w14:paraId="2ED7F2B6" w14:textId="19A5BF61" w:rsidR="004334D2" w:rsidRDefault="004334D2" w:rsidP="00E06D0C">
            <w:pPr>
              <w:pStyle w:val="SDMTableBoxParaNotNumbered"/>
            </w:pPr>
            <w:r>
              <w:t xml:space="preserve">Determined based on section </w:t>
            </w:r>
            <w:r>
              <w:rPr>
                <w:highlight w:val="yellow"/>
              </w:rPr>
              <w:fldChar w:fldCharType="begin"/>
            </w:r>
            <w:r>
              <w:instrText xml:space="preserve"> REF _Ref207404259 \w \p \h </w:instrText>
            </w:r>
            <w:r w:rsidR="00D5245F">
              <w:rPr>
                <w:highlight w:val="yellow"/>
              </w:rPr>
              <w:instrText xml:space="preserve"> \* MERGEFORMAT </w:instrText>
            </w:r>
            <w:r>
              <w:rPr>
                <w:highlight w:val="yellow"/>
              </w:rPr>
            </w:r>
            <w:r>
              <w:rPr>
                <w:highlight w:val="yellow"/>
              </w:rPr>
              <w:fldChar w:fldCharType="separate"/>
            </w:r>
            <w:r w:rsidR="00302468">
              <w:rPr>
                <w:cs/>
              </w:rPr>
              <w:t>‎</w:t>
            </w:r>
            <w:r w:rsidR="00302468">
              <w:t>7.3.1.3 below</w:t>
            </w:r>
            <w:r>
              <w:rPr>
                <w:highlight w:val="yellow"/>
              </w:rPr>
              <w:fldChar w:fldCharType="end"/>
            </w:r>
          </w:p>
        </w:tc>
      </w:tr>
      <w:tr w:rsidR="004334D2" w:rsidRPr="00911F51" w14:paraId="2F3E6BAB" w14:textId="77777777" w:rsidTr="00A672F6">
        <w:tc>
          <w:tcPr>
            <w:tcW w:w="2872" w:type="dxa"/>
          </w:tcPr>
          <w:p w14:paraId="2E9344D4" w14:textId="77777777" w:rsidR="004334D2" w:rsidRPr="004F23C4" w:rsidRDefault="004334D2" w:rsidP="00E06D0C">
            <w:pPr>
              <w:pStyle w:val="SDMTableBoxParaNumbered"/>
              <w:numPr>
                <w:ilvl w:val="0"/>
                <w:numId w:val="0"/>
              </w:numPr>
            </w:pPr>
            <w:r>
              <w:t xml:space="preserve">Heat generation replacing heat generated in an </w:t>
            </w:r>
            <w:r w:rsidRPr="004832F3">
              <w:t>existing equipment</w:t>
            </w:r>
          </w:p>
        </w:tc>
        <w:tc>
          <w:tcPr>
            <w:tcW w:w="2873" w:type="dxa"/>
          </w:tcPr>
          <w:p w14:paraId="62C434CE" w14:textId="6E408203" w:rsidR="004334D2" w:rsidRPr="00CF6457" w:rsidRDefault="004334D2" w:rsidP="00E06D0C">
            <w:pPr>
              <w:pStyle w:val="SDMTableBoxParaNotNumbered"/>
            </w:pPr>
            <w:r>
              <w:t>Existing actual or historical emissions</w:t>
            </w:r>
          </w:p>
        </w:tc>
        <w:tc>
          <w:tcPr>
            <w:tcW w:w="2784" w:type="dxa"/>
          </w:tcPr>
          <w:p w14:paraId="1C2AC118" w14:textId="3BC8ABB8" w:rsidR="004334D2" w:rsidRPr="00CF6457" w:rsidRDefault="004334D2" w:rsidP="00E06D0C">
            <w:pPr>
              <w:pStyle w:val="SDMTableBoxParaNotNumbered"/>
            </w:pPr>
            <w:r>
              <w:t>The continuation of the pre-activity scenario, i.e. the heat would be generated in the same heat generation equipment using the same fuels up to the end of the remaining lifetime of the heat generation equipment. After the end of the lifetime of the heat generation equipment, the baseline shall be determined based on BAT</w:t>
            </w:r>
          </w:p>
        </w:tc>
      </w:tr>
      <w:tr w:rsidR="004334D2" w:rsidRPr="00911F51" w14:paraId="768EB034" w14:textId="77777777" w:rsidTr="00A672F6">
        <w:tc>
          <w:tcPr>
            <w:tcW w:w="2872" w:type="dxa"/>
          </w:tcPr>
          <w:p w14:paraId="08B55092" w14:textId="24890BCD" w:rsidR="004334D2" w:rsidRPr="004F23C4" w:rsidRDefault="004334D2" w:rsidP="00E06D0C">
            <w:pPr>
              <w:pStyle w:val="SDMTableBoxParaNumbered"/>
              <w:numPr>
                <w:ilvl w:val="0"/>
                <w:numId w:val="0"/>
              </w:numPr>
            </w:pPr>
            <w:r>
              <w:t>Heat generation replacing heat generated in new equipment</w:t>
            </w:r>
          </w:p>
        </w:tc>
        <w:tc>
          <w:tcPr>
            <w:tcW w:w="2873" w:type="dxa"/>
          </w:tcPr>
          <w:p w14:paraId="2EE0B586" w14:textId="77777777" w:rsidR="004334D2" w:rsidRDefault="004334D2" w:rsidP="00E06D0C">
            <w:pPr>
              <w:pStyle w:val="SDMTableBoxParaNotNumbered"/>
            </w:pPr>
            <w:r>
              <w:t>Best available technologies that represent an economically feasible and</w:t>
            </w:r>
          </w:p>
          <w:p w14:paraId="7DA0B044" w14:textId="77777777" w:rsidR="004334D2" w:rsidRPr="00CF6457" w:rsidRDefault="004334D2" w:rsidP="00E06D0C">
            <w:pPr>
              <w:pStyle w:val="SDMTableBoxParaNotNumbered"/>
            </w:pPr>
            <w:r>
              <w:t>environmentally sound course of action</w:t>
            </w:r>
          </w:p>
        </w:tc>
        <w:tc>
          <w:tcPr>
            <w:tcW w:w="2784" w:type="dxa"/>
          </w:tcPr>
          <w:p w14:paraId="189711B3" w14:textId="00128D0E" w:rsidR="004334D2" w:rsidRPr="00CF6457" w:rsidRDefault="004334D2" w:rsidP="00E06D0C">
            <w:pPr>
              <w:pStyle w:val="SDMTableBoxParaNotNumbered"/>
            </w:pPr>
            <w:r>
              <w:t xml:space="preserve">Determined based on section </w:t>
            </w:r>
            <w:r>
              <w:fldChar w:fldCharType="begin"/>
            </w:r>
            <w:r>
              <w:instrText xml:space="preserve"> REF _Ref207823260 \r \p \h </w:instrText>
            </w:r>
            <w:r w:rsidR="00D5245F">
              <w:instrText xml:space="preserve"> \* MERGEFORMAT </w:instrText>
            </w:r>
            <w:r>
              <w:fldChar w:fldCharType="separate"/>
            </w:r>
            <w:r w:rsidR="00302468">
              <w:rPr>
                <w:cs/>
              </w:rPr>
              <w:t>‎</w:t>
            </w:r>
            <w:r w:rsidR="00302468">
              <w:t>7.3.1.4 below</w:t>
            </w:r>
            <w:r>
              <w:fldChar w:fldCharType="end"/>
            </w:r>
          </w:p>
        </w:tc>
      </w:tr>
      <w:tr w:rsidR="004334D2" w:rsidRPr="00911F51" w14:paraId="5695918F" w14:textId="77777777" w:rsidTr="00A672F6">
        <w:tc>
          <w:tcPr>
            <w:tcW w:w="2872" w:type="dxa"/>
          </w:tcPr>
          <w:p w14:paraId="5B0AB339" w14:textId="77777777" w:rsidR="004334D2" w:rsidRDefault="004334D2" w:rsidP="00E06D0C">
            <w:pPr>
              <w:pStyle w:val="SDMTableBoxParaNumbered"/>
              <w:numPr>
                <w:ilvl w:val="0"/>
                <w:numId w:val="0"/>
              </w:numPr>
            </w:pPr>
            <w:r>
              <w:t>Supply of LFG or biomethane to consumers</w:t>
            </w:r>
          </w:p>
        </w:tc>
        <w:tc>
          <w:tcPr>
            <w:tcW w:w="2873" w:type="dxa"/>
          </w:tcPr>
          <w:p w14:paraId="448A871F" w14:textId="77777777" w:rsidR="004334D2" w:rsidRDefault="004334D2" w:rsidP="00E06D0C">
            <w:pPr>
              <w:pStyle w:val="SDMTableBoxParaNotNumbered"/>
            </w:pPr>
            <w:r>
              <w:t>Existing actual or historical emissions</w:t>
            </w:r>
          </w:p>
        </w:tc>
        <w:tc>
          <w:tcPr>
            <w:tcW w:w="2784" w:type="dxa"/>
          </w:tcPr>
          <w:p w14:paraId="116E7BF1" w14:textId="38967597" w:rsidR="004334D2" w:rsidRDefault="004334D2" w:rsidP="00E06D0C">
            <w:pPr>
              <w:pStyle w:val="SDMTableBoxParaNotNumbered"/>
            </w:pPr>
            <w:r>
              <w:t xml:space="preserve">The continuation of the pre-activity scenario, </w:t>
            </w:r>
            <w:r w:rsidR="00467840">
              <w:t>i.e.,</w:t>
            </w:r>
            <w:r>
              <w:t xml:space="preserve"> consumers would be supplied with natural gas from the network</w:t>
            </w:r>
          </w:p>
        </w:tc>
      </w:tr>
    </w:tbl>
    <w:p w14:paraId="42FDFFF4" w14:textId="2687F6AD" w:rsidR="004334D2" w:rsidRDefault="004334D2" w:rsidP="00E74944">
      <w:pPr>
        <w:pStyle w:val="SDMHead4"/>
      </w:pPr>
      <w:bookmarkStart w:id="196" w:name="_Ref206538158"/>
      <w:r>
        <w:t xml:space="preserve">Identification of the baseline scenario for </w:t>
      </w:r>
      <w:r w:rsidR="007608C9">
        <w:t>Article 6.4 activities</w:t>
      </w:r>
      <w:r>
        <w:t xml:space="preserve"> implemented in a new SWDS</w:t>
      </w:r>
      <w:bookmarkEnd w:id="196"/>
    </w:p>
    <w:p w14:paraId="255107C9" w14:textId="063FA925" w:rsidR="004334D2" w:rsidRDefault="004334D2" w:rsidP="00E66E80">
      <w:pPr>
        <w:pStyle w:val="SDMPara"/>
        <w:keepNext/>
      </w:pPr>
      <w:r>
        <w:t>Activity participants shall determine the best available technology and economically feasible and environmentally sound course of action for Article 6.4 activities implemented in a new SWDS based on the stepwise process described below</w:t>
      </w:r>
      <w:r w:rsidR="007F4BA4">
        <w:t>.</w:t>
      </w:r>
    </w:p>
    <w:p w14:paraId="30A4832F" w14:textId="77777777" w:rsidR="004334D2" w:rsidRDefault="004334D2" w:rsidP="00E74944">
      <w:pPr>
        <w:pStyle w:val="SDMHead4"/>
      </w:pPr>
      <w:r>
        <w:t>Step 1: Identification of the baseline geographical reference area</w:t>
      </w:r>
    </w:p>
    <w:p w14:paraId="324981C2" w14:textId="77777777" w:rsidR="004334D2" w:rsidRDefault="004334D2" w:rsidP="00E66E80">
      <w:pPr>
        <w:pStyle w:val="SDMPara"/>
      </w:pPr>
      <w:r>
        <w:t>The baseline geographical reference area is the host country by default.</w:t>
      </w:r>
    </w:p>
    <w:p w14:paraId="4903C798" w14:textId="77777777" w:rsidR="004334D2" w:rsidRDefault="004334D2" w:rsidP="00E66E80">
      <w:pPr>
        <w:pStyle w:val="SDMPara"/>
      </w:pPr>
      <w:r>
        <w:t>Activity participants may choose to limit the baseline geographical reference area to a narrower specific geographical area (such as municipality, province, states, etc.) within the host country if they can demonstrate and justify that there are essential distinctions between the identified specific geographical area and rest of the host country. For example, such distinctions may include certain benefits that make the Article 6.4 activity financially/economically more attractive (e.g., subsidies or other financial flows), different climatic conditions, or unfeasible distances to transport the solid waste.</w:t>
      </w:r>
    </w:p>
    <w:p w14:paraId="310CDD13" w14:textId="77777777" w:rsidR="004334D2" w:rsidRDefault="004334D2" w:rsidP="00E74944">
      <w:pPr>
        <w:pStyle w:val="SDMHead5"/>
      </w:pPr>
      <w:r>
        <w:t>Step 2. Identification of t</w:t>
      </w:r>
      <w:r w:rsidRPr="00B33DF5">
        <w:t>echnologies and/or practices</w:t>
      </w:r>
      <w:r>
        <w:t xml:space="preserve"> available in the baseline </w:t>
      </w:r>
      <w:r w:rsidRPr="00E74944">
        <w:t>geographical</w:t>
      </w:r>
      <w:r>
        <w:t xml:space="preserve"> reference area</w:t>
      </w:r>
    </w:p>
    <w:p w14:paraId="7C7CD1F3" w14:textId="5E70750A" w:rsidR="00426CAE" w:rsidRDefault="004334D2" w:rsidP="00E66E80">
      <w:pPr>
        <w:pStyle w:val="SDMPara"/>
      </w:pPr>
      <w:r>
        <w:t>Activity participants shall identify the technologies and/or practices</w:t>
      </w:r>
      <w:r w:rsidR="006638A5">
        <w:t xml:space="preserve">, </w:t>
      </w:r>
      <w:r>
        <w:t>including combinations</w:t>
      </w:r>
      <w:r w:rsidR="006638A5">
        <w:t xml:space="preserve"> of technologies and/or practices, </w:t>
      </w:r>
      <w:r>
        <w:t xml:space="preserve">that are available </w:t>
      </w:r>
      <w:r w:rsidR="006638A5">
        <w:t>for solid waste treatment</w:t>
      </w:r>
      <w:r>
        <w:t xml:space="preserve"> in the baseline geographical reference area</w:t>
      </w:r>
      <w:r w:rsidR="0029165C">
        <w:t>,</w:t>
      </w:r>
      <w:r>
        <w:t xml:space="preserve"> and which can deliver the same solid waste treatment capacity.</w:t>
      </w:r>
    </w:p>
    <w:p w14:paraId="56746C36" w14:textId="35635FCA" w:rsidR="00426CAE" w:rsidRDefault="00914258" w:rsidP="00E66E80">
      <w:pPr>
        <w:pStyle w:val="SDMPara"/>
      </w:pPr>
      <w:r>
        <w:t>Available technologies and/or practices are those that are accessible off the shelf, via a tendering or direct contracting process, or by direct implementation by an end user within the boundary of potential Article 6.4 activities.</w:t>
      </w:r>
    </w:p>
    <w:p w14:paraId="7524D329" w14:textId="405EA25F" w:rsidR="00426CAE" w:rsidRDefault="00914258" w:rsidP="00DA05CE">
      <w:pPr>
        <w:pStyle w:val="SDMPara"/>
        <w:keepNext/>
      </w:pPr>
      <w:r>
        <w:t>T</w:t>
      </w:r>
      <w:r w:rsidR="004334D2">
        <w:t xml:space="preserve">echnologies and/or practices </w:t>
      </w:r>
      <w:r>
        <w:t xml:space="preserve">that may be available for solid waste treatment </w:t>
      </w:r>
      <w:r w:rsidR="004334D2">
        <w:t>include, but are not limited to</w:t>
      </w:r>
      <w:r>
        <w:t>:</w:t>
      </w:r>
    </w:p>
    <w:p w14:paraId="38193DEA" w14:textId="0F70CAE8" w:rsidR="00914258" w:rsidRDefault="00914258" w:rsidP="00E66E80">
      <w:pPr>
        <w:pStyle w:val="SDMSubPara1"/>
      </w:pPr>
      <w:r>
        <w:t xml:space="preserve">Disposal </w:t>
      </w:r>
      <w:r w:rsidR="004334D2">
        <w:t xml:space="preserve">in </w:t>
      </w:r>
      <w:r>
        <w:t xml:space="preserve">a </w:t>
      </w:r>
      <w:r w:rsidR="004334D2">
        <w:t>managed SWDS</w:t>
      </w:r>
      <w:r>
        <w:t>,</w:t>
      </w:r>
      <w:r w:rsidR="004334D2">
        <w:t xml:space="preserve"> with </w:t>
      </w:r>
      <w:r>
        <w:t xml:space="preserve">and </w:t>
      </w:r>
      <w:r w:rsidR="004334D2">
        <w:t>without LFG collection and destruction</w:t>
      </w:r>
      <w:r>
        <w:t>;</w:t>
      </w:r>
    </w:p>
    <w:p w14:paraId="5D5C3306" w14:textId="701E7149" w:rsidR="00914258" w:rsidRDefault="00914258" w:rsidP="00E66E80">
      <w:pPr>
        <w:pStyle w:val="SDMSubPara1"/>
      </w:pPr>
      <w:r>
        <w:t>I</w:t>
      </w:r>
      <w:r w:rsidR="004334D2">
        <w:t>ncineration of solid waste</w:t>
      </w:r>
      <w:r>
        <w:t>,</w:t>
      </w:r>
      <w:r w:rsidR="004334D2">
        <w:t xml:space="preserve"> with and without </w:t>
      </w:r>
      <w:r>
        <w:t xml:space="preserve">energy </w:t>
      </w:r>
      <w:r w:rsidR="004334D2">
        <w:t>recovery</w:t>
      </w:r>
      <w:r>
        <w:t>;</w:t>
      </w:r>
    </w:p>
    <w:p w14:paraId="7589EF63" w14:textId="77777777" w:rsidR="00426CAE" w:rsidRDefault="00914258" w:rsidP="00E66E80">
      <w:pPr>
        <w:pStyle w:val="SDMSubPara1"/>
      </w:pPr>
      <w:r>
        <w:t>C</w:t>
      </w:r>
      <w:r w:rsidR="004334D2">
        <w:t>omposting of solid waste</w:t>
      </w:r>
      <w:r>
        <w:t>;</w:t>
      </w:r>
    </w:p>
    <w:p w14:paraId="7A9FE987" w14:textId="77777777" w:rsidR="00426CAE" w:rsidRDefault="00914258" w:rsidP="00E66E80">
      <w:pPr>
        <w:pStyle w:val="SDMSubPara1"/>
        <w:rPr>
          <w:lang w:val="en-US"/>
        </w:rPr>
      </w:pPr>
      <w:r>
        <w:rPr>
          <w:lang w:val="en-US"/>
        </w:rPr>
        <w:t xml:space="preserve">Production </w:t>
      </w:r>
      <w:r w:rsidR="004334D2">
        <w:rPr>
          <w:lang w:val="en-US"/>
        </w:rPr>
        <w:t>of residue derived fuel (RDF</w:t>
      </w:r>
      <w:r>
        <w:rPr>
          <w:lang w:val="en-US"/>
        </w:rPr>
        <w:t>);</w:t>
      </w:r>
    </w:p>
    <w:p w14:paraId="17D3FAEF" w14:textId="77777777" w:rsidR="00426CAE" w:rsidRDefault="00914258" w:rsidP="00E66E80">
      <w:pPr>
        <w:pStyle w:val="SDMSubPara1"/>
      </w:pPr>
      <w:r>
        <w:t xml:space="preserve">Treatment </w:t>
      </w:r>
      <w:r w:rsidR="004334D2">
        <w:t>of solid waste in anaerobic reactors</w:t>
      </w:r>
      <w:r>
        <w:t>,</w:t>
      </w:r>
      <w:r w:rsidR="004334D2">
        <w:t xml:space="preserve"> with and without recovery of the biogas for energy generation</w:t>
      </w:r>
      <w:r>
        <w:t>;</w:t>
      </w:r>
    </w:p>
    <w:p w14:paraId="1094F479" w14:textId="77777777" w:rsidR="00426CAE" w:rsidRDefault="00914258" w:rsidP="00E66E80">
      <w:pPr>
        <w:pStyle w:val="SDMSubPara1"/>
      </w:pPr>
      <w:r>
        <w:t>G</w:t>
      </w:r>
      <w:r w:rsidR="004334D2">
        <w:t xml:space="preserve">asification of solid waste, </w:t>
      </w:r>
      <w:r>
        <w:t>with and without energy recovery;</w:t>
      </w:r>
    </w:p>
    <w:p w14:paraId="3AD75D55" w14:textId="77777777" w:rsidR="00426CAE" w:rsidRDefault="00914258" w:rsidP="00E66E80">
      <w:pPr>
        <w:pStyle w:val="SDMSubPara1"/>
      </w:pPr>
      <w:r>
        <w:t xml:space="preserve">Pyrolysis </w:t>
      </w:r>
      <w:r w:rsidR="004334D2">
        <w:t>of solid waste</w:t>
      </w:r>
      <w:r>
        <w:t>,</w:t>
      </w:r>
      <w:r w:rsidR="004334D2">
        <w:t xml:space="preserve"> with </w:t>
      </w:r>
      <w:r>
        <w:t xml:space="preserve">and </w:t>
      </w:r>
      <w:r w:rsidR="004334D2">
        <w:t>without energy recovery</w:t>
      </w:r>
      <w:r>
        <w:t>;</w:t>
      </w:r>
      <w:r w:rsidR="004334D2">
        <w:t xml:space="preserve"> and</w:t>
      </w:r>
    </w:p>
    <w:p w14:paraId="5589E6FC" w14:textId="08FF07B5" w:rsidR="004334D2" w:rsidRDefault="00914258" w:rsidP="00E66E80">
      <w:pPr>
        <w:pStyle w:val="SDMSubPara1"/>
      </w:pPr>
      <w:r>
        <w:t xml:space="preserve">Treatment </w:t>
      </w:r>
      <w:r w:rsidR="004334D2">
        <w:t>of the solid waste using plasma.</w:t>
      </w:r>
    </w:p>
    <w:p w14:paraId="266F3D85" w14:textId="77777777" w:rsidR="004334D2" w:rsidRDefault="004334D2" w:rsidP="00E74944">
      <w:pPr>
        <w:pStyle w:val="SDMHead5"/>
      </w:pPr>
      <w:r>
        <w:t xml:space="preserve">Step 3. </w:t>
      </w:r>
      <w:r w:rsidRPr="00E74944">
        <w:t>Identification</w:t>
      </w:r>
      <w:r>
        <w:t xml:space="preserve"> of the environmentally sound technologies</w:t>
      </w:r>
    </w:p>
    <w:p w14:paraId="1497E758" w14:textId="63189B19" w:rsidR="004334D2" w:rsidRDefault="004334D2" w:rsidP="00E66E80">
      <w:pPr>
        <w:pStyle w:val="SDMPara"/>
      </w:pPr>
      <w:r>
        <w:t xml:space="preserve">Out of the technologies and/or practices identified </w:t>
      </w:r>
      <w:r w:rsidR="00914258">
        <w:t xml:space="preserve">as available </w:t>
      </w:r>
      <w:r>
        <w:t>in Step 2 above, activity participants shall exclude from the analysis those that are not in line with legal requirements in the applicable baseline geographical reference area. For example, this may apply to waste treatment facilities that are not in compliance with limits or thresholds for atmospheric emissions (</w:t>
      </w:r>
      <w:r w:rsidR="00914258">
        <w:t xml:space="preserve">e.g., </w:t>
      </w:r>
      <w:r>
        <w:t>N</w:t>
      </w:r>
      <w:r w:rsidR="00A67FD8">
        <w:t>O</w:t>
      </w:r>
      <w:r>
        <w:t>x, VOCs, particulates and black carbon, etc</w:t>
      </w:r>
      <w:r w:rsidR="00914258">
        <w:t>.</w:t>
      </w:r>
      <w:r>
        <w:t xml:space="preserve">), </w:t>
      </w:r>
      <w:r w:rsidR="00914258">
        <w:t xml:space="preserve">the </w:t>
      </w:r>
      <w:r>
        <w:t xml:space="preserve">proper management of leachate and wastewater, </w:t>
      </w:r>
      <w:r w:rsidR="00914258">
        <w:t xml:space="preserve">the </w:t>
      </w:r>
      <w:r>
        <w:t xml:space="preserve">proper management of odour, </w:t>
      </w:r>
      <w:r w:rsidR="00914258">
        <w:t xml:space="preserve">and the </w:t>
      </w:r>
      <w:r>
        <w:t>proper management of noise.</w:t>
      </w:r>
    </w:p>
    <w:p w14:paraId="2292CE26" w14:textId="77777777" w:rsidR="004334D2" w:rsidRDefault="004334D2" w:rsidP="00E74944">
      <w:pPr>
        <w:pStyle w:val="SDMHead5"/>
      </w:pPr>
      <w:r>
        <w:t>Step 4. Identification of the economically viable technologies</w:t>
      </w:r>
    </w:p>
    <w:p w14:paraId="74FB3D9A" w14:textId="6D748AC3" w:rsidR="004334D2" w:rsidRDefault="004334D2" w:rsidP="00E66E80">
      <w:pPr>
        <w:pStyle w:val="SDMPara"/>
      </w:pPr>
      <w:r>
        <w:t xml:space="preserve">Out of the technologies and/or practices that are </w:t>
      </w:r>
      <w:r w:rsidR="00914258">
        <w:t xml:space="preserve">identified as </w:t>
      </w:r>
      <w:r>
        <w:t xml:space="preserve">environmentally sound in Step 3 above, activity participants shall further identify those that are deemed economically viable </w:t>
      </w:r>
      <w:r w:rsidR="00914258">
        <w:t>(</w:t>
      </w:r>
      <w:r>
        <w:t>i.e.</w:t>
      </w:r>
      <w:r w:rsidR="00914258">
        <w:t>,</w:t>
      </w:r>
      <w:r>
        <w:t xml:space="preserve"> </w:t>
      </w:r>
      <w:r w:rsidR="00914258">
        <w:t xml:space="preserve">those </w:t>
      </w:r>
      <w:r>
        <w:t>that provide sufficient returns to cover investment, operations</w:t>
      </w:r>
      <w:r w:rsidR="00914258">
        <w:t>, and</w:t>
      </w:r>
      <w:r>
        <w:t xml:space="preserve"> maintenance costs</w:t>
      </w:r>
      <w:r w:rsidR="00914258">
        <w:t>)</w:t>
      </w:r>
      <w:r>
        <w:t>.</w:t>
      </w:r>
    </w:p>
    <w:p w14:paraId="657726D1" w14:textId="6308AD0C" w:rsidR="004334D2" w:rsidRDefault="004334D2" w:rsidP="00DA05CE">
      <w:pPr>
        <w:pStyle w:val="SDMPara"/>
        <w:keepNext/>
      </w:pPr>
      <w:r>
        <w:t>Technologies and/or practices are deemed economically viable if</w:t>
      </w:r>
      <w:r w:rsidR="00914258">
        <w:t xml:space="preserve"> they</w:t>
      </w:r>
      <w:r>
        <w:t>:</w:t>
      </w:r>
    </w:p>
    <w:p w14:paraId="27191318" w14:textId="5044AD76" w:rsidR="004334D2" w:rsidRDefault="00324002" w:rsidP="00E66E80">
      <w:pPr>
        <w:pStyle w:val="SDMSubPara1"/>
      </w:pPr>
      <w:r>
        <w:t>H</w:t>
      </w:r>
      <w:r w:rsidR="008F569D">
        <w:t>ave</w:t>
      </w:r>
      <w:r w:rsidR="004334D2">
        <w:t xml:space="preserve"> been implemented</w:t>
      </w:r>
      <w:r w:rsidR="004334D2" w:rsidDel="00FA0295">
        <w:t xml:space="preserve"> </w:t>
      </w:r>
      <w:r w:rsidR="00B50539" w:rsidRPr="00B50539">
        <w:t xml:space="preserve">under prevailing market conditions without significant subsidies by </w:t>
      </w:r>
      <w:r w:rsidR="008165D2">
        <w:t xml:space="preserve">at least </w:t>
      </w:r>
      <w:r w:rsidR="00B50539" w:rsidRPr="00B50539">
        <w:t>one facility</w:t>
      </w:r>
      <w:r w:rsidR="004334D2" w:rsidDel="00FA0295">
        <w:t xml:space="preserve"> </w:t>
      </w:r>
      <w:r w:rsidR="004334D2">
        <w:t>within the applicable baseline geographical reference area without the revenues from carbon credits or other incentives; or</w:t>
      </w:r>
    </w:p>
    <w:p w14:paraId="6E6AC14E" w14:textId="77777777" w:rsidR="00426CAE" w:rsidRDefault="00914258" w:rsidP="00E66E80">
      <w:pPr>
        <w:pStyle w:val="SDMSubPara1"/>
      </w:pPr>
      <w:bookmarkStart w:id="197" w:name="_Ref210072039"/>
      <w:r>
        <w:t>A</w:t>
      </w:r>
      <w:r w:rsidR="004334D2">
        <w:t>re accessible off the shelf or via tendering within the applicable baseline geographical reference area</w:t>
      </w:r>
      <w:r w:rsidR="004477A4">
        <w:t xml:space="preserve">, on terms that </w:t>
      </w:r>
      <w:r w:rsidR="004334D2">
        <w:t>are economically viable when compared against a benchmark.</w:t>
      </w:r>
      <w:bookmarkEnd w:id="197"/>
    </w:p>
    <w:p w14:paraId="20D3B6C1" w14:textId="1636527F" w:rsidR="00426CAE" w:rsidRDefault="004477A4" w:rsidP="00DA05CE">
      <w:pPr>
        <w:pStyle w:val="SDMPara"/>
        <w:keepNext/>
      </w:pPr>
      <w:r>
        <w:t xml:space="preserve">To identify the economic viability of a technology or practice under paragraph </w:t>
      </w:r>
      <w:r>
        <w:fldChar w:fldCharType="begin"/>
      </w:r>
      <w:r>
        <w:instrText xml:space="preserve"> REF _Ref210072039 \w \h </w:instrText>
      </w:r>
      <w:r>
        <w:fldChar w:fldCharType="separate"/>
      </w:r>
      <w:r w:rsidR="00302468">
        <w:rPr>
          <w:cs/>
        </w:rPr>
        <w:t>‎</w:t>
      </w:r>
      <w:r w:rsidR="00302468">
        <w:t>49(b)</w:t>
      </w:r>
      <w:r>
        <w:fldChar w:fldCharType="end"/>
      </w:r>
      <w:r>
        <w:t>, activity participants shall conduct an</w:t>
      </w:r>
      <w:r w:rsidR="004334D2">
        <w:t xml:space="preserve"> investment analysis</w:t>
      </w:r>
      <w:r w:rsidR="006A1661">
        <w:t xml:space="preserve"> (using benchmark analysis approach)</w:t>
      </w:r>
      <w:r w:rsidR="004334D2">
        <w:t xml:space="preserve"> following the same requirements used for the additionality demonstration as per section </w:t>
      </w:r>
      <w:r w:rsidR="004334D2">
        <w:fldChar w:fldCharType="begin"/>
      </w:r>
      <w:r w:rsidR="004334D2">
        <w:instrText xml:space="preserve"> REF _Ref207824142 \r \p \h </w:instrText>
      </w:r>
      <w:r w:rsidR="004334D2">
        <w:fldChar w:fldCharType="separate"/>
      </w:r>
      <w:r w:rsidR="00302468">
        <w:rPr>
          <w:cs/>
        </w:rPr>
        <w:t>‎</w:t>
      </w:r>
      <w:r w:rsidR="00302468">
        <w:t>6.3.1 above</w:t>
      </w:r>
      <w:r w:rsidR="004334D2">
        <w:fldChar w:fldCharType="end"/>
      </w:r>
      <w:r w:rsidR="00871E40">
        <w:t xml:space="preserve"> and </w:t>
      </w:r>
      <w:r w:rsidR="004334D2">
        <w:t>shall</w:t>
      </w:r>
      <w:r>
        <w:t>:</w:t>
      </w:r>
    </w:p>
    <w:p w14:paraId="23C824AD" w14:textId="77777777" w:rsidR="00426CAE" w:rsidRDefault="004477A4" w:rsidP="00E66E80">
      <w:pPr>
        <w:pStyle w:val="SDMSubPara1"/>
      </w:pPr>
      <w:r>
        <w:t xml:space="preserve">Collect </w:t>
      </w:r>
      <w:r w:rsidR="00D31AAF">
        <w:t xml:space="preserve">relevant </w:t>
      </w:r>
      <w:r w:rsidR="004334D2">
        <w:t xml:space="preserve">information directly from technology </w:t>
      </w:r>
      <w:r>
        <w:t xml:space="preserve">or practice </w:t>
      </w:r>
      <w:r w:rsidR="004334D2">
        <w:t>suppliers</w:t>
      </w:r>
      <w:r>
        <w:t>; or</w:t>
      </w:r>
    </w:p>
    <w:p w14:paraId="6FA1C7BE" w14:textId="141C7BDA" w:rsidR="004477A4" w:rsidRDefault="004477A4" w:rsidP="00DA05CE">
      <w:pPr>
        <w:pStyle w:val="SDMSubPara1"/>
        <w:keepNext/>
      </w:pPr>
      <w:r>
        <w:t xml:space="preserve">Demonstrate that it </w:t>
      </w:r>
      <w:r w:rsidR="004334D2">
        <w:t xml:space="preserve">is not possible to collect </w:t>
      </w:r>
      <w:r w:rsidR="00D31AAF">
        <w:t xml:space="preserve">relevant </w:t>
      </w:r>
      <w:r w:rsidR="004334D2">
        <w:t>information</w:t>
      </w:r>
      <w:r>
        <w:t xml:space="preserve"> directly from technology or practice suppliers. In this case</w:t>
      </w:r>
      <w:r w:rsidR="004334D2">
        <w:t>, activity participants</w:t>
      </w:r>
      <w:r>
        <w:t>:</w:t>
      </w:r>
    </w:p>
    <w:p w14:paraId="7289F279" w14:textId="77777777" w:rsidR="00426CAE" w:rsidRDefault="004477A4" w:rsidP="00E66E80">
      <w:pPr>
        <w:pStyle w:val="SDMSubPara2"/>
      </w:pPr>
      <w:r>
        <w:t>M</w:t>
      </w:r>
      <w:r w:rsidR="004334D2">
        <w:t>ay determine costs from similar facilities located outside of the baseline geographical reference area</w:t>
      </w:r>
      <w:r>
        <w:t>,</w:t>
      </w:r>
      <w:r w:rsidR="004334D2">
        <w:t xml:space="preserve"> or from peer reviewed studies and papers</w:t>
      </w:r>
      <w:r>
        <w:t>; and</w:t>
      </w:r>
    </w:p>
    <w:p w14:paraId="29968CBF" w14:textId="1D0C0E36" w:rsidR="00871E40" w:rsidRDefault="00871E40" w:rsidP="00E66E80">
      <w:pPr>
        <w:pStyle w:val="SDMSubPara2"/>
      </w:pPr>
      <w:r>
        <w:t>Shall provide proper justification that any such information can reasonably be applied in the baseline geographical reference area.</w:t>
      </w:r>
    </w:p>
    <w:p w14:paraId="3F0A2ACF" w14:textId="77777777" w:rsidR="004334D2" w:rsidRDefault="004334D2" w:rsidP="00E74944">
      <w:pPr>
        <w:pStyle w:val="SDMHead5"/>
      </w:pPr>
      <w:r>
        <w:t xml:space="preserve">Step 5. </w:t>
      </w:r>
      <w:r w:rsidRPr="00E74944">
        <w:t>Define</w:t>
      </w:r>
      <w:r>
        <w:t xml:space="preserve"> the emissions intensity of each of the remaining technologies</w:t>
      </w:r>
    </w:p>
    <w:p w14:paraId="69C5BCAD" w14:textId="77777777" w:rsidR="00426CAE" w:rsidRDefault="004334D2" w:rsidP="00DA05CE">
      <w:pPr>
        <w:pStyle w:val="SDMPara"/>
        <w:keepNext/>
      </w:pPr>
      <w:bookmarkStart w:id="198" w:name="_Ref210072548"/>
      <w:r>
        <w:t>Out of the economically viable technologies and/or practices identified in Step 4, activity participants shall determine the emissions intensity per tonne of waste treated</w:t>
      </w:r>
      <w:r w:rsidR="004477A4">
        <w:t xml:space="preserve"> and shall:</w:t>
      </w:r>
      <w:bookmarkEnd w:id="198"/>
    </w:p>
    <w:p w14:paraId="03ABA621" w14:textId="77777777" w:rsidR="00426CAE" w:rsidRDefault="004477A4" w:rsidP="00E66E80">
      <w:pPr>
        <w:pStyle w:val="SDMSubPara1"/>
      </w:pPr>
      <w:r>
        <w:t xml:space="preserve">Collect </w:t>
      </w:r>
      <w:r w:rsidR="00D31AAF">
        <w:t xml:space="preserve">relevant </w:t>
      </w:r>
      <w:r>
        <w:t>information directly from technology or practice suppliers; or</w:t>
      </w:r>
    </w:p>
    <w:p w14:paraId="55082267" w14:textId="34FDB23D" w:rsidR="004477A4" w:rsidRDefault="004477A4" w:rsidP="00DA05CE">
      <w:pPr>
        <w:pStyle w:val="SDMSubPara1"/>
        <w:keepNext/>
      </w:pPr>
      <w:r>
        <w:t xml:space="preserve">Demonstrate that it is not possible to collect </w:t>
      </w:r>
      <w:r w:rsidR="00D31AAF">
        <w:t xml:space="preserve">relevant </w:t>
      </w:r>
      <w:r>
        <w:t>information directly from technology or practice suppliers. In this case, activity participants:</w:t>
      </w:r>
    </w:p>
    <w:p w14:paraId="0A5B6E7A" w14:textId="77777777" w:rsidR="00426CAE" w:rsidRDefault="004477A4" w:rsidP="00E66E80">
      <w:pPr>
        <w:pStyle w:val="SDMSubPara2"/>
      </w:pPr>
      <w:r>
        <w:t>May determine the emissions intensity from similar facilities located outside of the baseline geographical reference area, or from peer reviewed studies and papers; and</w:t>
      </w:r>
    </w:p>
    <w:p w14:paraId="6A4DD02F" w14:textId="2953AE88" w:rsidR="00871E40" w:rsidRDefault="00871E40" w:rsidP="00E66E80">
      <w:pPr>
        <w:pStyle w:val="SDMSubPara2"/>
      </w:pPr>
      <w:r>
        <w:t>Shall provide proper justification that any such information can reasonably be applied in the baseline geographical reference area.</w:t>
      </w:r>
    </w:p>
    <w:p w14:paraId="19ACFB7B" w14:textId="77777777" w:rsidR="00426CAE" w:rsidRDefault="004334D2" w:rsidP="00DA05CE">
      <w:pPr>
        <w:pStyle w:val="SDMPara"/>
        <w:keepNext/>
      </w:pPr>
      <w:bookmarkStart w:id="199" w:name="_Ref211025517"/>
      <w:r>
        <w:t>In case managed SWDS</w:t>
      </w:r>
      <w:r w:rsidR="004477A4">
        <w:t>s</w:t>
      </w:r>
      <w:r>
        <w:t xml:space="preserve"> are identified </w:t>
      </w:r>
      <w:r w:rsidR="004477A4">
        <w:t xml:space="preserve">by the analysis required under </w:t>
      </w:r>
      <w:r w:rsidR="003370AC">
        <w:t>Steps 3 and 4 above</w:t>
      </w:r>
      <w:r>
        <w:t xml:space="preserve">, then </w:t>
      </w:r>
      <w:r w:rsidR="004477A4">
        <w:t xml:space="preserve">the </w:t>
      </w:r>
      <w:r>
        <w:t xml:space="preserve">emission intensity </w:t>
      </w:r>
      <w:r w:rsidR="004477A4">
        <w:t xml:space="preserve">of any managed SWDSs </w:t>
      </w:r>
      <w:r>
        <w:t>shall be determined as</w:t>
      </w:r>
      <w:r w:rsidR="00D654C8">
        <w:t xml:space="preserve"> follows</w:t>
      </w:r>
      <w:r w:rsidR="0036086C">
        <w:t>:</w:t>
      </w:r>
      <w:bookmarkEnd w:id="199"/>
    </w:p>
    <w:p w14:paraId="437C6EDB" w14:textId="77777777" w:rsidR="00426CAE" w:rsidRPr="001F1DBF" w:rsidRDefault="007C1C2C" w:rsidP="00DA05CE">
      <w:pPr>
        <w:pStyle w:val="SDMSubPara1"/>
        <w:keepNext/>
      </w:pPr>
      <w:bookmarkStart w:id="200" w:name="_Ref210072705"/>
      <w:r>
        <w:t xml:space="preserve">Identify </w:t>
      </w:r>
      <w:r w:rsidRPr="001F1DBF">
        <w:t xml:space="preserve">the </w:t>
      </w:r>
      <w:r w:rsidR="005D0773" w:rsidRPr="001F1DBF">
        <w:t>f</w:t>
      </w:r>
      <w:r w:rsidRPr="001F1DBF">
        <w:t>ollowing</w:t>
      </w:r>
      <w:r w:rsidR="0036086C" w:rsidRPr="001F1DBF">
        <w:t>:</w:t>
      </w:r>
      <w:bookmarkEnd w:id="200"/>
    </w:p>
    <w:p w14:paraId="08A6EBAA" w14:textId="77777777" w:rsidR="00426CAE" w:rsidRPr="001F1DBF" w:rsidRDefault="00EE4D66" w:rsidP="00E66E80">
      <w:pPr>
        <w:pStyle w:val="SDMSubPara2"/>
      </w:pPr>
      <w:r w:rsidRPr="001F1DBF">
        <w:t xml:space="preserve">(A): </w:t>
      </w:r>
      <w:r w:rsidR="0036086C" w:rsidRPr="001F1DBF">
        <w:t xml:space="preserve">The </w:t>
      </w:r>
      <w:r w:rsidR="004334D2" w:rsidRPr="001F1DBF">
        <w:t xml:space="preserve">estimated methane </w:t>
      </w:r>
      <w:r w:rsidR="00830FA3" w:rsidRPr="001F1DBF">
        <w:t xml:space="preserve">generated </w:t>
      </w:r>
      <w:r w:rsidR="004334D2" w:rsidRPr="001F1DBF">
        <w:t>using the solid waste tool throughout the total duration of the crediting period (</w:t>
      </w:r>
      <w:r w:rsidR="0036086C" w:rsidRPr="001F1DBF">
        <w:t xml:space="preserve">i.e., </w:t>
      </w:r>
      <w:r w:rsidR="004334D2" w:rsidRPr="001F1DBF">
        <w:t>10 or 15 years</w:t>
      </w:r>
      <w:r w:rsidR="0036086C" w:rsidRPr="001F1DBF">
        <w:t>, as applicable</w:t>
      </w:r>
      <w:r w:rsidR="004334D2" w:rsidRPr="001F1DBF">
        <w:t>)</w:t>
      </w:r>
      <w:r w:rsidR="0036086C" w:rsidRPr="001F1DBF">
        <w:t>;</w:t>
      </w:r>
    </w:p>
    <w:p w14:paraId="15E3339D" w14:textId="77777777" w:rsidR="00426CAE" w:rsidRPr="001F1DBF" w:rsidRDefault="00EE4D66" w:rsidP="00E66E80">
      <w:pPr>
        <w:pStyle w:val="SDMSubPara2"/>
      </w:pPr>
      <w:r w:rsidRPr="001F1DBF">
        <w:t xml:space="preserve">(B): </w:t>
      </w:r>
      <w:r w:rsidR="0036086C" w:rsidRPr="001F1DBF">
        <w:t xml:space="preserve">The </w:t>
      </w:r>
      <w:r w:rsidR="004334D2" w:rsidRPr="001F1DBF">
        <w:t>GWP of methane</w:t>
      </w:r>
      <w:r w:rsidR="0036086C" w:rsidRPr="001F1DBF">
        <w:t>;</w:t>
      </w:r>
    </w:p>
    <w:p w14:paraId="2E109AE7" w14:textId="62208D8D" w:rsidR="0036086C" w:rsidRPr="001F1DBF" w:rsidRDefault="00EE4D66" w:rsidP="00E66E80">
      <w:pPr>
        <w:pStyle w:val="SDMSubPara2"/>
      </w:pPr>
      <w:r w:rsidRPr="001F1DBF">
        <w:t xml:space="preserve">(C): </w:t>
      </w:r>
      <w:r w:rsidR="0036086C" w:rsidRPr="001F1DBF">
        <w:t>T</w:t>
      </w:r>
      <w:r w:rsidR="004334D2" w:rsidRPr="001F1DBF">
        <w:t>he average collection efficiency of an LFG destruction system</w:t>
      </w:r>
      <w:r w:rsidRPr="001F1DBF">
        <w:t>;</w:t>
      </w:r>
      <w:r w:rsidR="004334D2" w:rsidRPr="001F1DBF">
        <w:t xml:space="preserve"> </w:t>
      </w:r>
      <w:r w:rsidR="0036086C" w:rsidRPr="001F1DBF">
        <w:t>and</w:t>
      </w:r>
    </w:p>
    <w:p w14:paraId="633F925E" w14:textId="685D5742" w:rsidR="0036086C" w:rsidRPr="001F1DBF" w:rsidRDefault="00EE4D66" w:rsidP="00E66E80">
      <w:pPr>
        <w:pStyle w:val="SDMSubPara2"/>
      </w:pPr>
      <w:r w:rsidRPr="001F1DBF">
        <w:t xml:space="preserve">(D): </w:t>
      </w:r>
      <w:r w:rsidR="0036086C" w:rsidRPr="001F1DBF" w:rsidDel="00AD1BC2">
        <w:t>E</w:t>
      </w:r>
      <w:r w:rsidR="0036086C" w:rsidRPr="001F1DBF">
        <w:t xml:space="preserve">ither a parameter describing the methane destruction </w:t>
      </w:r>
      <w:r w:rsidR="004334D2" w:rsidRPr="001F1DBF">
        <w:t xml:space="preserve">efficiency of </w:t>
      </w:r>
      <w:r w:rsidR="0036086C" w:rsidRPr="001F1DBF">
        <w:t xml:space="preserve">a </w:t>
      </w:r>
      <w:r w:rsidR="004334D2" w:rsidRPr="001F1DBF">
        <w:t>flare or 100</w:t>
      </w:r>
      <w:r w:rsidR="003F7966" w:rsidRPr="001F1DBF">
        <w:t xml:space="preserve"> per cent</w:t>
      </w:r>
      <w:r w:rsidR="004334D2" w:rsidRPr="001F1DBF">
        <w:t xml:space="preserve"> for energy utilization</w:t>
      </w:r>
      <w:r w:rsidR="0036086C" w:rsidRPr="001F1DBF">
        <w:t>, as applicable</w:t>
      </w:r>
      <w:r w:rsidR="00D05275" w:rsidRPr="001F1DBF">
        <w:t>;</w:t>
      </w:r>
    </w:p>
    <w:p w14:paraId="6DB06A2A" w14:textId="5348A737" w:rsidR="00D05275" w:rsidRPr="001F1DBF" w:rsidRDefault="00D05275" w:rsidP="00E66E80">
      <w:pPr>
        <w:pStyle w:val="SDMSubPara2"/>
      </w:pPr>
      <w:r w:rsidRPr="001F1DBF">
        <w:t xml:space="preserve">(E): </w:t>
      </w:r>
      <w:r w:rsidR="000B4E54" w:rsidRPr="001F1DBF">
        <w:t>T</w:t>
      </w:r>
      <w:r w:rsidRPr="001F1DBF">
        <w:t>he amount of waste that would be delivered to the SWDS through the total duration of the crediting period (i.e., 10 or 15 years, as applicable)</w:t>
      </w:r>
      <w:r w:rsidR="007F4BA4" w:rsidRPr="001F1DBF">
        <w:t>.</w:t>
      </w:r>
    </w:p>
    <w:p w14:paraId="049F0A5D" w14:textId="1EB5629D" w:rsidR="00DC6E4F" w:rsidRPr="001F1DBF" w:rsidRDefault="003E31C9" w:rsidP="00E66E80">
      <w:pPr>
        <w:pStyle w:val="SDMSubPara1"/>
      </w:pPr>
      <w:r w:rsidRPr="001F1DBF">
        <w:t xml:space="preserve">Calculate the emissions intensity as </w:t>
      </w:r>
      <w:r w:rsidR="00F61717" w:rsidRPr="001F1DBF">
        <w:t xml:space="preserve">[A x B x C x (1 – D) + </w:t>
      </w:r>
      <w:r w:rsidR="0064415C" w:rsidRPr="001F1DBF">
        <w:t>A x B x (1 – C)] / E</w:t>
      </w:r>
      <w:r w:rsidR="00D60B17" w:rsidRPr="001F1DBF">
        <w:t>.</w:t>
      </w:r>
    </w:p>
    <w:p w14:paraId="3C6C6098" w14:textId="53415CCA" w:rsidR="004334D2" w:rsidRDefault="004334D2" w:rsidP="00E74944">
      <w:pPr>
        <w:pStyle w:val="SDMHead5"/>
      </w:pPr>
      <w:bookmarkStart w:id="201" w:name="_Ref208334910"/>
      <w:r>
        <w:t>Step 6. Selection of the B</w:t>
      </w:r>
      <w:r w:rsidR="001F1DBF">
        <w:t xml:space="preserve">est </w:t>
      </w:r>
      <w:r>
        <w:t>A</w:t>
      </w:r>
      <w:r w:rsidR="001F1DBF">
        <w:t xml:space="preserve">vailable </w:t>
      </w:r>
      <w:r>
        <w:t>T</w:t>
      </w:r>
      <w:bookmarkEnd w:id="201"/>
      <w:r w:rsidR="001F1DBF">
        <w:t>echnology</w:t>
      </w:r>
    </w:p>
    <w:p w14:paraId="24C2767F" w14:textId="77777777" w:rsidR="004334D2" w:rsidRDefault="004334D2" w:rsidP="00E66E80">
      <w:pPr>
        <w:pStyle w:val="SDMPara"/>
      </w:pPr>
      <w:r>
        <w:t>The technology that constitutes the BAT is the one with the lowest emission intensity among those that are economically feasible and environmentally sound.</w:t>
      </w:r>
    </w:p>
    <w:p w14:paraId="5348A05B" w14:textId="273F5A80" w:rsidR="004334D2" w:rsidRDefault="004334D2" w:rsidP="00E74944">
      <w:pPr>
        <w:pStyle w:val="SDMHead4"/>
      </w:pPr>
      <w:bookmarkStart w:id="202" w:name="_Ref207404259"/>
      <w:bookmarkStart w:id="203" w:name="_Ref206700572"/>
      <w:r>
        <w:t xml:space="preserve">Identification of the baseline scenario for electricity generation replacing electricity generated in new </w:t>
      </w:r>
      <w:r w:rsidRPr="00E74944">
        <w:t>captive</w:t>
      </w:r>
      <w:r>
        <w:t xml:space="preserve"> </w:t>
      </w:r>
      <w:r w:rsidR="00717FA2">
        <w:t xml:space="preserve">fossil fuel fired </w:t>
      </w:r>
      <w:r>
        <w:t>power plants</w:t>
      </w:r>
      <w:bookmarkEnd w:id="202"/>
    </w:p>
    <w:p w14:paraId="243CA212" w14:textId="769BF472" w:rsidR="004334D2" w:rsidRDefault="004334D2" w:rsidP="00DA05CE">
      <w:pPr>
        <w:pStyle w:val="SDMPara"/>
        <w:keepNext/>
      </w:pPr>
      <w:r>
        <w:t xml:space="preserve">Activity participants shall determine the best available technology and economically feasible and environmentally sound course of action for Article 6.4 activities that involve the </w:t>
      </w:r>
      <w:r w:rsidRPr="00BC0050">
        <w:t xml:space="preserve">electricity generation replacing </w:t>
      </w:r>
      <w:r>
        <w:t xml:space="preserve">the electricity generated in </w:t>
      </w:r>
      <w:r w:rsidRPr="00BC0050">
        <w:t xml:space="preserve">new captive </w:t>
      </w:r>
      <w:r w:rsidR="00717FA2">
        <w:t xml:space="preserve">fossil fuel fired </w:t>
      </w:r>
      <w:r w:rsidRPr="00BC0050">
        <w:t>power plants</w:t>
      </w:r>
      <w:r>
        <w:t xml:space="preserve"> based on the stepwise process described below:</w:t>
      </w:r>
    </w:p>
    <w:p w14:paraId="45224C4E" w14:textId="77777777" w:rsidR="004334D2" w:rsidRDefault="004334D2" w:rsidP="00E66E80">
      <w:pPr>
        <w:pStyle w:val="SDMHead5"/>
      </w:pPr>
      <w:r>
        <w:t>Step 1: Identification of the geographical area</w:t>
      </w:r>
    </w:p>
    <w:p w14:paraId="4FD615EA" w14:textId="1015B1E4" w:rsidR="004334D2" w:rsidRDefault="004334D2" w:rsidP="00E66E80">
      <w:pPr>
        <w:pStyle w:val="SDMPara"/>
      </w:pPr>
      <w:r>
        <w:t xml:space="preserve">The geographical area by default is the host </w:t>
      </w:r>
      <w:r w:rsidR="00C2197C">
        <w:t>c</w:t>
      </w:r>
      <w:r w:rsidRPr="00A26D30">
        <w:t>ountry</w:t>
      </w:r>
      <w:r w:rsidR="00746FB8" w:rsidRPr="00A26D30">
        <w:t xml:space="preserve"> </w:t>
      </w:r>
      <w:r w:rsidR="00746FB8" w:rsidRPr="00252774">
        <w:t>by default</w:t>
      </w:r>
      <w:r w:rsidRPr="00252774">
        <w:t>.</w:t>
      </w:r>
    </w:p>
    <w:p w14:paraId="63139A15" w14:textId="29E0F882" w:rsidR="004334D2" w:rsidRDefault="004334D2" w:rsidP="00E66E80">
      <w:pPr>
        <w:pStyle w:val="SDMPara"/>
      </w:pPr>
      <w:r>
        <w:t>Activity participants may choose to limit the baseline geographical reference area to a narrower specific geographical area (</w:t>
      </w:r>
      <w:r w:rsidR="0036086C">
        <w:t xml:space="preserve">e.g., a </w:t>
      </w:r>
      <w:r>
        <w:t xml:space="preserve">municipality, province, </w:t>
      </w:r>
      <w:r w:rsidR="0036086C">
        <w:t xml:space="preserve">or </w:t>
      </w:r>
      <w:r>
        <w:t>state) within the host country if they can demonstrate and justify that there are essential distinctions between the identified specific geographical area and rest of the host country. For example, such distinctions may include certain benefits that make the Article 6.4 activity financially/economically more attractive (e.g., subsidies or other financial flows).</w:t>
      </w:r>
    </w:p>
    <w:p w14:paraId="020AFCF0" w14:textId="77777777" w:rsidR="004334D2" w:rsidRDefault="004334D2" w:rsidP="00E66E80">
      <w:pPr>
        <w:pStyle w:val="SDMHead5"/>
      </w:pPr>
      <w:r>
        <w:t>Step 2. Identification of t</w:t>
      </w:r>
      <w:r w:rsidRPr="00B33DF5">
        <w:t>echnologies and/or practices</w:t>
      </w:r>
      <w:r>
        <w:t xml:space="preserve"> available in the geographical area</w:t>
      </w:r>
    </w:p>
    <w:p w14:paraId="4AFF338C" w14:textId="77777777" w:rsidR="00426CAE" w:rsidRDefault="001608DF" w:rsidP="00DA05CE">
      <w:pPr>
        <w:pStyle w:val="SDMPara"/>
        <w:keepNext/>
      </w:pPr>
      <w:bookmarkStart w:id="204" w:name="_Ref210741365"/>
      <w:r>
        <w:t>Activity participants shall identify the technologies and/or practices</w:t>
      </w:r>
      <w:r w:rsidR="002862C3">
        <w:t>, including combinations of technologies and/or practices, that:</w:t>
      </w:r>
    </w:p>
    <w:p w14:paraId="39A850E9" w14:textId="59AFDEB2" w:rsidR="002862C3" w:rsidRDefault="002862C3" w:rsidP="00E66E80">
      <w:pPr>
        <w:pStyle w:val="SDMSubPara1"/>
      </w:pPr>
      <w:r>
        <w:t>Are available in the baseline geographical reference area for electricity generation;</w:t>
      </w:r>
    </w:p>
    <w:p w14:paraId="5D3E9FB3" w14:textId="77777777" w:rsidR="00426CAE" w:rsidRDefault="002862C3" w:rsidP="00E66E80">
      <w:pPr>
        <w:pStyle w:val="SDMSubPara1"/>
      </w:pPr>
      <w:r>
        <w:t>Generate electricity in the same electrical grid and/or to serve the same users from the Article 6.4 activity; and</w:t>
      </w:r>
    </w:p>
    <w:p w14:paraId="47DD0C58" w14:textId="648A1930" w:rsidR="002862C3" w:rsidRDefault="002862C3" w:rsidP="00E66E80">
      <w:pPr>
        <w:pStyle w:val="SDMSubPara1"/>
      </w:pPr>
      <w:r>
        <w:t xml:space="preserve">Have </w:t>
      </w:r>
      <w:r w:rsidRPr="00760246">
        <w:t xml:space="preserve">the </w:t>
      </w:r>
      <w:r w:rsidR="001A5254" w:rsidRPr="00453F6A">
        <w:t xml:space="preserve">similar </w:t>
      </w:r>
      <w:r w:rsidRPr="00453F6A">
        <w:t>generation capacity</w:t>
      </w:r>
      <w:r w:rsidR="000F3480" w:rsidRPr="00453F6A">
        <w:t xml:space="preserve"> with up to +/- 15</w:t>
      </w:r>
      <w:r w:rsidR="00611A3E">
        <w:t xml:space="preserve"> per cent</w:t>
      </w:r>
      <w:r w:rsidR="000F3480" w:rsidRPr="00453F6A">
        <w:t xml:space="preserve"> difference</w:t>
      </w:r>
      <w:r w:rsidRPr="00760246">
        <w:t>; and</w:t>
      </w:r>
    </w:p>
    <w:p w14:paraId="7007FAB2" w14:textId="77777777" w:rsidR="00426CAE" w:rsidRDefault="00F36E44" w:rsidP="00E66E80">
      <w:pPr>
        <w:pStyle w:val="SDMSubPara1"/>
      </w:pPr>
      <w:r>
        <w:t>Activity participants shall i</w:t>
      </w:r>
      <w:r w:rsidR="002862C3">
        <w:t>ndicate the type of fuel used.</w:t>
      </w:r>
    </w:p>
    <w:bookmarkEnd w:id="204"/>
    <w:p w14:paraId="0E9C4217" w14:textId="25165E61" w:rsidR="00426CAE" w:rsidRDefault="0036086C" w:rsidP="00E66E80">
      <w:pPr>
        <w:pStyle w:val="SDMPara"/>
      </w:pPr>
      <w:r>
        <w:t>Available technologies and/or practices are those that are accessible off the shelf, via a tendering or direct contracting process, or by direct implementation by an end user within the boundary of potential Article 6.4 activities.</w:t>
      </w:r>
    </w:p>
    <w:p w14:paraId="6D4F055D" w14:textId="4B8D810A" w:rsidR="004334D2" w:rsidRDefault="004334D2" w:rsidP="00E66E80">
      <w:pPr>
        <w:pStyle w:val="SDMHead5"/>
      </w:pPr>
      <w:r>
        <w:t>Step 3. Identification of the environmentally sound technologies available in the geographical area</w:t>
      </w:r>
    </w:p>
    <w:p w14:paraId="0B8DB90C" w14:textId="77777777" w:rsidR="004334D2" w:rsidRDefault="004334D2" w:rsidP="00E66E80">
      <w:pPr>
        <w:pStyle w:val="SDMPara"/>
      </w:pPr>
      <w:r>
        <w:t>Out of the technologies and/or practices identified in Step 2 above, activity participants shall exclude from the analysis those that are not in line with legal requirements in the applicable geographical reference area. For example, this may apply to power plants that are not in compliance with limits or thresholds for atmospheric emissions (NOx, VOCs, particulates and black carbon, etc).</w:t>
      </w:r>
    </w:p>
    <w:p w14:paraId="5700C95D" w14:textId="77777777" w:rsidR="004334D2" w:rsidRDefault="004334D2" w:rsidP="00E66E80">
      <w:pPr>
        <w:pStyle w:val="SDMHead5"/>
      </w:pPr>
      <w:r>
        <w:t>Step 4. Identification of economically viable technologies in the geographical area</w:t>
      </w:r>
    </w:p>
    <w:p w14:paraId="5439E3FA" w14:textId="0EE60D9E" w:rsidR="004334D2" w:rsidRDefault="004334D2" w:rsidP="00E66E80">
      <w:pPr>
        <w:pStyle w:val="SDMPara"/>
      </w:pPr>
      <w:bookmarkStart w:id="205" w:name="_Ref210742953"/>
      <w:r>
        <w:t xml:space="preserve">Out of the technologies and/or practices that </w:t>
      </w:r>
      <w:r w:rsidR="00900BB5">
        <w:t xml:space="preserve">identified as </w:t>
      </w:r>
      <w:r>
        <w:t>environmentally sound in Step 3 above, activity participants shall further identify those</w:t>
      </w:r>
      <w:r w:rsidRPr="0038035B">
        <w:t xml:space="preserve"> </w:t>
      </w:r>
      <w:r>
        <w:t>that are deemed economically viable</w:t>
      </w:r>
      <w:r w:rsidR="00900BB5">
        <w:t xml:space="preserve"> (</w:t>
      </w:r>
      <w:r>
        <w:t>i.e.</w:t>
      </w:r>
      <w:r w:rsidR="00900BB5">
        <w:t>, those</w:t>
      </w:r>
      <w:r>
        <w:t xml:space="preserve"> that provide sufficient returns to cover investment, operations</w:t>
      </w:r>
      <w:r w:rsidR="00900BB5">
        <w:t>, and</w:t>
      </w:r>
      <w:r>
        <w:t xml:space="preserve"> maintenance costs</w:t>
      </w:r>
      <w:r w:rsidR="00900BB5">
        <w:t>)</w:t>
      </w:r>
      <w:r>
        <w:t>.</w:t>
      </w:r>
      <w:bookmarkEnd w:id="205"/>
    </w:p>
    <w:p w14:paraId="6EFDA5D5" w14:textId="3ECB642F" w:rsidR="00900BB5" w:rsidRDefault="00900BB5" w:rsidP="00E66E80">
      <w:pPr>
        <w:pStyle w:val="SDMPara"/>
      </w:pPr>
      <w:r>
        <w:t>Out of the technologies and/or practices that are identified as environmentally sound in Step 3 above, activity participants shall further identify those that are deemed economically viable (i.e., those that provide sufficient returns to cover investment, operations, and maintenance costs).</w:t>
      </w:r>
    </w:p>
    <w:p w14:paraId="4BEBDCF0" w14:textId="3B844083" w:rsidR="004334D2" w:rsidRDefault="004334D2" w:rsidP="00DA05CE">
      <w:pPr>
        <w:pStyle w:val="SDMPara"/>
        <w:keepNext/>
      </w:pPr>
      <w:bookmarkStart w:id="206" w:name="_Ref210742989"/>
      <w:r>
        <w:t>Technologies and/or practices are deemed economically viable if</w:t>
      </w:r>
      <w:r w:rsidR="00900BB5">
        <w:t xml:space="preserve"> they</w:t>
      </w:r>
      <w:r>
        <w:t>:</w:t>
      </w:r>
      <w:bookmarkEnd w:id="206"/>
    </w:p>
    <w:p w14:paraId="3287CB57" w14:textId="61740671" w:rsidR="004334D2" w:rsidRDefault="00900BB5" w:rsidP="00E66E80">
      <w:pPr>
        <w:pStyle w:val="SDMSubPara1"/>
      </w:pPr>
      <w:r>
        <w:t>H</w:t>
      </w:r>
      <w:r w:rsidR="004334D2">
        <w:t>ave been implemented by a</w:t>
      </w:r>
      <w:r w:rsidR="004334D2">
        <w:rPr>
          <w:lang w:val="en-US"/>
        </w:rPr>
        <w:t>t least one</w:t>
      </w:r>
      <w:r w:rsidR="004334D2" w:rsidRPr="000F2ED9">
        <w:t xml:space="preserve"> </w:t>
      </w:r>
      <w:r w:rsidR="004334D2">
        <w:t>facility within the applicable baseline geographical reference area without the revenues from carbon credits or other incentives; or</w:t>
      </w:r>
    </w:p>
    <w:p w14:paraId="52285ED8" w14:textId="570A4AD0" w:rsidR="00900BB5" w:rsidRDefault="00900BB5" w:rsidP="00E66E80">
      <w:pPr>
        <w:pStyle w:val="SDMSubPara1"/>
      </w:pPr>
      <w:bookmarkStart w:id="207" w:name="_Ref210073365"/>
      <w:r>
        <w:t>A</w:t>
      </w:r>
      <w:r w:rsidR="004334D2">
        <w:t>re accessible off the shelf or via tendering within the applicable baseline geographical reference area</w:t>
      </w:r>
      <w:r>
        <w:t xml:space="preserve">, on terms that </w:t>
      </w:r>
      <w:r w:rsidR="004334D2">
        <w:t>are economically viable when compared against a benchmark.</w:t>
      </w:r>
      <w:bookmarkEnd w:id="207"/>
    </w:p>
    <w:p w14:paraId="4EC9DCAD" w14:textId="51930E44" w:rsidR="00426CAE" w:rsidRDefault="00900BB5" w:rsidP="00DA05CE">
      <w:pPr>
        <w:pStyle w:val="SDMPara"/>
        <w:keepNext/>
      </w:pPr>
      <w:r>
        <w:t xml:space="preserve">To identify the economic viability of a technology or practice under paragraph </w:t>
      </w:r>
      <w:r>
        <w:fldChar w:fldCharType="begin"/>
      </w:r>
      <w:r>
        <w:instrText xml:space="preserve"> REF _Ref210073365 \w \h </w:instrText>
      </w:r>
      <w:r>
        <w:fldChar w:fldCharType="separate"/>
      </w:r>
      <w:r w:rsidR="00302468">
        <w:rPr>
          <w:cs/>
        </w:rPr>
        <w:t>‎</w:t>
      </w:r>
      <w:r w:rsidR="00302468">
        <w:t>62(b)</w:t>
      </w:r>
      <w:r>
        <w:fldChar w:fldCharType="end"/>
      </w:r>
      <w:r>
        <w:t>, activity participants shall conduct an investment analysis</w:t>
      </w:r>
      <w:r w:rsidR="00426CAE">
        <w:t xml:space="preserve"> </w:t>
      </w:r>
      <w:r>
        <w:t xml:space="preserve">following the same requirements used for the additionality demonstration as per section </w:t>
      </w:r>
      <w:r>
        <w:fldChar w:fldCharType="begin"/>
      </w:r>
      <w:r>
        <w:instrText xml:space="preserve"> REF _Ref207824142 \r \p \h </w:instrText>
      </w:r>
      <w:r>
        <w:fldChar w:fldCharType="separate"/>
      </w:r>
      <w:r w:rsidR="00302468">
        <w:rPr>
          <w:cs/>
        </w:rPr>
        <w:t>‎</w:t>
      </w:r>
      <w:r w:rsidR="00302468">
        <w:t>6.3.1 above</w:t>
      </w:r>
      <w:r>
        <w:fldChar w:fldCharType="end"/>
      </w:r>
      <w:r w:rsidR="00871E40">
        <w:t xml:space="preserve"> and </w:t>
      </w:r>
      <w:r>
        <w:t>shall:</w:t>
      </w:r>
    </w:p>
    <w:p w14:paraId="438F412F" w14:textId="77777777" w:rsidR="00426CAE" w:rsidRDefault="00900BB5" w:rsidP="00C67B31">
      <w:pPr>
        <w:pStyle w:val="SDMSubPara1"/>
        <w:numPr>
          <w:ilvl w:val="1"/>
          <w:numId w:val="17"/>
        </w:numPr>
      </w:pPr>
      <w:r>
        <w:t xml:space="preserve">Collect </w:t>
      </w:r>
      <w:r w:rsidR="00D31AAF">
        <w:t xml:space="preserve">relevant </w:t>
      </w:r>
      <w:r>
        <w:t>information directly from technology or practice suppliers; or</w:t>
      </w:r>
    </w:p>
    <w:p w14:paraId="43752FB2" w14:textId="518DAF69" w:rsidR="00900BB5" w:rsidRDefault="00900BB5" w:rsidP="00DA05CE">
      <w:pPr>
        <w:pStyle w:val="SDMSubPara1"/>
        <w:keepNext/>
      </w:pPr>
      <w:r>
        <w:t xml:space="preserve">Demonstrate that it is not possible to collect </w:t>
      </w:r>
      <w:r w:rsidR="00D31AAF">
        <w:t xml:space="preserve">relevant </w:t>
      </w:r>
      <w:r>
        <w:t>information directly from technology or practice suppliers. In this case, activity participants:</w:t>
      </w:r>
    </w:p>
    <w:p w14:paraId="7C21E49D" w14:textId="77777777" w:rsidR="00426CAE" w:rsidRDefault="00900BB5" w:rsidP="00E66E80">
      <w:pPr>
        <w:pStyle w:val="SDMSubPara2"/>
      </w:pPr>
      <w:r>
        <w:t>May determine costs from similar facilities located outside of the baseline geographical reference area, or from peer reviewed studies and papers; and</w:t>
      </w:r>
    </w:p>
    <w:p w14:paraId="08A9FE04" w14:textId="40FB1A04" w:rsidR="00871E40" w:rsidRDefault="00871E40" w:rsidP="00E66E80">
      <w:pPr>
        <w:pStyle w:val="SDMSubPara2"/>
      </w:pPr>
      <w:r>
        <w:t>Shall provide proper justification that any such information can reasonably be applied in the baseline geographical reference area.</w:t>
      </w:r>
    </w:p>
    <w:p w14:paraId="2AB8237D" w14:textId="77777777" w:rsidR="004334D2" w:rsidRDefault="004334D2" w:rsidP="00E66E80">
      <w:pPr>
        <w:pStyle w:val="SDMHead5"/>
      </w:pPr>
      <w:r>
        <w:t>Step 5. Define the emissions intensity of each of the remaining technologies</w:t>
      </w:r>
    </w:p>
    <w:p w14:paraId="75363B76" w14:textId="7AD48EA5" w:rsidR="004334D2" w:rsidRDefault="004334D2" w:rsidP="00E66E80">
      <w:pPr>
        <w:pStyle w:val="SDMPara"/>
      </w:pPr>
      <w:r>
        <w:t xml:space="preserve">Out of the technologies and/or practices identified </w:t>
      </w:r>
      <w:r w:rsidR="00AE3C6B">
        <w:t xml:space="preserve">as economically viable </w:t>
      </w:r>
      <w:r>
        <w:t>in Step 4, activity participants shall determine the emissions intensity per unit of electricity generated (i.e.</w:t>
      </w:r>
      <w:r w:rsidR="00D31AAF">
        <w:t xml:space="preserve">, </w:t>
      </w:r>
      <w:r>
        <w:t>tCO</w:t>
      </w:r>
      <w:r w:rsidRPr="00B0356C">
        <w:rPr>
          <w:vertAlign w:val="subscript"/>
        </w:rPr>
        <w:t>2</w:t>
      </w:r>
      <w:r>
        <w:t>e/MWh), taking into account the different types of fuels used to generate electricity.</w:t>
      </w:r>
    </w:p>
    <w:p w14:paraId="24C08580" w14:textId="77777777" w:rsidR="00426CAE" w:rsidRDefault="004334D2" w:rsidP="00DA05CE">
      <w:pPr>
        <w:pStyle w:val="SDMPara"/>
        <w:keepNext/>
      </w:pPr>
      <w:r>
        <w:t>Activity participants</w:t>
      </w:r>
      <w:r w:rsidR="00F36E44">
        <w:t xml:space="preserve"> shall</w:t>
      </w:r>
      <w:r w:rsidR="00D31AAF">
        <w:t>:</w:t>
      </w:r>
    </w:p>
    <w:p w14:paraId="04B6EC92" w14:textId="77777777" w:rsidR="00426CAE" w:rsidRDefault="00D31AAF" w:rsidP="00E66E80">
      <w:pPr>
        <w:pStyle w:val="SDMSubPara1"/>
      </w:pPr>
      <w:r>
        <w:t>Collect relevant information directly from technology or practice suppliers; or</w:t>
      </w:r>
    </w:p>
    <w:p w14:paraId="6427637F" w14:textId="4BD35028" w:rsidR="00D31AAF" w:rsidRDefault="00D31AAF" w:rsidP="00DA05CE">
      <w:pPr>
        <w:pStyle w:val="SDMSubPara1"/>
        <w:keepNext/>
      </w:pPr>
      <w:r>
        <w:t>Demonstrate that it is not possible to collect relevant information directly from technology or practice suppliers. In this case, activity participants:</w:t>
      </w:r>
    </w:p>
    <w:p w14:paraId="27B839DE" w14:textId="77777777" w:rsidR="00426CAE" w:rsidRDefault="00D31AAF" w:rsidP="00E66E80">
      <w:pPr>
        <w:pStyle w:val="SDMSubPara2"/>
      </w:pPr>
      <w:r>
        <w:t>May determine the emissions intensity from similar facilities located outside of the baseline geographical reference area, or from peer reviewed studies and papers; and</w:t>
      </w:r>
    </w:p>
    <w:p w14:paraId="5C12F78C" w14:textId="064888E4" w:rsidR="00871E40" w:rsidRDefault="00871E40" w:rsidP="00E66E80">
      <w:pPr>
        <w:pStyle w:val="SDMSubPara2"/>
      </w:pPr>
      <w:r>
        <w:t>Shall provide proper justification that any such information can reasonably be applied in the baseline geographical reference area.</w:t>
      </w:r>
    </w:p>
    <w:p w14:paraId="19E503C5" w14:textId="77777777" w:rsidR="004334D2" w:rsidRDefault="004334D2" w:rsidP="00E66E80">
      <w:pPr>
        <w:pStyle w:val="SDMHead5"/>
      </w:pPr>
      <w:bookmarkStart w:id="208" w:name="_Ref207404283"/>
      <w:r>
        <w:t>Step 6. Selection of the BAT</w:t>
      </w:r>
    </w:p>
    <w:p w14:paraId="01CE4B2D" w14:textId="77777777" w:rsidR="004334D2" w:rsidRDefault="004334D2" w:rsidP="00E66E80">
      <w:pPr>
        <w:pStyle w:val="SDMPara"/>
      </w:pPr>
      <w:r>
        <w:t>The technology that constitutes the BAT is the one with the lowest emission intensity among those that are economically feasible and environmentally sound.</w:t>
      </w:r>
    </w:p>
    <w:p w14:paraId="6226B013" w14:textId="77777777" w:rsidR="004334D2" w:rsidRDefault="004334D2" w:rsidP="00E66E80">
      <w:pPr>
        <w:pStyle w:val="SDMHead4"/>
      </w:pPr>
      <w:bookmarkStart w:id="209" w:name="_Ref207823260"/>
      <w:r>
        <w:t>Identification of the baseline scenario for heat generation replacing heat generated in new equipment</w:t>
      </w:r>
      <w:bookmarkEnd w:id="203"/>
      <w:bookmarkEnd w:id="208"/>
      <w:bookmarkEnd w:id="209"/>
    </w:p>
    <w:p w14:paraId="013DA1A0" w14:textId="7355C6C4" w:rsidR="004334D2" w:rsidRDefault="004334D2" w:rsidP="00E66E80">
      <w:pPr>
        <w:pStyle w:val="SDMPara"/>
      </w:pPr>
      <w:r>
        <w:t>Activity participants shall determine the best available technology and economically feasible and environmentally sound course of action for Article 6.4 activities that involve the heat generation replacing heat generated in new equipment based on the stepwise process described below</w:t>
      </w:r>
      <w:r w:rsidR="00040193">
        <w:t>.</w:t>
      </w:r>
    </w:p>
    <w:p w14:paraId="346E1DA4" w14:textId="77777777" w:rsidR="004334D2" w:rsidRDefault="004334D2" w:rsidP="00E66E80">
      <w:pPr>
        <w:pStyle w:val="SDMHead5"/>
      </w:pPr>
      <w:r>
        <w:t>Step 1: Identification of the geographical area</w:t>
      </w:r>
    </w:p>
    <w:p w14:paraId="7F73DDFD" w14:textId="1BFBD367" w:rsidR="004334D2" w:rsidRDefault="004334D2" w:rsidP="00E66E80">
      <w:pPr>
        <w:pStyle w:val="SDMPara"/>
      </w:pPr>
      <w:r>
        <w:t xml:space="preserve">The geographical area by default is the host </w:t>
      </w:r>
      <w:r w:rsidR="0055273D">
        <w:t>c</w:t>
      </w:r>
      <w:r>
        <w:t>ountry.</w:t>
      </w:r>
    </w:p>
    <w:p w14:paraId="1B182E35" w14:textId="77777777" w:rsidR="004334D2" w:rsidRDefault="004334D2" w:rsidP="00E66E80">
      <w:pPr>
        <w:pStyle w:val="SDMPara"/>
      </w:pPr>
      <w:r>
        <w:t>Activity participants may choose to limit the baseline geographical reference area to a narrower specific geographical area (such as municipality, province, states, etc.) within the host country if they can demonstrate and justify that there are essential distinctions between the identified specific geographical area and rest of the host country. For example, such distinctions may include certain benefits that make the Article 6.4 activity financially/economically more attractive (e.g., subsidies or other financial flows).</w:t>
      </w:r>
    </w:p>
    <w:p w14:paraId="09B169B8" w14:textId="77777777" w:rsidR="004334D2" w:rsidRDefault="004334D2" w:rsidP="00E66E80">
      <w:pPr>
        <w:pStyle w:val="SDMHead5"/>
      </w:pPr>
      <w:r>
        <w:t>Step 2. Identification of t</w:t>
      </w:r>
      <w:r w:rsidRPr="00B33DF5">
        <w:t>echnologies and/or practices</w:t>
      </w:r>
      <w:r>
        <w:t xml:space="preserve"> available in the geographical area</w:t>
      </w:r>
    </w:p>
    <w:p w14:paraId="7B4DE3E8" w14:textId="77777777" w:rsidR="00426CAE" w:rsidRDefault="004334D2" w:rsidP="00DA05CE">
      <w:pPr>
        <w:pStyle w:val="SDMPara"/>
        <w:keepNext/>
      </w:pPr>
      <w:bookmarkStart w:id="210" w:name="_Ref210743158"/>
      <w:r>
        <w:t>Activity participants shall identify the technologies and/or practices</w:t>
      </w:r>
      <w:r w:rsidR="00040193">
        <w:t xml:space="preserve">, </w:t>
      </w:r>
      <w:r>
        <w:t xml:space="preserve">including </w:t>
      </w:r>
      <w:r w:rsidR="00040193">
        <w:t>combinations of technologies and/or practices, that:</w:t>
      </w:r>
      <w:bookmarkEnd w:id="210"/>
    </w:p>
    <w:p w14:paraId="49351055" w14:textId="77777777" w:rsidR="00426CAE" w:rsidRDefault="00040193" w:rsidP="00E66E80">
      <w:pPr>
        <w:pStyle w:val="SDMSubPara1"/>
      </w:pPr>
      <w:r>
        <w:t>Are available</w:t>
      </w:r>
      <w:r w:rsidR="004334D2">
        <w:t xml:space="preserve"> for heat generation in the baseline geographical reference area</w:t>
      </w:r>
      <w:r>
        <w:t>;</w:t>
      </w:r>
    </w:p>
    <w:p w14:paraId="1797D495" w14:textId="251246DB" w:rsidR="00040193" w:rsidRDefault="00040193" w:rsidP="00E66E80">
      <w:pPr>
        <w:pStyle w:val="SDMSubPara1"/>
      </w:pPr>
      <w:r>
        <w:t>G</w:t>
      </w:r>
      <w:r w:rsidR="004334D2">
        <w:t>enerate the same type of output produced by the Article 6.4 activity (e.g.</w:t>
      </w:r>
      <w:r>
        <w:t>,</w:t>
      </w:r>
      <w:r w:rsidR="004334D2">
        <w:t xml:space="preserve"> hot water, hot air, saturated steam, overheated steam, brick, melted glass)</w:t>
      </w:r>
      <w:r>
        <w:t>;</w:t>
      </w:r>
    </w:p>
    <w:p w14:paraId="0FA04953" w14:textId="77777777" w:rsidR="00426CAE" w:rsidRDefault="00040193" w:rsidP="00E66E80">
      <w:pPr>
        <w:pStyle w:val="SDMSubPara1"/>
      </w:pPr>
      <w:r>
        <w:t>Deliver heat</w:t>
      </w:r>
      <w:r w:rsidR="004334D2">
        <w:t xml:space="preserve"> to the same pool or users from the Article 6.4 activity (e.g.</w:t>
      </w:r>
      <w:r>
        <w:t>,</w:t>
      </w:r>
      <w:r w:rsidR="004334D2">
        <w:t xml:space="preserve"> a specific industrial process, </w:t>
      </w:r>
      <w:r>
        <w:t>or customer class</w:t>
      </w:r>
      <w:r w:rsidR="004334D2">
        <w:t>)</w:t>
      </w:r>
      <w:r>
        <w:t>;</w:t>
      </w:r>
    </w:p>
    <w:p w14:paraId="706B3008" w14:textId="4B85C4EE" w:rsidR="00426CAE" w:rsidRDefault="00040193" w:rsidP="00E66E80">
      <w:pPr>
        <w:pStyle w:val="SDMSubPara1"/>
      </w:pPr>
      <w:r w:rsidRPr="00760246">
        <w:t>Have</w:t>
      </w:r>
      <w:r w:rsidR="004334D2" w:rsidRPr="00760246">
        <w:t xml:space="preserve"> </w:t>
      </w:r>
      <w:r w:rsidR="000F3480" w:rsidRPr="00D30970">
        <w:t>similar capacity with up to +/- 15</w:t>
      </w:r>
      <w:r w:rsidR="00BE62DD">
        <w:t xml:space="preserve"> per cent</w:t>
      </w:r>
      <w:r w:rsidR="000F3480" w:rsidRPr="00D30970">
        <w:t xml:space="preserve"> difference</w:t>
      </w:r>
      <w:r w:rsidRPr="00760246">
        <w:t>;</w:t>
      </w:r>
      <w:r w:rsidR="004334D2">
        <w:t xml:space="preserve"> and</w:t>
      </w:r>
    </w:p>
    <w:p w14:paraId="76316FBD" w14:textId="4CB90114" w:rsidR="004334D2" w:rsidRDefault="00040193" w:rsidP="00E66E80">
      <w:pPr>
        <w:pStyle w:val="SDMSubPara1"/>
      </w:pPr>
      <w:r>
        <w:t xml:space="preserve">Indicate </w:t>
      </w:r>
      <w:r w:rsidR="004334D2">
        <w:t>the type of fuel used.</w:t>
      </w:r>
    </w:p>
    <w:p w14:paraId="38E29CBE" w14:textId="3D2B5B65" w:rsidR="00426CAE" w:rsidRDefault="00040193" w:rsidP="00E66E80">
      <w:pPr>
        <w:pStyle w:val="SDMPara"/>
      </w:pPr>
      <w:r>
        <w:t>Available technologies and/or practices are those that are accessible off the shelf, via a tendering or direct contracting process, or by direct implementation by an end user within the boundary of potential Article 6.4 activities.</w:t>
      </w:r>
    </w:p>
    <w:p w14:paraId="619892D4" w14:textId="1BA8E194" w:rsidR="004334D2" w:rsidRDefault="004334D2" w:rsidP="00E66E80">
      <w:pPr>
        <w:pStyle w:val="SDMHead5"/>
      </w:pPr>
      <w:r>
        <w:t>Step 3. Identification of the environmentally sound technologies available in the geographical area</w:t>
      </w:r>
    </w:p>
    <w:p w14:paraId="3545C1E2" w14:textId="478A7F93" w:rsidR="004334D2" w:rsidRDefault="004334D2" w:rsidP="00E66E80">
      <w:pPr>
        <w:pStyle w:val="SDMPara"/>
      </w:pPr>
      <w:r>
        <w:t xml:space="preserve">Out of the technologies and/or practices identified </w:t>
      </w:r>
      <w:r w:rsidR="00040193">
        <w:t xml:space="preserve">as available </w:t>
      </w:r>
      <w:r>
        <w:t>in Step 2 above, activity participants shall exclude from the analysis those that are not in line with legal requirements in the applicable baseline geographical reference area. For example, this may apply to heat generation facilities that are not in compliance with limits or thresholds for atmospheric emissions (NOx, VOCs, particulates and black carbon, etc).</w:t>
      </w:r>
    </w:p>
    <w:p w14:paraId="502BC009" w14:textId="77777777" w:rsidR="004334D2" w:rsidRDefault="004334D2" w:rsidP="00E66E80">
      <w:pPr>
        <w:pStyle w:val="SDMHead5"/>
      </w:pPr>
      <w:r>
        <w:t>Step 4. Identification of economically viable technologies in the geographical area</w:t>
      </w:r>
    </w:p>
    <w:p w14:paraId="3972F74E" w14:textId="4D5B80EB" w:rsidR="004334D2" w:rsidRDefault="004334D2" w:rsidP="00E66E80">
      <w:pPr>
        <w:pStyle w:val="SDMPara"/>
      </w:pPr>
      <w:r>
        <w:t xml:space="preserve">Out of the technologies and/or practices that are </w:t>
      </w:r>
      <w:r w:rsidR="00640BA6">
        <w:t xml:space="preserve">identified as </w:t>
      </w:r>
      <w:r>
        <w:t xml:space="preserve">environmentally sound in Step 3 above, activity participants shall further identify those that are deemed economically viable </w:t>
      </w:r>
      <w:r w:rsidR="00640BA6">
        <w:t>(</w:t>
      </w:r>
      <w:r>
        <w:t>i.e.</w:t>
      </w:r>
      <w:r w:rsidR="00640BA6">
        <w:t>, those</w:t>
      </w:r>
      <w:r>
        <w:t xml:space="preserve"> that provide sufficient returns to cover investment, operations</w:t>
      </w:r>
      <w:r w:rsidR="00640BA6">
        <w:t>,</w:t>
      </w:r>
      <w:r>
        <w:t xml:space="preserve"> </w:t>
      </w:r>
      <w:r w:rsidR="00640BA6">
        <w:t xml:space="preserve">and </w:t>
      </w:r>
      <w:r>
        <w:t>maintenance costs</w:t>
      </w:r>
      <w:r w:rsidR="00640BA6">
        <w:t>)</w:t>
      </w:r>
      <w:r>
        <w:t>.</w:t>
      </w:r>
    </w:p>
    <w:p w14:paraId="0A86439B" w14:textId="5DFF8985" w:rsidR="004334D2" w:rsidRDefault="004334D2" w:rsidP="00DA05CE">
      <w:pPr>
        <w:pStyle w:val="SDMPara"/>
        <w:keepNext/>
      </w:pPr>
      <w:bookmarkStart w:id="211" w:name="_Ref210743203"/>
      <w:r>
        <w:t>Technologies and/or practices are deemed economically viable if</w:t>
      </w:r>
      <w:r w:rsidR="00640BA6">
        <w:t xml:space="preserve"> they</w:t>
      </w:r>
      <w:r>
        <w:t>:</w:t>
      </w:r>
      <w:bookmarkEnd w:id="211"/>
    </w:p>
    <w:p w14:paraId="5BDC43BC" w14:textId="23498A8B" w:rsidR="004334D2" w:rsidRDefault="00640BA6" w:rsidP="00E66E80">
      <w:pPr>
        <w:pStyle w:val="SDMSubPara1"/>
      </w:pPr>
      <w:r>
        <w:t>H</w:t>
      </w:r>
      <w:r w:rsidR="004334D2">
        <w:t>ave been implemented by at least one facility within the applicable baseline geographical reference area without the revenues from carbon credits or other incentives; or</w:t>
      </w:r>
    </w:p>
    <w:p w14:paraId="71319DEF" w14:textId="77777777" w:rsidR="00426CAE" w:rsidRDefault="00640BA6" w:rsidP="00E66E80">
      <w:pPr>
        <w:pStyle w:val="SDMSubPara1"/>
      </w:pPr>
      <w:bookmarkStart w:id="212" w:name="_Ref210075689"/>
      <w:r>
        <w:t>A</w:t>
      </w:r>
      <w:r w:rsidR="004334D2">
        <w:t>re accessible off the shelf or via tendering within the applicable baseline geographical reference area</w:t>
      </w:r>
      <w:r>
        <w:t xml:space="preserve">, on terms that </w:t>
      </w:r>
      <w:r w:rsidR="004334D2">
        <w:t>are economically viable when compared against a benchmark.</w:t>
      </w:r>
      <w:bookmarkEnd w:id="212"/>
    </w:p>
    <w:p w14:paraId="64ED793D" w14:textId="3DB238D3" w:rsidR="00426CAE" w:rsidRDefault="00640BA6" w:rsidP="00DA05CE">
      <w:pPr>
        <w:pStyle w:val="SDMPara"/>
        <w:keepNext/>
      </w:pPr>
      <w:r>
        <w:t>To identify the economic viability of a technology or practice under paragraph</w:t>
      </w:r>
      <w:r w:rsidR="005A06CA">
        <w:t xml:space="preserve"> </w:t>
      </w:r>
      <w:r w:rsidR="005A06CA">
        <w:fldChar w:fldCharType="begin"/>
      </w:r>
      <w:r w:rsidR="005A06CA">
        <w:instrText xml:space="preserve"> REF _Ref210075689 \w \p \h </w:instrText>
      </w:r>
      <w:r w:rsidR="005A06CA">
        <w:fldChar w:fldCharType="separate"/>
      </w:r>
      <w:r w:rsidR="00302468">
        <w:rPr>
          <w:cs/>
        </w:rPr>
        <w:t>‎</w:t>
      </w:r>
      <w:r w:rsidR="00302468">
        <w:t>74(b) above</w:t>
      </w:r>
      <w:r w:rsidR="005A06CA">
        <w:fldChar w:fldCharType="end"/>
      </w:r>
      <w:r>
        <w:t>, activity participants shall conduct an investment analysis</w:t>
      </w:r>
      <w:r w:rsidR="00083FF9">
        <w:t xml:space="preserve"> (using benchmark</w:t>
      </w:r>
      <w:r w:rsidR="004B0B40">
        <w:t xml:space="preserve"> analysis</w:t>
      </w:r>
      <w:r w:rsidR="00083FF9">
        <w:t xml:space="preserve"> approach)</w:t>
      </w:r>
      <w:r>
        <w:t xml:space="preserve"> following the same requirements used for the additionality demonstration as per section </w:t>
      </w:r>
      <w:r>
        <w:fldChar w:fldCharType="begin"/>
      </w:r>
      <w:r>
        <w:instrText xml:space="preserve"> REF _Ref207824142 \r \p \h </w:instrText>
      </w:r>
      <w:r>
        <w:fldChar w:fldCharType="separate"/>
      </w:r>
      <w:r w:rsidR="00302468">
        <w:rPr>
          <w:cs/>
        </w:rPr>
        <w:t>‎</w:t>
      </w:r>
      <w:r w:rsidR="00302468">
        <w:t>6.3.1 above</w:t>
      </w:r>
      <w:r>
        <w:fldChar w:fldCharType="end"/>
      </w:r>
      <w:r w:rsidR="00871E40">
        <w:t xml:space="preserve"> and </w:t>
      </w:r>
      <w:r>
        <w:t>shall:</w:t>
      </w:r>
    </w:p>
    <w:p w14:paraId="6D5E98AA" w14:textId="77777777" w:rsidR="00426CAE" w:rsidRDefault="00640BA6" w:rsidP="00E66E80">
      <w:pPr>
        <w:pStyle w:val="SDMSubPara1"/>
      </w:pPr>
      <w:r>
        <w:t>Collect relevant information directly from technology or practice suppliers; or</w:t>
      </w:r>
    </w:p>
    <w:p w14:paraId="244150B2" w14:textId="6AAF97C7" w:rsidR="00640BA6" w:rsidRDefault="00640BA6" w:rsidP="00DA05CE">
      <w:pPr>
        <w:pStyle w:val="SDMSubPara1"/>
        <w:keepNext/>
      </w:pPr>
      <w:r>
        <w:t>Demonstrate that it is not possible to collect relevant information directly from technology or practice suppliers. In this case, activity participants:</w:t>
      </w:r>
    </w:p>
    <w:p w14:paraId="27242BCD" w14:textId="77777777" w:rsidR="00426CAE" w:rsidRDefault="00640BA6" w:rsidP="00E66E80">
      <w:pPr>
        <w:pStyle w:val="SDMSubPara2"/>
      </w:pPr>
      <w:r>
        <w:t>May determine costs from similar facilities located outside of the baseline geographical reference area, or from peer reviewed studies and papers; and</w:t>
      </w:r>
    </w:p>
    <w:p w14:paraId="04536E66" w14:textId="4F5FBEB6" w:rsidR="00640BA6" w:rsidRDefault="00640BA6" w:rsidP="00E66E80">
      <w:pPr>
        <w:pStyle w:val="SDMSubPara2"/>
      </w:pPr>
      <w:r>
        <w:t>Shall provide proper justification that any such information can reasonably be applied in the baseline geographical reference area.</w:t>
      </w:r>
    </w:p>
    <w:p w14:paraId="4BAC2938" w14:textId="77777777" w:rsidR="004334D2" w:rsidRDefault="004334D2" w:rsidP="00E66E80">
      <w:pPr>
        <w:pStyle w:val="SDMHead5"/>
      </w:pPr>
      <w:r>
        <w:t>Step 5. Define the emissions intensity of each of the remaining technologies</w:t>
      </w:r>
    </w:p>
    <w:p w14:paraId="26B638B0" w14:textId="0798AC20" w:rsidR="004334D2" w:rsidRDefault="004334D2" w:rsidP="00DA05CE">
      <w:pPr>
        <w:pStyle w:val="SDMPara"/>
        <w:keepNext/>
      </w:pPr>
      <w:r>
        <w:t xml:space="preserve">Out of the technologies and/or practices identified </w:t>
      </w:r>
      <w:r w:rsidR="00B30F89">
        <w:t xml:space="preserve">as economically viable </w:t>
      </w:r>
      <w:r>
        <w:t>in Step 4, activity participants shall determine the emissions intensity per unit of the output produced identified in Step 2 above (e.g.</w:t>
      </w:r>
      <w:r w:rsidR="00B30F89">
        <w:t>,</w:t>
      </w:r>
      <w:r>
        <w:t xml:space="preserve"> tonnes of CO</w:t>
      </w:r>
      <w:r w:rsidRPr="00F1567F">
        <w:rPr>
          <w:vertAlign w:val="subscript"/>
        </w:rPr>
        <w:t>2</w:t>
      </w:r>
      <w:r>
        <w:t xml:space="preserve"> per tonnes of hot water, steam, brick glass, etc</w:t>
      </w:r>
      <w:r w:rsidR="00722114">
        <w:t>.</w:t>
      </w:r>
      <w:r>
        <w:t>), taking into account the different types of fuels used to generate the heat</w:t>
      </w:r>
      <w:r w:rsidR="00722114">
        <w:t>, and shall:</w:t>
      </w:r>
    </w:p>
    <w:p w14:paraId="563E7DA6" w14:textId="77777777" w:rsidR="00426CAE" w:rsidRDefault="00722114" w:rsidP="00E66E80">
      <w:pPr>
        <w:pStyle w:val="SDMSubPara1"/>
      </w:pPr>
      <w:r>
        <w:t>Collect relevant information directly from technology or practice suppliers; or</w:t>
      </w:r>
    </w:p>
    <w:p w14:paraId="58A083BE" w14:textId="1DB8D134" w:rsidR="00722114" w:rsidRDefault="00722114" w:rsidP="00DA05CE">
      <w:pPr>
        <w:pStyle w:val="SDMSubPara1"/>
        <w:keepNext/>
      </w:pPr>
      <w:r>
        <w:t>Demonstrate that it is not possible to collect relevant information directly from technology or practice suppliers. In this case, activity participants:</w:t>
      </w:r>
    </w:p>
    <w:p w14:paraId="628A0E79" w14:textId="77777777" w:rsidR="00426CAE" w:rsidRDefault="00722114" w:rsidP="00E66E80">
      <w:pPr>
        <w:pStyle w:val="SDMSubPara2"/>
      </w:pPr>
      <w:r>
        <w:t>May determine the emissions intensity from similar facilities located outside of the baseline geographical reference area, or from peer reviewed studies and papers; and</w:t>
      </w:r>
    </w:p>
    <w:p w14:paraId="73986139" w14:textId="547D35E9" w:rsidR="00722114" w:rsidRDefault="00722114" w:rsidP="00E66E80">
      <w:pPr>
        <w:pStyle w:val="SDMSubPara2"/>
      </w:pPr>
      <w:r>
        <w:t>Shall provide proper justification that any such information can reasonably be applied in the baseline geographical reference area.</w:t>
      </w:r>
    </w:p>
    <w:p w14:paraId="7ED19665" w14:textId="77777777" w:rsidR="004334D2" w:rsidRDefault="004334D2" w:rsidP="00E66E80">
      <w:pPr>
        <w:pStyle w:val="SDMHead5"/>
      </w:pPr>
      <w:r>
        <w:t>Step 6. Selection of the BAT</w:t>
      </w:r>
    </w:p>
    <w:p w14:paraId="49838DB6" w14:textId="77777777" w:rsidR="004334D2" w:rsidRDefault="004334D2" w:rsidP="00E66E80">
      <w:pPr>
        <w:pStyle w:val="SDMPara"/>
      </w:pPr>
      <w:r>
        <w:t>The technology that constitutes the BAT is the one with the lowest emission intensity among those that are economically feasible and environmentally sound.</w:t>
      </w:r>
    </w:p>
    <w:p w14:paraId="56E0640B" w14:textId="77777777" w:rsidR="004334D2" w:rsidRDefault="004334D2" w:rsidP="00CB4A5A">
      <w:pPr>
        <w:pStyle w:val="SDMHead3"/>
        <w:tabs>
          <w:tab w:val="clear" w:pos="709"/>
        </w:tabs>
        <w:ind w:left="426" w:hanging="426"/>
      </w:pPr>
      <w:bookmarkStart w:id="213" w:name="_Ref208336232"/>
      <w:bookmarkStart w:id="214" w:name="_Toc211555315"/>
      <w:bookmarkStart w:id="215" w:name="_Toc211598967"/>
      <w:bookmarkStart w:id="216" w:name="_Toc211599469"/>
      <w:bookmarkStart w:id="217" w:name="_Toc211612265"/>
      <w:bookmarkStart w:id="218" w:name="_Toc211614712"/>
      <w:bookmarkStart w:id="219" w:name="_Toc211614755"/>
      <w:r>
        <w:t>Calculation of baseline emissions prior to downward adjustment</w:t>
      </w:r>
      <w:bookmarkEnd w:id="213"/>
      <w:bookmarkEnd w:id="214"/>
      <w:bookmarkEnd w:id="215"/>
      <w:bookmarkEnd w:id="216"/>
      <w:bookmarkEnd w:id="217"/>
      <w:bookmarkEnd w:id="218"/>
      <w:bookmarkEnd w:id="219"/>
    </w:p>
    <w:p w14:paraId="796AED88" w14:textId="484450DB" w:rsidR="004334D2" w:rsidRPr="000C5FD6" w:rsidRDefault="004334D2" w:rsidP="00DA05CE">
      <w:pPr>
        <w:pStyle w:val="SDMPara"/>
        <w:keepNext/>
      </w:pPr>
      <w:bookmarkStart w:id="220" w:name="_Toc430009254"/>
      <w:bookmarkStart w:id="221" w:name="_Toc478726891"/>
      <w:bookmarkStart w:id="222" w:name="_Toc478995709"/>
      <w:bookmarkStart w:id="223" w:name="_Toc2875272"/>
      <w:r w:rsidRPr="000C5FD6">
        <w:t xml:space="preserve">Baseline emissions </w:t>
      </w:r>
      <w:r w:rsidR="00661B4B">
        <w:t xml:space="preserve">prior to the downward adjustment </w:t>
      </w:r>
      <w:r w:rsidRPr="000C5FD6">
        <w:t xml:space="preserve">are determined </w:t>
      </w:r>
      <w:r w:rsidR="00661B4B">
        <w:t>separately for of</w:t>
      </w:r>
      <w:r w:rsidRPr="000C5FD6">
        <w:t xml:space="preserve"> </w:t>
      </w:r>
      <w:r w:rsidR="00661B4B">
        <w:t xml:space="preserve">each of </w:t>
      </w:r>
      <w:r w:rsidRPr="000C5FD6">
        <w:t>the following sources</w:t>
      </w:r>
      <w:r>
        <w:t>, as applicable</w:t>
      </w:r>
      <w:r w:rsidRPr="000C5FD6">
        <w:t>:</w:t>
      </w:r>
    </w:p>
    <w:p w14:paraId="16277E0F" w14:textId="7FDECD27" w:rsidR="004334D2" w:rsidRPr="000C5FD6" w:rsidRDefault="00661B4B" w:rsidP="00E66E80">
      <w:pPr>
        <w:pStyle w:val="SDMSubPara1"/>
      </w:pPr>
      <w:r>
        <w:t>E</w:t>
      </w:r>
      <w:r w:rsidR="004334D2" w:rsidRPr="000C5FD6">
        <w:t xml:space="preserve">missions </w:t>
      </w:r>
      <w:r>
        <w:t xml:space="preserve">of methane </w:t>
      </w:r>
      <w:r w:rsidR="004334D2" w:rsidRPr="000C5FD6">
        <w:t>from the SWDS</w:t>
      </w:r>
      <w:r>
        <w:t xml:space="preserve"> (</w:t>
      </w:r>
      <m:oMath>
        <m:sSub>
          <m:sSubPr>
            <m:ctrlPr>
              <w:rPr>
                <w:rFonts w:ascii="Cambria Math" w:hAnsi="Cambria Math"/>
                <w:i/>
              </w:rPr>
            </m:ctrlPr>
          </m:sSubPr>
          <m:e>
            <m:r>
              <w:rPr>
                <w:rFonts w:ascii="Cambria Math" w:hAnsi="Cambria Math"/>
              </w:rPr>
              <m:t>BE</m:t>
            </m:r>
          </m:e>
          <m:sub>
            <m:r>
              <w:rPr>
                <w:rFonts w:ascii="Cambria Math" w:hAnsi="Cambria Math"/>
              </w:rPr>
              <m:t>CH4,y</m:t>
            </m:r>
          </m:sub>
        </m:sSub>
      </m:oMath>
      <w:r>
        <w:t>)</w:t>
      </w:r>
      <w:r w:rsidR="004334D2" w:rsidRPr="000C5FD6">
        <w:t>;</w:t>
      </w:r>
    </w:p>
    <w:p w14:paraId="041BBE79" w14:textId="7A985711" w:rsidR="004334D2" w:rsidRPr="000C5FD6" w:rsidRDefault="004334D2" w:rsidP="00E66E80">
      <w:pPr>
        <w:pStyle w:val="SDMSubPara1"/>
      </w:pPr>
      <w:r w:rsidRPr="000C5FD6">
        <w:t>Electricity generation</w:t>
      </w:r>
      <w:r w:rsidR="00661B4B">
        <w:t xml:space="preserve"> (</w:t>
      </w:r>
      <m:oMath>
        <m:sSub>
          <m:sSubPr>
            <m:ctrlPr>
              <w:rPr>
                <w:rFonts w:ascii="Cambria Math" w:hAnsi="Cambria Math"/>
                <w:i/>
              </w:rPr>
            </m:ctrlPr>
          </m:sSubPr>
          <m:e>
            <m:r>
              <w:rPr>
                <w:rFonts w:ascii="Cambria Math" w:hAnsi="Cambria Math"/>
              </w:rPr>
              <m:t>BE</m:t>
            </m:r>
          </m:e>
          <m:sub>
            <m:r>
              <w:rPr>
                <w:rFonts w:ascii="Cambria Math" w:hAnsi="Cambria Math"/>
              </w:rPr>
              <m:t>EG,y</m:t>
            </m:r>
          </m:sub>
        </m:sSub>
      </m:oMath>
      <w:r w:rsidR="00661B4B">
        <w:t>)</w:t>
      </w:r>
      <w:r w:rsidRPr="000C5FD6">
        <w:t>;</w:t>
      </w:r>
    </w:p>
    <w:p w14:paraId="3766E433" w14:textId="452BEAFB" w:rsidR="004334D2" w:rsidRPr="000C5FD6" w:rsidRDefault="004334D2" w:rsidP="00E66E80">
      <w:pPr>
        <w:pStyle w:val="SDMSubPara1"/>
      </w:pPr>
      <w:r w:rsidRPr="000C5FD6">
        <w:t>Heat generation</w:t>
      </w:r>
      <w:r w:rsidR="00661B4B">
        <w:t xml:space="preserve"> (</w:t>
      </w:r>
      <m:oMath>
        <m:sSub>
          <m:sSubPr>
            <m:ctrlPr>
              <w:rPr>
                <w:rFonts w:ascii="Cambria Math" w:hAnsi="Cambria Math"/>
                <w:i/>
              </w:rPr>
            </m:ctrlPr>
          </m:sSubPr>
          <m:e>
            <m:r>
              <w:rPr>
                <w:rFonts w:ascii="Cambria Math" w:hAnsi="Cambria Math"/>
              </w:rPr>
              <m:t>BE</m:t>
            </m:r>
          </m:e>
          <m:sub>
            <m:r>
              <w:rPr>
                <w:rFonts w:ascii="Cambria Math" w:hAnsi="Cambria Math"/>
              </w:rPr>
              <m:t>HG,y</m:t>
            </m:r>
          </m:sub>
        </m:sSub>
      </m:oMath>
      <w:r w:rsidR="00661B4B">
        <w:t>)</w:t>
      </w:r>
      <w:r w:rsidRPr="000C5FD6">
        <w:t>; and</w:t>
      </w:r>
    </w:p>
    <w:p w14:paraId="014D53DE" w14:textId="3BC79DDC" w:rsidR="004334D2" w:rsidRPr="000C5FD6" w:rsidRDefault="00721CE3" w:rsidP="00E66E80">
      <w:pPr>
        <w:pStyle w:val="SDMSubPara1"/>
      </w:pPr>
      <w:bookmarkStart w:id="224" w:name="OLE_LINK5"/>
      <w:bookmarkStart w:id="225" w:name="OLE_LINK6"/>
      <w:r>
        <w:t>LFG or biomethane</w:t>
      </w:r>
      <w:r w:rsidR="0042521E">
        <w:t xml:space="preserve"> supplied to consumers</w:t>
      </w:r>
      <w:r>
        <w:t xml:space="preserve"> replacing </w:t>
      </w:r>
      <w:r w:rsidR="00424CD2">
        <w:t>n</w:t>
      </w:r>
      <w:r w:rsidR="004334D2" w:rsidRPr="000C5FD6">
        <w:t xml:space="preserve">atural </w:t>
      </w:r>
      <w:r w:rsidR="00EC78D6">
        <w:t xml:space="preserve">use </w:t>
      </w:r>
      <w:r w:rsidR="004334D2" w:rsidRPr="000C5FD6">
        <w:t xml:space="preserve">from </w:t>
      </w:r>
      <w:r w:rsidR="004334D2">
        <w:t xml:space="preserve">a </w:t>
      </w:r>
      <w:r w:rsidR="004334D2" w:rsidRPr="000C5FD6">
        <w:t>natural gas network</w:t>
      </w:r>
      <w:r w:rsidR="00661B4B">
        <w:t xml:space="preserve"> (</w:t>
      </w:r>
      <m:oMath>
        <m:sSub>
          <m:sSubPr>
            <m:ctrlPr>
              <w:rPr>
                <w:rFonts w:ascii="Cambria Math" w:hAnsi="Cambria Math"/>
                <w:i/>
              </w:rPr>
            </m:ctrlPr>
          </m:sSubPr>
          <m:e>
            <m:r>
              <w:rPr>
                <w:rFonts w:ascii="Cambria Math" w:hAnsi="Cambria Math"/>
              </w:rPr>
              <m:t>BE</m:t>
            </m:r>
          </m:e>
          <m:sub>
            <m:r>
              <w:rPr>
                <w:rFonts w:ascii="Cambria Math" w:hAnsi="Cambria Math"/>
              </w:rPr>
              <m:t>NG,y</m:t>
            </m:r>
          </m:sub>
        </m:sSub>
      </m:oMath>
      <w:r w:rsidR="00661B4B">
        <w:t>)</w:t>
      </w:r>
      <w:r w:rsidR="004334D2" w:rsidRPr="000C5FD6">
        <w:t>.</w:t>
      </w:r>
      <w:bookmarkEnd w:id="224"/>
      <w:bookmarkEnd w:id="225"/>
    </w:p>
    <w:p w14:paraId="5BA8C01B" w14:textId="158458E3" w:rsidR="004334D2" w:rsidRDefault="004334D2" w:rsidP="00E66E80">
      <w:pPr>
        <w:pStyle w:val="SDMHead4"/>
      </w:pPr>
      <w:bookmarkStart w:id="226" w:name="_Ref208336294"/>
      <w:bookmarkEnd w:id="220"/>
      <w:bookmarkEnd w:id="221"/>
      <w:bookmarkEnd w:id="222"/>
      <w:bookmarkEnd w:id="223"/>
      <w:r w:rsidRPr="000C5FD6">
        <w:t xml:space="preserve">Baseline emissions of methane from </w:t>
      </w:r>
      <w:r>
        <w:t xml:space="preserve">the </w:t>
      </w:r>
      <w:r w:rsidRPr="000C5FD6">
        <w:t>SWDS (</w:t>
      </w:r>
      <w:r w:rsidRPr="000C5FD6">
        <w:rPr>
          <w:i/>
        </w:rPr>
        <w:t>BE</w:t>
      </w:r>
      <w:r w:rsidRPr="000C5FD6">
        <w:rPr>
          <w:i/>
          <w:vertAlign w:val="subscript"/>
        </w:rPr>
        <w:t>CH4,y</w:t>
      </w:r>
      <w:r w:rsidRPr="000C5FD6">
        <w:t>)</w:t>
      </w:r>
      <w:bookmarkEnd w:id="226"/>
    </w:p>
    <w:p w14:paraId="2A06E79E" w14:textId="6EDEE06D" w:rsidR="00F073D8" w:rsidRPr="000C5FD6" w:rsidRDefault="00F073D8" w:rsidP="00DA05CE">
      <w:pPr>
        <w:pStyle w:val="SDMPara"/>
        <w:keepNext/>
      </w:pPr>
      <w:bookmarkStart w:id="227" w:name="_Ref209696100"/>
      <w:r w:rsidRPr="000C5FD6">
        <w:t xml:space="preserve">Baseline emissions of methane from </w:t>
      </w:r>
      <w:r>
        <w:t xml:space="preserve">Article 6.4 activities developed in an existing or new </w:t>
      </w:r>
      <w:r w:rsidRPr="000C5FD6">
        <w:t>SWDS are determined</w:t>
      </w:r>
      <w:r>
        <w:t xml:space="preserve"> </w:t>
      </w:r>
      <w:r w:rsidRPr="000C5FD6">
        <w:t xml:space="preserve">based on the amount of </w:t>
      </w:r>
      <w:r>
        <w:t xml:space="preserve">actual </w:t>
      </w:r>
      <w:r w:rsidRPr="000C5FD6">
        <w:t>methane that is captured under the activity</w:t>
      </w:r>
      <w:r>
        <w:t>,</w:t>
      </w:r>
      <w:r w:rsidRPr="000C5FD6">
        <w:t xml:space="preserve"> </w:t>
      </w:r>
      <w:r>
        <w:t>discounted by</w:t>
      </w:r>
      <w:r w:rsidRPr="000C5FD6">
        <w:t xml:space="preserve"> the amount that would</w:t>
      </w:r>
      <w:r>
        <w:t xml:space="preserve"> have</w:t>
      </w:r>
      <w:r w:rsidRPr="000C5FD6">
        <w:t xml:space="preserve"> be</w:t>
      </w:r>
      <w:r>
        <w:t>en</w:t>
      </w:r>
      <w:r w:rsidRPr="000C5FD6">
        <w:t xml:space="preserve"> captured and destroyed in the baseline (such as due to </w:t>
      </w:r>
      <w:r>
        <w:t>legal requirements</w:t>
      </w:r>
      <w:r w:rsidRPr="000C5FD6">
        <w:t xml:space="preserve">). In addition, the effect of methane oxidation </w:t>
      </w:r>
      <w:r>
        <w:t xml:space="preserve">due to the cover material </w:t>
      </w:r>
      <w:r w:rsidRPr="000C5FD6">
        <w:t xml:space="preserve">in the baseline </w:t>
      </w:r>
      <w:r>
        <w:t>shall be</w:t>
      </w:r>
      <w:r w:rsidRPr="000C5FD6">
        <w:t xml:space="preserve"> taken into account</w:t>
      </w:r>
      <w:r w:rsidRPr="00EC2B83">
        <w:t>:</w:t>
      </w:r>
      <w:bookmarkEnd w:id="227"/>
    </w:p>
    <w:tbl>
      <w:tblPr>
        <w:tblStyle w:val="SDMMethTableEquation"/>
        <w:tblW w:w="8784" w:type="dxa"/>
        <w:tblLook w:val="0600" w:firstRow="0" w:lastRow="0" w:firstColumn="0" w:lastColumn="0" w:noHBand="1" w:noVBand="1"/>
      </w:tblPr>
      <w:tblGrid>
        <w:gridCol w:w="7099"/>
        <w:gridCol w:w="1685"/>
      </w:tblGrid>
      <w:tr w:rsidR="004334D2" w:rsidRPr="000C5FD6" w14:paraId="704457FD" w14:textId="7DFCD11A" w:rsidTr="007E5A9B">
        <w:tc>
          <w:tcPr>
            <w:tcW w:w="7099" w:type="dxa"/>
          </w:tcPr>
          <w:p w14:paraId="4314D9FB" w14:textId="31F781F9" w:rsidR="004334D2" w:rsidRPr="00F073D8"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CH4,y</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CH4,PJ,capt,y</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OX</m:t>
                            </m:r>
                          </m:e>
                          <m:sub>
                            <m:r>
                              <w:rPr>
                                <w:rFonts w:ascii="Cambria Math" w:hAnsi="Cambria Math"/>
                              </w:rPr>
                              <m:t>y</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CH4,BL,y</m:t>
                        </m:r>
                      </m:sub>
                    </m:sSub>
                  </m:e>
                </m:d>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hAnsi="Cambria Math"/>
                      </w:rPr>
                      <m:t>CH4</m:t>
                    </m:r>
                  </m:sub>
                </m:sSub>
              </m:oMath>
            </m:oMathPara>
          </w:p>
        </w:tc>
        <w:tc>
          <w:tcPr>
            <w:tcW w:w="1685" w:type="dxa"/>
          </w:tcPr>
          <w:p w14:paraId="11FB49A1" w14:textId="6AF2C1AC" w:rsidR="004334D2" w:rsidRPr="000C5FD6" w:rsidRDefault="004334D2" w:rsidP="00247E9F">
            <w:pPr>
              <w:pStyle w:val="SDMMethEquationNr"/>
              <w:numPr>
                <w:ilvl w:val="0"/>
                <w:numId w:val="7"/>
              </w:numPr>
              <w:ind w:left="288" w:hanging="288"/>
            </w:pPr>
          </w:p>
        </w:tc>
      </w:tr>
    </w:tbl>
    <w:p w14:paraId="08F06F16" w14:textId="71988D1F"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C5FD6" w14:paraId="02F4A018" w14:textId="77FEABDE" w:rsidTr="007E5A9B">
        <w:tc>
          <w:tcPr>
            <w:tcW w:w="1701" w:type="dxa"/>
            <w:vAlign w:val="top"/>
          </w:tcPr>
          <w:p w14:paraId="0AE2614F" w14:textId="4EA0B715"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BE</m:t>
                    </m:r>
                  </m:e>
                  <m:sub>
                    <m:r>
                      <w:rPr>
                        <w:rFonts w:ascii="Cambria Math" w:hAnsi="Cambria Math"/>
                      </w:rPr>
                      <m:t>CH4,y</m:t>
                    </m:r>
                  </m:sub>
                </m:sSub>
              </m:oMath>
            </m:oMathPara>
          </w:p>
        </w:tc>
        <w:tc>
          <w:tcPr>
            <w:tcW w:w="345" w:type="dxa"/>
            <w:vAlign w:val="top"/>
          </w:tcPr>
          <w:p w14:paraId="29BBBDA9" w14:textId="3D916E11" w:rsidR="004334D2" w:rsidRPr="000C5FD6" w:rsidRDefault="004334D2" w:rsidP="00081FD4">
            <w:pPr>
              <w:pStyle w:val="SDMTableBoxParaNotNumbered"/>
            </w:pPr>
            <w:r w:rsidRPr="000C5FD6">
              <w:t>=</w:t>
            </w:r>
          </w:p>
        </w:tc>
        <w:tc>
          <w:tcPr>
            <w:tcW w:w="0" w:type="auto"/>
            <w:vAlign w:val="top"/>
          </w:tcPr>
          <w:p w14:paraId="2267CB72" w14:textId="47969C80" w:rsidR="004334D2" w:rsidRPr="000C5FD6" w:rsidRDefault="004334D2" w:rsidP="00081FD4">
            <w:pPr>
              <w:pStyle w:val="SDMTableBoxParaNotNumbered"/>
            </w:pPr>
            <w:r w:rsidRPr="000C5FD6">
              <w:t>Baseline emissions of methane from the SWDS in year </w:t>
            </w:r>
            <w:r w:rsidRPr="000C5FD6">
              <w:rPr>
                <w:i/>
              </w:rPr>
              <w:t>y</w:t>
            </w:r>
            <w:r w:rsidRPr="000C5FD6">
              <w:t xml:space="preserve"> (t CO</w:t>
            </w:r>
            <w:r w:rsidRPr="000C5FD6">
              <w:rPr>
                <w:vertAlign w:val="subscript"/>
              </w:rPr>
              <w:t>2</w:t>
            </w:r>
            <w:r w:rsidRPr="000C5FD6">
              <w:t>e/y</w:t>
            </w:r>
            <w:r>
              <w:t>ea</w:t>
            </w:r>
            <w:r w:rsidRPr="000C5FD6">
              <w:t>r)</w:t>
            </w:r>
          </w:p>
        </w:tc>
      </w:tr>
      <w:tr w:rsidR="004334D2" w:rsidRPr="000C5FD6" w14:paraId="1B891032" w14:textId="26DF062B" w:rsidTr="007E5A9B">
        <w:tc>
          <w:tcPr>
            <w:tcW w:w="1701" w:type="dxa"/>
            <w:vAlign w:val="top"/>
          </w:tcPr>
          <w:p w14:paraId="7DAE7DB9" w14:textId="73F682B3" w:rsidR="004334D2" w:rsidRPr="00A307F5"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OX</m:t>
                    </m:r>
                  </m:e>
                  <m:sub>
                    <m:r>
                      <w:rPr>
                        <w:rFonts w:ascii="Cambria Math" w:hAnsi="Cambria Math"/>
                      </w:rPr>
                      <m:t>y</m:t>
                    </m:r>
                  </m:sub>
                </m:sSub>
              </m:oMath>
            </m:oMathPara>
          </w:p>
        </w:tc>
        <w:tc>
          <w:tcPr>
            <w:tcW w:w="345" w:type="dxa"/>
            <w:vAlign w:val="top"/>
          </w:tcPr>
          <w:p w14:paraId="2A1A2D94" w14:textId="6AA1BF63" w:rsidR="004334D2" w:rsidRPr="000C5FD6" w:rsidRDefault="004334D2" w:rsidP="00081FD4">
            <w:pPr>
              <w:pStyle w:val="SDMTableBoxParaNotNumbered"/>
            </w:pPr>
            <w:r w:rsidRPr="000C5FD6">
              <w:t>=</w:t>
            </w:r>
          </w:p>
        </w:tc>
        <w:tc>
          <w:tcPr>
            <w:tcW w:w="0" w:type="auto"/>
            <w:vAlign w:val="top"/>
          </w:tcPr>
          <w:p w14:paraId="49534BA0" w14:textId="674D9877" w:rsidR="004334D2" w:rsidRPr="000C5FD6" w:rsidRDefault="004334D2" w:rsidP="00081FD4">
            <w:pPr>
              <w:pStyle w:val="SDMTableBoxParaNotNumbered"/>
            </w:pPr>
            <w:r w:rsidRPr="000C5FD6">
              <w:t xml:space="preserve">Fraction of methane in the LFG that would be oxidized in the top layer of the SWDS in the baseline </w:t>
            </w:r>
            <w:r>
              <w:t>scenario</w:t>
            </w:r>
            <w:r w:rsidRPr="000C5FD6">
              <w:t xml:space="preserve"> </w:t>
            </w:r>
            <w:r>
              <w:t xml:space="preserve">in year </w:t>
            </w:r>
            <w:r w:rsidRPr="006B4AA6">
              <w:rPr>
                <w:i/>
                <w:iCs/>
              </w:rPr>
              <w:t>y</w:t>
            </w:r>
            <w:r>
              <w:t xml:space="preserve"> </w:t>
            </w:r>
            <w:r w:rsidRPr="000C5FD6">
              <w:t>(dimensionless)</w:t>
            </w:r>
          </w:p>
        </w:tc>
      </w:tr>
      <w:tr w:rsidR="004334D2" w:rsidRPr="000C5FD6" w14:paraId="4EFF0AB2" w14:textId="5D09CDF6" w:rsidTr="007E5A9B">
        <w:tc>
          <w:tcPr>
            <w:tcW w:w="1701" w:type="dxa"/>
            <w:vAlign w:val="top"/>
          </w:tcPr>
          <w:p w14:paraId="743F042F" w14:textId="6C92DE7B"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CH4, PJ,capt,y</m:t>
                    </m:r>
                  </m:sub>
                </m:sSub>
              </m:oMath>
            </m:oMathPara>
          </w:p>
        </w:tc>
        <w:tc>
          <w:tcPr>
            <w:tcW w:w="345" w:type="dxa"/>
            <w:vAlign w:val="top"/>
          </w:tcPr>
          <w:p w14:paraId="30907DDB" w14:textId="36AC924B" w:rsidR="004334D2" w:rsidRPr="000C5FD6" w:rsidRDefault="004334D2" w:rsidP="00081FD4">
            <w:pPr>
              <w:pStyle w:val="SDMTableBoxParaNotNumbered"/>
            </w:pPr>
            <w:r w:rsidRPr="000C5FD6">
              <w:t>=</w:t>
            </w:r>
          </w:p>
        </w:tc>
        <w:tc>
          <w:tcPr>
            <w:tcW w:w="0" w:type="auto"/>
            <w:vAlign w:val="top"/>
          </w:tcPr>
          <w:p w14:paraId="3238FAEC" w14:textId="63055F0C" w:rsidR="004334D2" w:rsidRPr="000C5FD6" w:rsidRDefault="004334D2" w:rsidP="00081FD4">
            <w:pPr>
              <w:pStyle w:val="SDMTableBoxParaNotNumbered"/>
            </w:pPr>
            <w:r w:rsidRPr="000C5FD6">
              <w:t xml:space="preserve">Amount of methane in the LFG which is </w:t>
            </w:r>
            <w:r>
              <w:t xml:space="preserve">collected and sent to </w:t>
            </w:r>
            <w:r w:rsidRPr="000C5FD6">
              <w:t>flare</w:t>
            </w:r>
            <w:r>
              <w:t>s</w:t>
            </w:r>
            <w:r w:rsidRPr="000C5FD6">
              <w:t xml:space="preserve"> and/or use </w:t>
            </w:r>
            <w:r>
              <w:t>under</w:t>
            </w:r>
            <w:r w:rsidRPr="000C5FD6">
              <w:t xml:space="preserve"> the </w:t>
            </w:r>
            <w:r w:rsidR="007C3172">
              <w:t>project scenario</w:t>
            </w:r>
            <w:r>
              <w:t xml:space="preserve"> </w:t>
            </w:r>
            <w:r w:rsidRPr="000C5FD6">
              <w:t>in year </w:t>
            </w:r>
            <w:r w:rsidRPr="000C5FD6">
              <w:rPr>
                <w:i/>
              </w:rPr>
              <w:t xml:space="preserve">y </w:t>
            </w:r>
            <w:r w:rsidRPr="000C5FD6">
              <w:t>(t CH</w:t>
            </w:r>
            <w:r w:rsidRPr="000C5FD6">
              <w:rPr>
                <w:vertAlign w:val="subscript"/>
              </w:rPr>
              <w:t>4</w:t>
            </w:r>
            <w:r w:rsidRPr="000C5FD6">
              <w:t>/y</w:t>
            </w:r>
            <w:r>
              <w:t>ea</w:t>
            </w:r>
            <w:r w:rsidRPr="000C5FD6">
              <w:t>r)</w:t>
            </w:r>
          </w:p>
        </w:tc>
      </w:tr>
      <w:tr w:rsidR="004334D2" w:rsidRPr="000C5FD6" w14:paraId="62B1E33E" w14:textId="7160F06B" w:rsidTr="007E5A9B">
        <w:tc>
          <w:tcPr>
            <w:tcW w:w="1701" w:type="dxa"/>
            <w:vAlign w:val="top"/>
          </w:tcPr>
          <w:p w14:paraId="294A3C23" w14:textId="1B466195"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CH4, BL,y</m:t>
                    </m:r>
                  </m:sub>
                </m:sSub>
              </m:oMath>
            </m:oMathPara>
          </w:p>
        </w:tc>
        <w:tc>
          <w:tcPr>
            <w:tcW w:w="345" w:type="dxa"/>
            <w:vAlign w:val="top"/>
          </w:tcPr>
          <w:p w14:paraId="1FF1CCA7" w14:textId="6C50373E" w:rsidR="004334D2" w:rsidRPr="000C5FD6" w:rsidRDefault="004334D2" w:rsidP="00081FD4">
            <w:pPr>
              <w:pStyle w:val="SDMTableBoxParaNotNumbered"/>
            </w:pPr>
            <w:r w:rsidRPr="000C5FD6">
              <w:t>=</w:t>
            </w:r>
          </w:p>
        </w:tc>
        <w:tc>
          <w:tcPr>
            <w:tcW w:w="0" w:type="auto"/>
            <w:vAlign w:val="top"/>
          </w:tcPr>
          <w:p w14:paraId="1A44F684" w14:textId="397FA81B" w:rsidR="004334D2" w:rsidRPr="000C5FD6" w:rsidRDefault="004334D2" w:rsidP="00081FD4">
            <w:pPr>
              <w:pStyle w:val="SDMTableBoxParaNotNumbered"/>
            </w:pPr>
            <w:r w:rsidRPr="000C5FD6">
              <w:t xml:space="preserve">Amount of methane in the LFG that would be </w:t>
            </w:r>
            <w:r>
              <w:t>destroyed</w:t>
            </w:r>
            <w:r w:rsidRPr="000C5FD6">
              <w:t xml:space="preserve"> in the baseline in year </w:t>
            </w:r>
            <w:r w:rsidRPr="000C5FD6">
              <w:rPr>
                <w:i/>
              </w:rPr>
              <w:t>y</w:t>
            </w:r>
            <w:r w:rsidRPr="000C5FD6">
              <w:t xml:space="preserve"> (t CH</w:t>
            </w:r>
            <w:r w:rsidRPr="000C5FD6">
              <w:rPr>
                <w:vertAlign w:val="subscript"/>
              </w:rPr>
              <w:t>4</w:t>
            </w:r>
            <w:r w:rsidRPr="000C5FD6">
              <w:t>/y</w:t>
            </w:r>
            <w:r>
              <w:t>ea</w:t>
            </w:r>
            <w:r w:rsidRPr="000C5FD6">
              <w:t>r)</w:t>
            </w:r>
          </w:p>
        </w:tc>
      </w:tr>
      <w:tr w:rsidR="004334D2" w:rsidRPr="000C5FD6" w14:paraId="5B1048EA" w14:textId="2C97A814" w:rsidTr="007E5A9B">
        <w:tc>
          <w:tcPr>
            <w:tcW w:w="1701" w:type="dxa"/>
            <w:vAlign w:val="top"/>
          </w:tcPr>
          <w:p w14:paraId="5D67B1B1" w14:textId="1AE42716"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GWP</m:t>
                    </m:r>
                  </m:e>
                  <m:sub>
                    <m:r>
                      <w:rPr>
                        <w:rFonts w:ascii="Cambria Math" w:hAnsi="Cambria Math"/>
                      </w:rPr>
                      <m:t>CH4</m:t>
                    </m:r>
                  </m:sub>
                </m:sSub>
              </m:oMath>
            </m:oMathPara>
          </w:p>
        </w:tc>
        <w:tc>
          <w:tcPr>
            <w:tcW w:w="345" w:type="dxa"/>
            <w:vAlign w:val="top"/>
          </w:tcPr>
          <w:p w14:paraId="6E18A9EA" w14:textId="7A03293E" w:rsidR="004334D2" w:rsidRPr="000C5FD6" w:rsidRDefault="004334D2" w:rsidP="00081FD4">
            <w:pPr>
              <w:pStyle w:val="SDMTableBoxParaNotNumbered"/>
            </w:pPr>
            <w:r w:rsidRPr="000C5FD6">
              <w:t>=</w:t>
            </w:r>
          </w:p>
        </w:tc>
        <w:tc>
          <w:tcPr>
            <w:tcW w:w="0" w:type="auto"/>
            <w:vAlign w:val="top"/>
          </w:tcPr>
          <w:p w14:paraId="433B7550" w14:textId="2B350899" w:rsidR="004334D2" w:rsidRPr="000C5FD6" w:rsidRDefault="004334D2" w:rsidP="00081FD4">
            <w:pPr>
              <w:pStyle w:val="SDMTableBoxParaNotNumbered"/>
            </w:pPr>
            <w:r w:rsidRPr="000C5FD6">
              <w:rPr>
                <w:lang w:eastAsia="zh-CN"/>
              </w:rPr>
              <w:t>Global warming potential of CH</w:t>
            </w:r>
            <w:r w:rsidRPr="000C5FD6">
              <w:rPr>
                <w:vertAlign w:val="subscript"/>
                <w:lang w:eastAsia="zh-CN"/>
              </w:rPr>
              <w:t xml:space="preserve">4 </w:t>
            </w:r>
            <w:r w:rsidRPr="000C5FD6">
              <w:rPr>
                <w:lang w:eastAsia="zh-CN"/>
              </w:rPr>
              <w:t>(</w:t>
            </w:r>
            <w:r w:rsidRPr="000C5FD6">
              <w:t>t CO</w:t>
            </w:r>
            <w:r w:rsidRPr="000C5FD6">
              <w:rPr>
                <w:vertAlign w:val="subscript"/>
              </w:rPr>
              <w:t>2</w:t>
            </w:r>
            <w:r w:rsidRPr="000C5FD6">
              <w:t>e/t CH</w:t>
            </w:r>
            <w:r w:rsidRPr="000C5FD6">
              <w:rPr>
                <w:vertAlign w:val="subscript"/>
              </w:rPr>
              <w:t>4</w:t>
            </w:r>
            <w:r w:rsidRPr="000C5FD6">
              <w:t>)</w:t>
            </w:r>
          </w:p>
        </w:tc>
      </w:tr>
    </w:tbl>
    <w:p w14:paraId="1ACA2475" w14:textId="406E1A74" w:rsidR="004334D2" w:rsidRPr="00F073D8" w:rsidRDefault="004334D2" w:rsidP="00E66E80">
      <w:pPr>
        <w:pStyle w:val="SDMHead5"/>
      </w:pPr>
      <w:bookmarkStart w:id="228" w:name="_Ref203469413"/>
      <w:r w:rsidRPr="000C5FD6">
        <w:t xml:space="preserve">Ex post determination of </w:t>
      </w:r>
      <w:r w:rsidRPr="000C5FD6">
        <w:rPr>
          <w:i/>
        </w:rPr>
        <w:t>F</w:t>
      </w:r>
      <w:r w:rsidRPr="000C5FD6">
        <w:rPr>
          <w:i/>
          <w:vertAlign w:val="subscript"/>
        </w:rPr>
        <w:t>CH4,</w:t>
      </w:r>
      <w:r w:rsidR="00D06208">
        <w:rPr>
          <w:i/>
          <w:vertAlign w:val="subscript"/>
        </w:rPr>
        <w:t>PJ,capt,</w:t>
      </w:r>
      <w:r w:rsidRPr="000C5FD6">
        <w:rPr>
          <w:i/>
          <w:vertAlign w:val="subscript"/>
        </w:rPr>
        <w:t>y</w:t>
      </w:r>
      <w:bookmarkEnd w:id="228"/>
    </w:p>
    <w:p w14:paraId="6DBA58F7" w14:textId="42781B96" w:rsidR="00F073D8" w:rsidRPr="000C5FD6" w:rsidRDefault="00F073D8" w:rsidP="00DA05CE">
      <w:pPr>
        <w:pStyle w:val="SDMPara"/>
        <w:keepNext/>
      </w:pPr>
      <w:bookmarkStart w:id="229" w:name="_Ref207393729"/>
      <w:r w:rsidRPr="000C5FD6">
        <w:rPr>
          <w:iCs/>
        </w:rPr>
        <w:t xml:space="preserve">During the crediting period, </w:t>
      </w:r>
      <w:r w:rsidRPr="000C5FD6">
        <w:rPr>
          <w:i/>
          <w:iCs/>
        </w:rPr>
        <w:t>F</w:t>
      </w:r>
      <w:r w:rsidRPr="000C5FD6">
        <w:rPr>
          <w:i/>
          <w:iCs/>
          <w:vertAlign w:val="subscript"/>
        </w:rPr>
        <w:t>CH4,</w:t>
      </w:r>
      <w:r w:rsidR="00421E68">
        <w:rPr>
          <w:i/>
          <w:iCs/>
          <w:vertAlign w:val="subscript"/>
        </w:rPr>
        <w:t>P</w:t>
      </w:r>
      <w:r w:rsidR="004C00C9">
        <w:rPr>
          <w:i/>
          <w:iCs/>
          <w:vertAlign w:val="subscript"/>
        </w:rPr>
        <w:t>J</w:t>
      </w:r>
      <w:r w:rsidRPr="000C5FD6">
        <w:rPr>
          <w:i/>
          <w:iCs/>
          <w:vertAlign w:val="subscript"/>
        </w:rPr>
        <w:t>,</w:t>
      </w:r>
      <w:r w:rsidR="00D06208">
        <w:rPr>
          <w:i/>
          <w:iCs/>
          <w:vertAlign w:val="subscript"/>
        </w:rPr>
        <w:t>capt,</w:t>
      </w:r>
      <w:r w:rsidRPr="000C5FD6">
        <w:rPr>
          <w:i/>
          <w:iCs/>
          <w:vertAlign w:val="subscript"/>
        </w:rPr>
        <w:t>y</w:t>
      </w:r>
      <w:r w:rsidRPr="000C5FD6">
        <w:t xml:space="preserve"> is determined as the sum of the quantities of methane flared</w:t>
      </w:r>
      <w:r>
        <w:t>,</w:t>
      </w:r>
      <w:r w:rsidRPr="000C5FD6">
        <w:t xml:space="preserve"> used </w:t>
      </w:r>
      <w:r>
        <w:t>for electricity or heat generation, and</w:t>
      </w:r>
      <w:r w:rsidR="00986BA1">
        <w:t>/or</w:t>
      </w:r>
      <w:r>
        <w:t xml:space="preserve"> supplied to consumers via a </w:t>
      </w:r>
      <w:r w:rsidRPr="000C5FD6">
        <w:t>natural gas distribution</w:t>
      </w:r>
      <w:r>
        <w:t xml:space="preserve"> network</w:t>
      </w:r>
      <w:r w:rsidRPr="008C0B26">
        <w:t xml:space="preserve"> and/or dedicated pipeline and/or to the trucks</w:t>
      </w:r>
      <w:r w:rsidRPr="000C5FD6">
        <w:t>, as follows:</w:t>
      </w:r>
      <w:bookmarkEnd w:id="229"/>
    </w:p>
    <w:tbl>
      <w:tblPr>
        <w:tblStyle w:val="SDMMethTableEquation"/>
        <w:tblW w:w="9214" w:type="dxa"/>
        <w:tblInd w:w="142" w:type="dxa"/>
        <w:tblLook w:val="0600" w:firstRow="0" w:lastRow="0" w:firstColumn="0" w:lastColumn="0" w:noHBand="1" w:noVBand="1"/>
      </w:tblPr>
      <w:tblGrid>
        <w:gridCol w:w="7938"/>
        <w:gridCol w:w="1276"/>
      </w:tblGrid>
      <w:tr w:rsidR="004334D2" w:rsidRPr="000C5FD6" w14:paraId="0228B493" w14:textId="74E8ED08" w:rsidTr="007E5A9B">
        <w:tc>
          <w:tcPr>
            <w:tcW w:w="7938" w:type="dxa"/>
          </w:tcPr>
          <w:bookmarkStart w:id="230" w:name="_Hlk207406304"/>
          <w:p w14:paraId="15F1C290" w14:textId="3AF4516C" w:rsidR="004334D2" w:rsidRPr="00DA0B1A"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PJ,capt,y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CH4,flared,y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 EL, y</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CH4, HG, y</m:t>
                        </m:r>
                      </m:sub>
                    </m:sSub>
                    <m:r>
                      <w:rPr>
                        <w:rFonts w:ascii="Cambria Math" w:hAnsi="Cambria Math"/>
                      </w:rPr>
                      <m:t>×</m:t>
                    </m:r>
                    <m:sSub>
                      <m:sSubPr>
                        <m:ctrlPr>
                          <w:rPr>
                            <w:rFonts w:ascii="Cambria Math" w:hAnsi="Cambria Math"/>
                            <w:i/>
                          </w:rPr>
                        </m:ctrlPr>
                      </m:sSubPr>
                      <m:e>
                        <m:r>
                          <w:rPr>
                            <w:rFonts w:ascii="Cambria Math" w:hAnsi="Cambria Math"/>
                          </w:rPr>
                          <m:t>fd</m:t>
                        </m:r>
                      </m:e>
                      <m:sub>
                        <m:r>
                          <w:rPr>
                            <w:rFonts w:ascii="Cambria Math" w:hAnsi="Cambria Math"/>
                          </w:rPr>
                          <m:t>CH4, HG, j, default</m:t>
                        </m:r>
                      </m:sub>
                    </m:sSub>
                  </m:e>
                </m:d>
                <m:r>
                  <w:rPr>
                    <w:rFonts w:ascii="Cambria Math" w:hAnsi="Cambria Math"/>
                  </w:rPr>
                  <m:t>+</m:t>
                </m:r>
                <w:bookmarkEnd w:id="230"/>
                <m:sSub>
                  <m:sSubPr>
                    <m:ctrlPr>
                      <w:rPr>
                        <w:rFonts w:ascii="Cambria Math" w:hAnsi="Cambria Math"/>
                        <w:i/>
                      </w:rPr>
                    </m:ctrlPr>
                  </m:sSubPr>
                  <m:e>
                    <m:r>
                      <w:rPr>
                        <w:rFonts w:ascii="Cambria Math" w:hAnsi="Cambria Math"/>
                      </w:rPr>
                      <m:t>F</m:t>
                    </m:r>
                  </m:e>
                  <m:sub>
                    <m:r>
                      <w:rPr>
                        <w:rFonts w:ascii="Cambria Math" w:hAnsi="Cambria Math"/>
                      </w:rPr>
                      <m:t>CH4, NG,y</m:t>
                    </m:r>
                  </m:sub>
                </m:sSub>
              </m:oMath>
            </m:oMathPara>
          </w:p>
        </w:tc>
        <w:tc>
          <w:tcPr>
            <w:tcW w:w="1276" w:type="dxa"/>
          </w:tcPr>
          <w:p w14:paraId="76C1C17C" w14:textId="6590891C" w:rsidR="004334D2" w:rsidRPr="00DA0B1A" w:rsidRDefault="004334D2" w:rsidP="00247E9F">
            <w:pPr>
              <w:pStyle w:val="SDMMethEquationNr"/>
              <w:numPr>
                <w:ilvl w:val="0"/>
                <w:numId w:val="7"/>
              </w:numPr>
              <w:rPr>
                <w:sz w:val="22"/>
              </w:rPr>
            </w:pPr>
          </w:p>
        </w:tc>
      </w:tr>
    </w:tbl>
    <w:p w14:paraId="6EA42F0F" w14:textId="77777777" w:rsidR="004334D2" w:rsidRPr="000C5FD6" w:rsidRDefault="004334D2" w:rsidP="00DA05CE">
      <w:pPr>
        <w:pStyle w:val="SDMMethCaptionEquationParametersTable"/>
        <w:tabs>
          <w:tab w:val="clear" w:pos="1956"/>
          <w:tab w:val="clear" w:pos="2126"/>
          <w:tab w:val="clear" w:pos="2693"/>
          <w:tab w:val="clear" w:pos="3260"/>
          <w:tab w:val="left" w:pos="6162"/>
        </w:tabs>
      </w:pPr>
      <w:r w:rsidRPr="000C5FD6">
        <w:t>Where:</w:t>
      </w:r>
    </w:p>
    <w:tbl>
      <w:tblPr>
        <w:tblStyle w:val="SDMMethTableEquationParameters"/>
        <w:tblW w:w="9496" w:type="dxa"/>
        <w:tblLook w:val="04A0" w:firstRow="1" w:lastRow="0" w:firstColumn="1" w:lastColumn="0" w:noHBand="0" w:noVBand="1"/>
      </w:tblPr>
      <w:tblGrid>
        <w:gridCol w:w="1785"/>
        <w:gridCol w:w="583"/>
        <w:gridCol w:w="7128"/>
      </w:tblGrid>
      <w:tr w:rsidR="004334D2" w:rsidRPr="000C5FD6" w14:paraId="25CB296B" w14:textId="77777777" w:rsidTr="007E5A9B">
        <w:tc>
          <w:tcPr>
            <w:tcW w:w="1785" w:type="dxa"/>
            <w:vAlign w:val="top"/>
          </w:tcPr>
          <w:p w14:paraId="2BAE537B" w14:textId="0F0468F0" w:rsidR="004334D2" w:rsidRPr="0095063A" w:rsidRDefault="00302468" w:rsidP="00081FD4">
            <w:pPr>
              <w:pStyle w:val="SDMTableBoxParaNotNumbered"/>
              <w:rPr>
                <w:sz w:val="18"/>
                <w:szCs w:val="18"/>
              </w:rPr>
            </w:pPr>
            <m:oMathPara>
              <m:oMathParaPr>
                <m:jc m:val="left"/>
              </m:oMathParaPr>
              <m:oMath>
                <m:sSub>
                  <m:sSubPr>
                    <m:ctrlPr>
                      <w:rPr>
                        <w:rFonts w:ascii="Cambria Math" w:hAnsi="Cambria Math" w:cs="Arial"/>
                        <w:i/>
                        <w:sz w:val="18"/>
                        <w:szCs w:val="18"/>
                      </w:rPr>
                    </m:ctrlPr>
                  </m:sSubPr>
                  <m:e>
                    <m:r>
                      <w:rPr>
                        <w:rFonts w:ascii="Cambria Math" w:hAnsi="Cambria Math"/>
                        <w:sz w:val="18"/>
                        <w:szCs w:val="18"/>
                      </w:rPr>
                      <m:t>F</m:t>
                    </m:r>
                  </m:e>
                  <m:sub>
                    <m:r>
                      <w:rPr>
                        <w:rFonts w:ascii="Cambria Math" w:hAnsi="Cambria Math"/>
                        <w:sz w:val="18"/>
                        <w:szCs w:val="18"/>
                      </w:rPr>
                      <m:t>CH4,PJ,capt,y</m:t>
                    </m:r>
                  </m:sub>
                </m:sSub>
              </m:oMath>
            </m:oMathPara>
          </w:p>
        </w:tc>
        <w:tc>
          <w:tcPr>
            <w:tcW w:w="583" w:type="dxa"/>
            <w:vAlign w:val="top"/>
          </w:tcPr>
          <w:p w14:paraId="59C557FE" w14:textId="77777777" w:rsidR="004334D2" w:rsidRPr="000C5FD6" w:rsidRDefault="004334D2" w:rsidP="00081FD4">
            <w:pPr>
              <w:pStyle w:val="SDMTableBoxParaNotNumbered"/>
            </w:pPr>
            <w:r w:rsidRPr="000C5FD6">
              <w:t>=</w:t>
            </w:r>
          </w:p>
        </w:tc>
        <w:tc>
          <w:tcPr>
            <w:tcW w:w="7128" w:type="dxa"/>
            <w:vAlign w:val="top"/>
          </w:tcPr>
          <w:p w14:paraId="02CDA1F7" w14:textId="5F069B92" w:rsidR="004334D2" w:rsidRPr="000C5FD6" w:rsidRDefault="00ED0C4F" w:rsidP="00081FD4">
            <w:pPr>
              <w:pStyle w:val="SDMTableBoxParaNotNumbered"/>
            </w:pPr>
            <w:r w:rsidRPr="000C5FD6">
              <w:t xml:space="preserve">Amount of methane in the LFG which is </w:t>
            </w:r>
            <w:r>
              <w:t xml:space="preserve">collected and sent to </w:t>
            </w:r>
            <w:r w:rsidRPr="000C5FD6">
              <w:t>flare</w:t>
            </w:r>
            <w:r>
              <w:t>s</w:t>
            </w:r>
            <w:r w:rsidRPr="000C5FD6">
              <w:t xml:space="preserve"> and/or use </w:t>
            </w:r>
            <w:r>
              <w:t>under</w:t>
            </w:r>
            <w:r w:rsidRPr="000C5FD6">
              <w:t xml:space="preserve"> the </w:t>
            </w:r>
            <w:r>
              <w:t xml:space="preserve">project scenario </w:t>
            </w:r>
            <w:r w:rsidRPr="000C5FD6">
              <w:t>in year </w:t>
            </w:r>
            <w:r w:rsidRPr="000C5FD6">
              <w:rPr>
                <w:i/>
              </w:rPr>
              <w:t xml:space="preserve">y </w:t>
            </w:r>
            <w:r w:rsidRPr="000C5FD6">
              <w:t>(tCH</w:t>
            </w:r>
            <w:r w:rsidRPr="000C5FD6">
              <w:rPr>
                <w:vertAlign w:val="subscript"/>
              </w:rPr>
              <w:t>4</w:t>
            </w:r>
            <w:r w:rsidRPr="000C5FD6">
              <w:t>/y</w:t>
            </w:r>
            <w:r>
              <w:t>ea</w:t>
            </w:r>
            <w:r w:rsidRPr="000C5FD6">
              <w:t>r)</w:t>
            </w:r>
          </w:p>
        </w:tc>
      </w:tr>
      <w:tr w:rsidR="009A207A" w:rsidRPr="000C5FD6" w14:paraId="406370FC" w14:textId="77777777" w:rsidTr="007E5A9B">
        <w:tc>
          <w:tcPr>
            <w:tcW w:w="1785" w:type="dxa"/>
            <w:vAlign w:val="top"/>
          </w:tcPr>
          <w:p w14:paraId="0FB9EE58" w14:textId="74526B0B" w:rsidR="009A207A" w:rsidRPr="00ED0C4F"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sz w:val="18"/>
                        <w:szCs w:val="18"/>
                      </w:rPr>
                      <m:t>F</m:t>
                    </m:r>
                  </m:e>
                  <m:sub>
                    <m:r>
                      <w:rPr>
                        <w:rFonts w:ascii="Cambria Math" w:hAnsi="Cambria Math"/>
                        <w:sz w:val="18"/>
                        <w:szCs w:val="18"/>
                      </w:rPr>
                      <m:t>CH4, flared,y</m:t>
                    </m:r>
                  </m:sub>
                </m:sSub>
              </m:oMath>
            </m:oMathPara>
          </w:p>
        </w:tc>
        <w:tc>
          <w:tcPr>
            <w:tcW w:w="583" w:type="dxa"/>
            <w:vAlign w:val="top"/>
          </w:tcPr>
          <w:p w14:paraId="6AF96FC6" w14:textId="659DFED1" w:rsidR="009A207A" w:rsidRPr="000C5FD6" w:rsidRDefault="009A207A" w:rsidP="00081FD4">
            <w:pPr>
              <w:pStyle w:val="SDMTableBoxParaNotNumbered"/>
            </w:pPr>
            <w:r w:rsidRPr="003023BA">
              <w:t>=</w:t>
            </w:r>
          </w:p>
        </w:tc>
        <w:tc>
          <w:tcPr>
            <w:tcW w:w="7128" w:type="dxa"/>
            <w:vAlign w:val="top"/>
          </w:tcPr>
          <w:p w14:paraId="7E41E10B" w14:textId="40546AEB" w:rsidR="009A207A" w:rsidRPr="000C5FD6" w:rsidRDefault="003023BA" w:rsidP="00081FD4">
            <w:pPr>
              <w:pStyle w:val="SDMTableBoxParaNotNumbered"/>
            </w:pPr>
            <w:r w:rsidRPr="003023BA">
              <w:t xml:space="preserve">Amount of methane in the LFG which is flared in </w:t>
            </w:r>
            <w:r w:rsidRPr="003023BA">
              <w:rPr>
                <w:iCs/>
              </w:rPr>
              <w:t>year </w:t>
            </w:r>
            <w:r w:rsidRPr="003023BA">
              <w:rPr>
                <w:i/>
                <w:iCs/>
              </w:rPr>
              <w:t>y</w:t>
            </w:r>
            <w:r w:rsidRPr="003023BA">
              <w:t xml:space="preserve"> (tCH</w:t>
            </w:r>
            <w:r w:rsidRPr="003023BA">
              <w:rPr>
                <w:vertAlign w:val="subscript"/>
              </w:rPr>
              <w:t>4</w:t>
            </w:r>
            <w:r w:rsidRPr="003023BA">
              <w:t>/year)</w:t>
            </w:r>
          </w:p>
        </w:tc>
      </w:tr>
      <w:tr w:rsidR="004334D2" w:rsidRPr="000C5FD6" w14:paraId="5961C0AA" w14:textId="77777777" w:rsidTr="007E5A9B">
        <w:tc>
          <w:tcPr>
            <w:tcW w:w="1785" w:type="dxa"/>
            <w:vAlign w:val="top"/>
          </w:tcPr>
          <w:p w14:paraId="40D9A1AA" w14:textId="40955A92"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CH4, EL, y</m:t>
                    </m:r>
                  </m:sub>
                </m:sSub>
              </m:oMath>
            </m:oMathPara>
          </w:p>
        </w:tc>
        <w:tc>
          <w:tcPr>
            <w:tcW w:w="583" w:type="dxa"/>
            <w:vAlign w:val="top"/>
          </w:tcPr>
          <w:p w14:paraId="781BD9BC" w14:textId="77777777" w:rsidR="004334D2" w:rsidRPr="000C5FD6" w:rsidRDefault="004334D2" w:rsidP="00081FD4">
            <w:pPr>
              <w:pStyle w:val="SDMTableBoxParaNotNumbered"/>
            </w:pPr>
            <w:r w:rsidRPr="000C5FD6">
              <w:t>=</w:t>
            </w:r>
          </w:p>
        </w:tc>
        <w:tc>
          <w:tcPr>
            <w:tcW w:w="7128" w:type="dxa"/>
            <w:vAlign w:val="top"/>
          </w:tcPr>
          <w:p w14:paraId="5F7CFF79" w14:textId="5A0E88B5" w:rsidR="004334D2" w:rsidRPr="000C5FD6" w:rsidRDefault="004334D2" w:rsidP="00081FD4">
            <w:pPr>
              <w:pStyle w:val="SDMTableBoxParaNotNumbered"/>
            </w:pPr>
            <w:r w:rsidRPr="000C5FD6">
              <w:t xml:space="preserve">Amount of methane in the LFG </w:t>
            </w:r>
            <w:r>
              <w:t xml:space="preserve">or in the biomethane </w:t>
            </w:r>
            <w:r w:rsidRPr="000C5FD6">
              <w:t xml:space="preserve">which is used for electricity generation </w:t>
            </w:r>
            <w:r w:rsidRPr="000C5FD6">
              <w:rPr>
                <w:iCs/>
              </w:rPr>
              <w:t>in year </w:t>
            </w:r>
            <w:r w:rsidRPr="000C5FD6">
              <w:rPr>
                <w:i/>
                <w:iCs/>
              </w:rPr>
              <w:t>y</w:t>
            </w:r>
            <w:r w:rsidRPr="000C5FD6">
              <w:t xml:space="preserve"> (tCH</w:t>
            </w:r>
            <w:r w:rsidRPr="000C5FD6">
              <w:rPr>
                <w:vertAlign w:val="subscript"/>
              </w:rPr>
              <w:t>4</w:t>
            </w:r>
            <w:r w:rsidRPr="000C5FD6">
              <w:t>/y</w:t>
            </w:r>
            <w:r>
              <w:t>ea</w:t>
            </w:r>
            <w:r w:rsidRPr="000C5FD6">
              <w:t>r)</w:t>
            </w:r>
          </w:p>
        </w:tc>
      </w:tr>
      <w:tr w:rsidR="004334D2" w:rsidRPr="000C5FD6" w14:paraId="73674A07" w14:textId="77777777" w:rsidTr="007E5A9B">
        <w:tc>
          <w:tcPr>
            <w:tcW w:w="1785" w:type="dxa"/>
            <w:vAlign w:val="top"/>
          </w:tcPr>
          <w:p w14:paraId="16290F54" w14:textId="4DAA68ED" w:rsidR="004334D2" w:rsidRPr="000C5FD6" w:rsidRDefault="00302468" w:rsidP="00081FD4">
            <w:pPr>
              <w:pStyle w:val="SDMTableBoxParaNotNumbered"/>
              <w:keepNext/>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CH4, HG, y</m:t>
                    </m:r>
                  </m:sub>
                </m:sSub>
              </m:oMath>
            </m:oMathPara>
          </w:p>
        </w:tc>
        <w:tc>
          <w:tcPr>
            <w:tcW w:w="583" w:type="dxa"/>
            <w:vAlign w:val="top"/>
          </w:tcPr>
          <w:p w14:paraId="403DCDA0" w14:textId="77777777" w:rsidR="004334D2" w:rsidRPr="000C5FD6" w:rsidRDefault="004334D2" w:rsidP="00081FD4">
            <w:pPr>
              <w:pStyle w:val="SDMTableBoxParaNotNumbered"/>
              <w:keepNext/>
            </w:pPr>
            <w:r w:rsidRPr="000C5FD6">
              <w:t>=</w:t>
            </w:r>
          </w:p>
        </w:tc>
        <w:tc>
          <w:tcPr>
            <w:tcW w:w="7128" w:type="dxa"/>
            <w:vAlign w:val="top"/>
          </w:tcPr>
          <w:p w14:paraId="1E06513D" w14:textId="7A9F796B" w:rsidR="004334D2" w:rsidRPr="000C5FD6" w:rsidRDefault="004334D2" w:rsidP="00081FD4">
            <w:pPr>
              <w:pStyle w:val="SDMTableBoxParaNotNumbered"/>
              <w:keepNext/>
            </w:pPr>
            <w:r w:rsidRPr="000C5FD6">
              <w:t xml:space="preserve">Amount of methane in the LFG </w:t>
            </w:r>
            <w:r>
              <w:t xml:space="preserve">or in the biomethane </w:t>
            </w:r>
            <w:r w:rsidRPr="000C5FD6">
              <w:t xml:space="preserve">which is used for heat generation </w:t>
            </w:r>
            <w:r w:rsidRPr="000C5FD6">
              <w:rPr>
                <w:iCs/>
              </w:rPr>
              <w:t>in year </w:t>
            </w:r>
            <w:r w:rsidRPr="000C5FD6">
              <w:rPr>
                <w:i/>
                <w:iCs/>
              </w:rPr>
              <w:t>y</w:t>
            </w:r>
            <w:r w:rsidRPr="000C5FD6">
              <w:t xml:space="preserve"> (tCH</w:t>
            </w:r>
            <w:r w:rsidRPr="000C5FD6">
              <w:rPr>
                <w:vertAlign w:val="subscript"/>
              </w:rPr>
              <w:t>4</w:t>
            </w:r>
            <w:r w:rsidRPr="000C5FD6">
              <w:t>/y</w:t>
            </w:r>
            <w:r>
              <w:t>ea</w:t>
            </w:r>
            <w:r w:rsidRPr="000C5FD6">
              <w:t>r)</w:t>
            </w:r>
          </w:p>
        </w:tc>
      </w:tr>
      <w:tr w:rsidR="004334D2" w:rsidRPr="000C5FD6" w14:paraId="4BEA531F" w14:textId="77777777" w:rsidTr="007E5A9B">
        <w:tc>
          <w:tcPr>
            <w:tcW w:w="1785" w:type="dxa"/>
            <w:vAlign w:val="top"/>
          </w:tcPr>
          <w:p w14:paraId="5C8FE993" w14:textId="77777777" w:rsidR="004334D2" w:rsidRPr="00A54EFB" w:rsidRDefault="00302468" w:rsidP="00081FD4">
            <w:pPr>
              <w:pStyle w:val="SDMTableBoxParaNotNumbered"/>
              <w:keepNext/>
            </w:pPr>
            <m:oMathPara>
              <m:oMathParaPr>
                <m:jc m:val="left"/>
              </m:oMathParaPr>
              <m:oMath>
                <m:sSub>
                  <m:sSubPr>
                    <m:ctrlPr>
                      <w:rPr>
                        <w:rFonts w:ascii="Cambria Math" w:hAnsi="Cambria Math"/>
                        <w:i/>
                      </w:rPr>
                    </m:ctrlPr>
                  </m:sSubPr>
                  <m:e>
                    <m:r>
                      <w:rPr>
                        <w:rFonts w:ascii="Cambria Math" w:hAnsi="Cambria Math"/>
                      </w:rPr>
                      <m:t>fd</m:t>
                    </m:r>
                  </m:e>
                  <m:sub>
                    <m:r>
                      <w:rPr>
                        <w:rFonts w:ascii="Cambria Math" w:hAnsi="Cambria Math"/>
                      </w:rPr>
                      <m:t>CH4, HG, j, default</m:t>
                    </m:r>
                  </m:sub>
                </m:sSub>
              </m:oMath>
            </m:oMathPara>
          </w:p>
        </w:tc>
        <w:tc>
          <w:tcPr>
            <w:tcW w:w="583" w:type="dxa"/>
            <w:vAlign w:val="top"/>
          </w:tcPr>
          <w:p w14:paraId="18009022" w14:textId="77777777" w:rsidR="004334D2" w:rsidRPr="000C5FD6" w:rsidRDefault="004334D2" w:rsidP="00081FD4">
            <w:pPr>
              <w:pStyle w:val="SDMTableBoxParaNotNumbered"/>
              <w:keepNext/>
            </w:pPr>
            <w:r>
              <w:t>=</w:t>
            </w:r>
          </w:p>
        </w:tc>
        <w:tc>
          <w:tcPr>
            <w:tcW w:w="7128" w:type="dxa"/>
            <w:vAlign w:val="top"/>
          </w:tcPr>
          <w:p w14:paraId="68A6391F" w14:textId="77777777" w:rsidR="004334D2" w:rsidRPr="000C5FD6" w:rsidRDefault="004334D2" w:rsidP="00081FD4">
            <w:pPr>
              <w:pStyle w:val="SDMTableBoxParaNotNumbered"/>
              <w:keepNext/>
            </w:pPr>
            <w:r w:rsidRPr="000C5FD6">
              <w:rPr>
                <w:snapToGrid w:val="0"/>
                <w:color w:val="000000"/>
                <w:lang w:eastAsia="pt-BR"/>
              </w:rPr>
              <w:t>Default value for the fraction of methane destroyed when used for heat generation equipment type </w:t>
            </w:r>
            <w:r w:rsidRPr="000C5FD6">
              <w:rPr>
                <w:i/>
                <w:snapToGrid w:val="0"/>
                <w:color w:val="000000"/>
                <w:lang w:eastAsia="pt-BR"/>
              </w:rPr>
              <w:t>j</w:t>
            </w:r>
          </w:p>
        </w:tc>
      </w:tr>
      <w:tr w:rsidR="004334D2" w:rsidRPr="000C5FD6" w14:paraId="0DDE7890" w14:textId="77777777" w:rsidTr="007E5A9B">
        <w:tc>
          <w:tcPr>
            <w:tcW w:w="1785" w:type="dxa"/>
            <w:vAlign w:val="top"/>
          </w:tcPr>
          <w:p w14:paraId="7783A593" w14:textId="4A2A8BE5"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CH4, NG,y</m:t>
                    </m:r>
                  </m:sub>
                </m:sSub>
              </m:oMath>
            </m:oMathPara>
          </w:p>
        </w:tc>
        <w:tc>
          <w:tcPr>
            <w:tcW w:w="583" w:type="dxa"/>
            <w:vAlign w:val="top"/>
          </w:tcPr>
          <w:p w14:paraId="1073E607" w14:textId="77777777" w:rsidR="004334D2" w:rsidRPr="000C5FD6" w:rsidRDefault="004334D2" w:rsidP="00081FD4">
            <w:pPr>
              <w:pStyle w:val="SDMTableBoxParaNotNumbered"/>
            </w:pPr>
            <w:r w:rsidRPr="000C5FD6">
              <w:t>=</w:t>
            </w:r>
          </w:p>
        </w:tc>
        <w:tc>
          <w:tcPr>
            <w:tcW w:w="7128" w:type="dxa"/>
            <w:vAlign w:val="top"/>
          </w:tcPr>
          <w:p w14:paraId="494C4421" w14:textId="5301ECC4" w:rsidR="004334D2" w:rsidRPr="000C5FD6" w:rsidRDefault="004334D2" w:rsidP="00081FD4">
            <w:pPr>
              <w:pStyle w:val="SDMTableBoxParaNotNumbered"/>
            </w:pPr>
            <w:r w:rsidRPr="000C5FD6">
              <w:t xml:space="preserve">Amount of methane in the LFG </w:t>
            </w:r>
            <w:r>
              <w:t xml:space="preserve">or in the biomethane </w:t>
            </w:r>
            <w:r w:rsidRPr="000C5FD6">
              <w:t xml:space="preserve">which is </w:t>
            </w:r>
            <w:r>
              <w:t>supplied to consumers via a</w:t>
            </w:r>
            <w:r w:rsidRPr="000C5FD6">
              <w:t xml:space="preserve"> natural gas distribution network and/or dedicated pipeline and/or trucks </w:t>
            </w:r>
            <w:r w:rsidRPr="000C5FD6">
              <w:rPr>
                <w:iCs/>
              </w:rPr>
              <w:t>in year </w:t>
            </w:r>
            <w:r w:rsidRPr="000C5FD6">
              <w:rPr>
                <w:i/>
                <w:iCs/>
              </w:rPr>
              <w:t>y</w:t>
            </w:r>
            <w:r w:rsidRPr="000C5FD6">
              <w:t xml:space="preserve"> (tCH</w:t>
            </w:r>
            <w:r w:rsidRPr="000C5FD6">
              <w:rPr>
                <w:vertAlign w:val="subscript"/>
              </w:rPr>
              <w:t>4</w:t>
            </w:r>
            <w:r w:rsidRPr="000C5FD6">
              <w:t>/y</w:t>
            </w:r>
            <w:r>
              <w:t>ea</w:t>
            </w:r>
            <w:r w:rsidRPr="000C5FD6">
              <w:t>r)</w:t>
            </w:r>
          </w:p>
        </w:tc>
      </w:tr>
    </w:tbl>
    <w:p w14:paraId="0619A819" w14:textId="650DC041" w:rsidR="00FF1C6C" w:rsidRPr="00EB0051" w:rsidRDefault="002F484A" w:rsidP="00DA05CE">
      <w:pPr>
        <w:pStyle w:val="SDMPara"/>
        <w:keepNext/>
      </w:pPr>
      <w:bookmarkStart w:id="231" w:name="_Ref207442649"/>
      <w:r>
        <w:t xml:space="preserve">The parameters </w:t>
      </w:r>
      <w:r w:rsidR="00FF1C6C" w:rsidRPr="00EB0051">
        <w:rPr>
          <w:i/>
          <w:iCs/>
        </w:rPr>
        <w:t>F</w:t>
      </w:r>
      <w:r w:rsidR="00FF1C6C" w:rsidRPr="00EB0051">
        <w:rPr>
          <w:i/>
          <w:iCs/>
          <w:vertAlign w:val="subscript"/>
        </w:rPr>
        <w:t>CH4,flared,y</w:t>
      </w:r>
      <w:r w:rsidR="00FF1C6C" w:rsidRPr="00EB0051">
        <w:t xml:space="preserve"> is determined as the sum of methane destroyed in the backup flare (</w:t>
      </w:r>
      <w:r w:rsidR="00FF1C6C" w:rsidRPr="00EB0051">
        <w:rPr>
          <w:i/>
          <w:iCs/>
        </w:rPr>
        <w:t>F</w:t>
      </w:r>
      <w:r w:rsidR="00FF1C6C" w:rsidRPr="00EB0051">
        <w:rPr>
          <w:i/>
          <w:iCs/>
          <w:vertAlign w:val="subscript"/>
        </w:rPr>
        <w:t>CH4,Backup</w:t>
      </w:r>
      <w:r w:rsidR="003023BA" w:rsidRPr="00EB0051">
        <w:rPr>
          <w:i/>
          <w:iCs/>
          <w:vertAlign w:val="subscript"/>
        </w:rPr>
        <w:t>-</w:t>
      </w:r>
      <w:r w:rsidR="00FF1C6C" w:rsidRPr="00EB0051">
        <w:rPr>
          <w:i/>
          <w:iCs/>
          <w:vertAlign w:val="subscript"/>
        </w:rPr>
        <w:t>Flare,y</w:t>
      </w:r>
      <w:r w:rsidR="00FF1C6C" w:rsidRPr="00EB0051">
        <w:t>) and in the Primary flare (</w:t>
      </w:r>
      <w:r w:rsidR="00FF1C6C" w:rsidRPr="00EB0051">
        <w:rPr>
          <w:i/>
          <w:iCs/>
        </w:rPr>
        <w:t>F</w:t>
      </w:r>
      <w:r w:rsidR="00FF1C6C" w:rsidRPr="00EB0051">
        <w:rPr>
          <w:i/>
          <w:iCs/>
          <w:vertAlign w:val="subscript"/>
        </w:rPr>
        <w:t>CH4,Primary</w:t>
      </w:r>
      <w:r w:rsidR="003023BA" w:rsidRPr="00EB0051">
        <w:rPr>
          <w:i/>
          <w:iCs/>
          <w:vertAlign w:val="subscript"/>
        </w:rPr>
        <w:t>-</w:t>
      </w:r>
      <w:r w:rsidR="00FF1C6C" w:rsidRPr="00EB0051">
        <w:rPr>
          <w:i/>
          <w:iCs/>
          <w:vertAlign w:val="subscript"/>
        </w:rPr>
        <w:t>Flare,y</w:t>
      </w:r>
      <w:r w:rsidR="00FF1C6C" w:rsidRPr="00EB0051">
        <w:t>), as follows:</w:t>
      </w:r>
    </w:p>
    <w:tbl>
      <w:tblPr>
        <w:tblStyle w:val="SDMMethTableEquation"/>
        <w:tblW w:w="8760" w:type="dxa"/>
        <w:tblLook w:val="0600" w:firstRow="0" w:lastRow="0" w:firstColumn="0" w:lastColumn="0" w:noHBand="1" w:noVBand="1"/>
      </w:tblPr>
      <w:tblGrid>
        <w:gridCol w:w="7097"/>
        <w:gridCol w:w="1663"/>
      </w:tblGrid>
      <w:tr w:rsidR="00FF1C6C" w:rsidRPr="00760246" w14:paraId="652025D8" w14:textId="77777777" w:rsidTr="007E5A9B">
        <w:tc>
          <w:tcPr>
            <w:tcW w:w="7224" w:type="dxa"/>
          </w:tcPr>
          <w:p w14:paraId="215268F4" w14:textId="7CA8B707" w:rsidR="00FF1C6C" w:rsidRPr="00DA0B1A" w:rsidRDefault="00302468" w:rsidP="00CA118F">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flared,y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CH4,Backup-Flare,y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CH4,Primary-Flare,y</m:t>
                    </m:r>
                  </m:sub>
                </m:sSub>
              </m:oMath>
            </m:oMathPara>
          </w:p>
        </w:tc>
        <w:tc>
          <w:tcPr>
            <w:tcW w:w="1701" w:type="dxa"/>
          </w:tcPr>
          <w:p w14:paraId="71911003" w14:textId="77777777" w:rsidR="00FF1C6C" w:rsidRPr="00DA0B1A" w:rsidRDefault="00FF1C6C" w:rsidP="00247E9F">
            <w:pPr>
              <w:pStyle w:val="SDMMethEquationNr"/>
              <w:numPr>
                <w:ilvl w:val="0"/>
                <w:numId w:val="4"/>
              </w:numPr>
              <w:rPr>
                <w:sz w:val="22"/>
              </w:rPr>
            </w:pPr>
          </w:p>
        </w:tc>
      </w:tr>
    </w:tbl>
    <w:p w14:paraId="1D58B8E5" w14:textId="77777777" w:rsidR="00FF1C6C" w:rsidRPr="00A433B8" w:rsidRDefault="00FF1C6C" w:rsidP="00DA05CE">
      <w:pPr>
        <w:pStyle w:val="SDMMethCaptionEquationParametersTable"/>
      </w:pPr>
      <w:r w:rsidRPr="00A433B8">
        <w:t>Where:</w:t>
      </w:r>
    </w:p>
    <w:tbl>
      <w:tblPr>
        <w:tblStyle w:val="SDMMethTableEquationParameters"/>
        <w:tblW w:w="8760" w:type="dxa"/>
        <w:tblLook w:val="04A0" w:firstRow="1" w:lastRow="0" w:firstColumn="1" w:lastColumn="0" w:noHBand="0" w:noVBand="1"/>
      </w:tblPr>
      <w:tblGrid>
        <w:gridCol w:w="1733"/>
        <w:gridCol w:w="345"/>
        <w:gridCol w:w="6682"/>
      </w:tblGrid>
      <w:tr w:rsidR="00FF1C6C" w:rsidRPr="00760246" w14:paraId="5DE72DD0" w14:textId="77777777" w:rsidTr="007E5A9B">
        <w:tc>
          <w:tcPr>
            <w:tcW w:w="1733" w:type="dxa"/>
            <w:vAlign w:val="top"/>
          </w:tcPr>
          <w:p w14:paraId="6FB9F278" w14:textId="77777777" w:rsidR="00FF1C6C" w:rsidRPr="00A433B8"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CH4, flared,y</m:t>
                    </m:r>
                  </m:sub>
                </m:sSub>
              </m:oMath>
            </m:oMathPara>
          </w:p>
        </w:tc>
        <w:tc>
          <w:tcPr>
            <w:tcW w:w="345" w:type="dxa"/>
            <w:vAlign w:val="top"/>
          </w:tcPr>
          <w:p w14:paraId="4B97D829" w14:textId="77777777" w:rsidR="00FF1C6C" w:rsidRPr="00A433B8" w:rsidRDefault="00FF1C6C" w:rsidP="00081FD4">
            <w:pPr>
              <w:pStyle w:val="SDMTableBoxParaNotNumbered"/>
            </w:pPr>
            <w:r w:rsidRPr="00A433B8">
              <w:t>=</w:t>
            </w:r>
          </w:p>
        </w:tc>
        <w:tc>
          <w:tcPr>
            <w:tcW w:w="0" w:type="auto"/>
            <w:vAlign w:val="top"/>
          </w:tcPr>
          <w:p w14:paraId="1B4C6C65" w14:textId="77777777" w:rsidR="00FF1C6C" w:rsidRPr="00A433B8" w:rsidRDefault="00FF1C6C" w:rsidP="00081FD4">
            <w:pPr>
              <w:pStyle w:val="SDMTableBoxParaNotNumbered"/>
            </w:pPr>
            <w:r w:rsidRPr="00A433B8">
              <w:t xml:space="preserve">Amount of methane in the LFG that is flared in year </w:t>
            </w:r>
            <w:r w:rsidRPr="00A433B8">
              <w:rPr>
                <w:i/>
                <w:iCs/>
              </w:rPr>
              <w:t>y</w:t>
            </w:r>
            <w:r w:rsidRPr="00A433B8">
              <w:t xml:space="preserve"> (tCH</w:t>
            </w:r>
            <w:r w:rsidRPr="00A433B8">
              <w:rPr>
                <w:vertAlign w:val="subscript"/>
              </w:rPr>
              <w:t>4</w:t>
            </w:r>
            <w:r w:rsidRPr="00A433B8">
              <w:t>/year)</w:t>
            </w:r>
          </w:p>
        </w:tc>
      </w:tr>
      <w:tr w:rsidR="00FF1C6C" w:rsidRPr="00760246" w14:paraId="32FFDFF7" w14:textId="77777777" w:rsidTr="007E5A9B">
        <w:tc>
          <w:tcPr>
            <w:tcW w:w="1733" w:type="dxa"/>
            <w:vAlign w:val="top"/>
          </w:tcPr>
          <w:p w14:paraId="08D57D93" w14:textId="77777777" w:rsidR="00FF1C6C" w:rsidRPr="00A433B8"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F</m:t>
                    </m:r>
                  </m:e>
                  <m:sub>
                    <m:r>
                      <w:rPr>
                        <w:rFonts w:ascii="Cambria Math" w:hAnsi="Cambria Math"/>
                      </w:rPr>
                      <m:t>CH4, Primary-Flare,y</m:t>
                    </m:r>
                  </m:sub>
                </m:sSub>
              </m:oMath>
            </m:oMathPara>
          </w:p>
        </w:tc>
        <w:tc>
          <w:tcPr>
            <w:tcW w:w="345" w:type="dxa"/>
            <w:vAlign w:val="top"/>
          </w:tcPr>
          <w:p w14:paraId="013F314B" w14:textId="77777777" w:rsidR="00FF1C6C" w:rsidRPr="00A433B8" w:rsidRDefault="00FF1C6C" w:rsidP="00081FD4">
            <w:pPr>
              <w:pStyle w:val="SDMTableBoxParaNotNumbered"/>
            </w:pPr>
            <w:r w:rsidRPr="00A433B8">
              <w:t>=</w:t>
            </w:r>
          </w:p>
        </w:tc>
        <w:tc>
          <w:tcPr>
            <w:tcW w:w="0" w:type="auto"/>
            <w:vAlign w:val="top"/>
          </w:tcPr>
          <w:p w14:paraId="7052C942" w14:textId="20CEE515" w:rsidR="00FF1C6C" w:rsidRPr="00A433B8" w:rsidRDefault="00FF1C6C" w:rsidP="00081FD4">
            <w:pPr>
              <w:pStyle w:val="SDMTableBoxParaNotNumbered"/>
            </w:pPr>
            <w:r w:rsidRPr="00A433B8">
              <w:t xml:space="preserve">Amount of methane </w:t>
            </w:r>
            <w:r w:rsidR="0026658A" w:rsidRPr="00A433B8">
              <w:t xml:space="preserve">in the LFG which is </w:t>
            </w:r>
            <w:r w:rsidRPr="00A433B8">
              <w:t xml:space="preserve">flared in the primary flare </w:t>
            </w:r>
            <w:r w:rsidR="001000FE" w:rsidRPr="00A433B8">
              <w:rPr>
                <w:lang w:val="en-US"/>
              </w:rPr>
              <w:t xml:space="preserve">in year </w:t>
            </w:r>
            <w:r w:rsidR="001000FE" w:rsidRPr="00A433B8">
              <w:rPr>
                <w:i/>
                <w:iCs/>
                <w:lang w:val="en-US"/>
              </w:rPr>
              <w:t>y</w:t>
            </w:r>
            <w:r w:rsidR="001000FE" w:rsidRPr="00A433B8">
              <w:rPr>
                <w:lang w:val="en-US"/>
              </w:rPr>
              <w:t xml:space="preserve"> </w:t>
            </w:r>
            <w:r w:rsidRPr="00A433B8">
              <w:rPr>
                <w:lang w:val="en-US"/>
              </w:rPr>
              <w:t>(tCH</w:t>
            </w:r>
            <w:r w:rsidRPr="00A433B8">
              <w:rPr>
                <w:vertAlign w:val="subscript"/>
                <w:lang w:val="en-US"/>
              </w:rPr>
              <w:t>4</w:t>
            </w:r>
            <w:r w:rsidRPr="00A433B8">
              <w:rPr>
                <w:lang w:val="en-US"/>
              </w:rPr>
              <w:t>/year)</w:t>
            </w:r>
          </w:p>
        </w:tc>
      </w:tr>
      <w:tr w:rsidR="00FF1C6C" w:rsidRPr="00760246" w14:paraId="1373F418" w14:textId="77777777" w:rsidTr="007E5A9B">
        <w:tc>
          <w:tcPr>
            <w:tcW w:w="1733" w:type="dxa"/>
            <w:vAlign w:val="top"/>
          </w:tcPr>
          <w:p w14:paraId="1D3FD6D5" w14:textId="77777777" w:rsidR="00FF1C6C" w:rsidRPr="00A433B8"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F</m:t>
                    </m:r>
                  </m:e>
                  <m:sub>
                    <m:r>
                      <w:rPr>
                        <w:rFonts w:ascii="Cambria Math" w:hAnsi="Cambria Math"/>
                      </w:rPr>
                      <m:t>CH4, Backup-Flare,y</m:t>
                    </m:r>
                  </m:sub>
                </m:sSub>
              </m:oMath>
            </m:oMathPara>
          </w:p>
        </w:tc>
        <w:tc>
          <w:tcPr>
            <w:tcW w:w="345" w:type="dxa"/>
            <w:vAlign w:val="top"/>
          </w:tcPr>
          <w:p w14:paraId="35216386" w14:textId="77777777" w:rsidR="00FF1C6C" w:rsidRPr="00A433B8" w:rsidRDefault="00FF1C6C" w:rsidP="00081FD4">
            <w:pPr>
              <w:pStyle w:val="SDMTableBoxParaNotNumbered"/>
            </w:pPr>
            <w:r w:rsidRPr="00A433B8">
              <w:t>=</w:t>
            </w:r>
          </w:p>
        </w:tc>
        <w:tc>
          <w:tcPr>
            <w:tcW w:w="0" w:type="auto"/>
            <w:vAlign w:val="top"/>
          </w:tcPr>
          <w:p w14:paraId="5CF3E3B8" w14:textId="1F603C9A" w:rsidR="00FF1C6C" w:rsidRPr="00760246" w:rsidRDefault="00FF1C6C" w:rsidP="00081FD4">
            <w:pPr>
              <w:pStyle w:val="SDMTableBoxParaNotNumbered"/>
            </w:pPr>
            <w:r w:rsidRPr="00A433B8">
              <w:rPr>
                <w:lang w:val="en-US"/>
              </w:rPr>
              <w:t xml:space="preserve">Amount of methane </w:t>
            </w:r>
            <w:r w:rsidR="0026658A" w:rsidRPr="00A433B8">
              <w:t xml:space="preserve">in the LFG which is </w:t>
            </w:r>
            <w:r w:rsidRPr="00A433B8">
              <w:rPr>
                <w:lang w:val="en-US"/>
              </w:rPr>
              <w:t xml:space="preserve">flared </w:t>
            </w:r>
            <w:r w:rsidR="00CD5B8A" w:rsidRPr="00A433B8">
              <w:rPr>
                <w:lang w:val="en-US"/>
              </w:rPr>
              <w:t>in the backup flare</w:t>
            </w:r>
            <w:r w:rsidRPr="00A433B8">
              <w:rPr>
                <w:lang w:val="en-US"/>
              </w:rPr>
              <w:t xml:space="preserve"> </w:t>
            </w:r>
            <w:r w:rsidR="001000FE" w:rsidRPr="00A433B8">
              <w:rPr>
                <w:lang w:val="en-US"/>
              </w:rPr>
              <w:t xml:space="preserve">in year </w:t>
            </w:r>
            <w:r w:rsidR="001000FE" w:rsidRPr="00A433B8">
              <w:rPr>
                <w:i/>
                <w:iCs/>
                <w:lang w:val="en-US"/>
              </w:rPr>
              <w:t>y</w:t>
            </w:r>
            <w:r w:rsidR="001000FE" w:rsidRPr="00A433B8">
              <w:rPr>
                <w:lang w:val="en-US"/>
              </w:rPr>
              <w:t xml:space="preserve"> </w:t>
            </w:r>
            <w:r w:rsidRPr="00A433B8">
              <w:rPr>
                <w:lang w:val="en-US"/>
              </w:rPr>
              <w:t>(tCH</w:t>
            </w:r>
            <w:r w:rsidRPr="00A433B8">
              <w:rPr>
                <w:vertAlign w:val="subscript"/>
                <w:lang w:val="en-US"/>
              </w:rPr>
              <w:t>4</w:t>
            </w:r>
            <w:r w:rsidRPr="00A433B8">
              <w:rPr>
                <w:lang w:val="en-US"/>
              </w:rPr>
              <w:t>/year)</w:t>
            </w:r>
          </w:p>
        </w:tc>
      </w:tr>
    </w:tbl>
    <w:p w14:paraId="49769E91" w14:textId="559AE6FC" w:rsidR="00110579" w:rsidRPr="0011035C" w:rsidRDefault="002F484A" w:rsidP="00DA05CE">
      <w:pPr>
        <w:pStyle w:val="SDMPara"/>
        <w:keepNext/>
      </w:pPr>
      <w:r>
        <w:t xml:space="preserve">The parameters </w:t>
      </w:r>
      <w:r w:rsidR="00110579" w:rsidRPr="0011035C">
        <w:rPr>
          <w:i/>
        </w:rPr>
        <w:t>F</w:t>
      </w:r>
      <w:r w:rsidR="00110579" w:rsidRPr="0011035C">
        <w:rPr>
          <w:i/>
          <w:vertAlign w:val="subscript"/>
        </w:rPr>
        <w:t>CH4,BackupFlare,y</w:t>
      </w:r>
      <w:r w:rsidR="00110579" w:rsidRPr="0011035C">
        <w:t xml:space="preserve"> and </w:t>
      </w:r>
      <w:r w:rsidR="00110579" w:rsidRPr="0011035C">
        <w:rPr>
          <w:i/>
        </w:rPr>
        <w:t>F</w:t>
      </w:r>
      <w:r w:rsidR="00110579" w:rsidRPr="0011035C">
        <w:rPr>
          <w:i/>
          <w:vertAlign w:val="subscript"/>
        </w:rPr>
        <w:t>CH4,PrimaryFlare,y</w:t>
      </w:r>
      <w:r w:rsidR="00110579" w:rsidRPr="0011035C">
        <w:t xml:space="preserve"> are determined as the difference between the amount of methane supplied to the types of flare(s) and any methane emissions from the types of flare(s), as follows:</w:t>
      </w:r>
    </w:p>
    <w:tbl>
      <w:tblPr>
        <w:tblStyle w:val="SDMMethTableEquation"/>
        <w:tblW w:w="8760" w:type="dxa"/>
        <w:tblLook w:val="0600" w:firstRow="0" w:lastRow="0" w:firstColumn="0" w:lastColumn="0" w:noHBand="1" w:noVBand="1"/>
      </w:tblPr>
      <w:tblGrid>
        <w:gridCol w:w="7099"/>
        <w:gridCol w:w="1661"/>
      </w:tblGrid>
      <w:tr w:rsidR="00110579" w:rsidRPr="00760246" w14:paraId="54948D36" w14:textId="77777777" w:rsidTr="007E5A9B">
        <w:tc>
          <w:tcPr>
            <w:tcW w:w="7224" w:type="dxa"/>
          </w:tcPr>
          <w:p w14:paraId="66AE0E98" w14:textId="2185880F" w:rsidR="00110579" w:rsidRPr="00DA0B1A" w:rsidRDefault="00302468">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Primary-Flare,y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 sent-PrimaryFlare,y</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PE</m:t>
                        </m:r>
                      </m:e>
                      <m:sub>
                        <m:r>
                          <w:rPr>
                            <w:rFonts w:ascii="Cambria Math" w:hAnsi="Cambria Math"/>
                          </w:rPr>
                          <m:t>PrimaryFlare,y</m:t>
                        </m:r>
                      </m:sub>
                    </m:sSub>
                  </m:num>
                  <m:den>
                    <m:sSub>
                      <m:sSubPr>
                        <m:ctrlPr>
                          <w:rPr>
                            <w:rFonts w:ascii="Cambria Math" w:hAnsi="Cambria Math"/>
                            <w:i/>
                          </w:rPr>
                        </m:ctrlPr>
                      </m:sSubPr>
                      <m:e>
                        <m:r>
                          <w:rPr>
                            <w:rFonts w:ascii="Cambria Math" w:hAnsi="Cambria Math"/>
                          </w:rPr>
                          <m:t>GWP</m:t>
                        </m:r>
                      </m:e>
                      <m:sub>
                        <m:r>
                          <w:rPr>
                            <w:rFonts w:ascii="Cambria Math" w:hAnsi="Cambria Math"/>
                          </w:rPr>
                          <m:t>CH4</m:t>
                        </m:r>
                      </m:sub>
                    </m:sSub>
                  </m:den>
                </m:f>
              </m:oMath>
            </m:oMathPara>
          </w:p>
        </w:tc>
        <w:tc>
          <w:tcPr>
            <w:tcW w:w="1701" w:type="dxa"/>
          </w:tcPr>
          <w:p w14:paraId="3E72C8F7" w14:textId="77777777" w:rsidR="00110579" w:rsidRPr="00DA0B1A" w:rsidRDefault="00110579" w:rsidP="00247E9F">
            <w:pPr>
              <w:pStyle w:val="SDMMethEquationNr"/>
              <w:numPr>
                <w:ilvl w:val="0"/>
                <w:numId w:val="4"/>
              </w:numPr>
              <w:rPr>
                <w:sz w:val="22"/>
              </w:rPr>
            </w:pPr>
          </w:p>
        </w:tc>
      </w:tr>
      <w:tr w:rsidR="00110579" w:rsidRPr="00760246" w14:paraId="7F8EC3A7" w14:textId="77777777" w:rsidTr="007E5A9B">
        <w:tc>
          <w:tcPr>
            <w:tcW w:w="7224" w:type="dxa"/>
          </w:tcPr>
          <w:p w14:paraId="46D46D97" w14:textId="4DF7D272" w:rsidR="00110579" w:rsidRPr="00DA0B1A" w:rsidRDefault="00302468">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CH4,Backup-Flare,y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 sent-BackupFlare,y</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PE</m:t>
                        </m:r>
                      </m:e>
                      <m:sub>
                        <m:r>
                          <w:rPr>
                            <w:rFonts w:ascii="Cambria Math" w:hAnsi="Cambria Math"/>
                          </w:rPr>
                          <m:t>BackupFlare,y</m:t>
                        </m:r>
                      </m:sub>
                    </m:sSub>
                  </m:num>
                  <m:den>
                    <m:sSub>
                      <m:sSubPr>
                        <m:ctrlPr>
                          <w:rPr>
                            <w:rFonts w:ascii="Cambria Math" w:hAnsi="Cambria Math"/>
                            <w:i/>
                          </w:rPr>
                        </m:ctrlPr>
                      </m:sSubPr>
                      <m:e>
                        <m:r>
                          <w:rPr>
                            <w:rFonts w:ascii="Cambria Math" w:hAnsi="Cambria Math"/>
                          </w:rPr>
                          <m:t>GWP</m:t>
                        </m:r>
                      </m:e>
                      <m:sub>
                        <m:r>
                          <w:rPr>
                            <w:rFonts w:ascii="Cambria Math" w:hAnsi="Cambria Math"/>
                          </w:rPr>
                          <m:t>CH4</m:t>
                        </m:r>
                      </m:sub>
                    </m:sSub>
                  </m:den>
                </m:f>
              </m:oMath>
            </m:oMathPara>
          </w:p>
        </w:tc>
        <w:tc>
          <w:tcPr>
            <w:tcW w:w="1701" w:type="dxa"/>
          </w:tcPr>
          <w:p w14:paraId="5E7D14AB" w14:textId="77777777" w:rsidR="00110579" w:rsidRPr="00DA0B1A" w:rsidRDefault="00110579" w:rsidP="00247E9F">
            <w:pPr>
              <w:pStyle w:val="SDMMethEquationNr"/>
              <w:numPr>
                <w:ilvl w:val="0"/>
                <w:numId w:val="4"/>
              </w:numPr>
              <w:rPr>
                <w:sz w:val="22"/>
              </w:rPr>
            </w:pPr>
          </w:p>
        </w:tc>
      </w:tr>
    </w:tbl>
    <w:p w14:paraId="61FA3685" w14:textId="77777777" w:rsidR="00110579" w:rsidRPr="0011035C" w:rsidRDefault="00110579" w:rsidP="00DA05CE">
      <w:pPr>
        <w:pStyle w:val="SDMMethCaptionEquationParametersTable"/>
      </w:pPr>
      <w:r w:rsidRPr="0011035C">
        <w:t>Where:</w:t>
      </w:r>
    </w:p>
    <w:tbl>
      <w:tblPr>
        <w:tblStyle w:val="SDMMethTableEquationParameters"/>
        <w:tblW w:w="8760" w:type="dxa"/>
        <w:tblLook w:val="04A0" w:firstRow="1" w:lastRow="0" w:firstColumn="1" w:lastColumn="0" w:noHBand="0" w:noVBand="1"/>
      </w:tblPr>
      <w:tblGrid>
        <w:gridCol w:w="2009"/>
        <w:gridCol w:w="425"/>
        <w:gridCol w:w="6326"/>
      </w:tblGrid>
      <w:tr w:rsidR="00110579" w:rsidRPr="00760246" w14:paraId="1AEE90DD" w14:textId="77777777" w:rsidTr="007E5A9B">
        <w:tc>
          <w:tcPr>
            <w:tcW w:w="2009" w:type="dxa"/>
            <w:vAlign w:val="top"/>
          </w:tcPr>
          <w:p w14:paraId="570A675A" w14:textId="1455083A" w:rsidR="00110579" w:rsidRPr="0011035C"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F</m:t>
                    </m:r>
                  </m:e>
                  <m:sub>
                    <m:r>
                      <w:rPr>
                        <w:rFonts w:ascii="Cambria Math" w:hAnsi="Cambria Math"/>
                      </w:rPr>
                      <m:t>CH4, sent-PrimaryFlare,y</m:t>
                    </m:r>
                  </m:sub>
                </m:sSub>
              </m:oMath>
            </m:oMathPara>
          </w:p>
        </w:tc>
        <w:tc>
          <w:tcPr>
            <w:tcW w:w="425" w:type="dxa"/>
            <w:vAlign w:val="top"/>
          </w:tcPr>
          <w:p w14:paraId="452BDC22" w14:textId="77777777" w:rsidR="00110579" w:rsidRPr="0011035C" w:rsidRDefault="00110579" w:rsidP="00081FD4">
            <w:pPr>
              <w:pStyle w:val="SDMTableBoxParaNotNumbered"/>
            </w:pPr>
            <w:r w:rsidRPr="0011035C">
              <w:t>=</w:t>
            </w:r>
          </w:p>
        </w:tc>
        <w:tc>
          <w:tcPr>
            <w:tcW w:w="6326" w:type="dxa"/>
            <w:vAlign w:val="top"/>
          </w:tcPr>
          <w:p w14:paraId="3EA8E888" w14:textId="452BF377" w:rsidR="00110579" w:rsidRPr="0011035C" w:rsidRDefault="00110579" w:rsidP="00081FD4">
            <w:pPr>
              <w:pStyle w:val="SDMTableBoxParaNotNumbered"/>
            </w:pPr>
            <w:r w:rsidRPr="0011035C">
              <w:t>Amount of methane in the LFG which is sent to the primary flares in year y (tCH</w:t>
            </w:r>
            <w:r w:rsidRPr="0011035C">
              <w:rPr>
                <w:vertAlign w:val="subscript"/>
              </w:rPr>
              <w:t>4</w:t>
            </w:r>
            <w:r w:rsidRPr="0011035C">
              <w:t>e /year)</w:t>
            </w:r>
          </w:p>
        </w:tc>
      </w:tr>
      <w:tr w:rsidR="00110579" w:rsidRPr="00760246" w14:paraId="2AFF7451" w14:textId="77777777" w:rsidTr="007E5A9B">
        <w:trPr>
          <w:trHeight w:val="304"/>
        </w:trPr>
        <w:tc>
          <w:tcPr>
            <w:tcW w:w="2009" w:type="dxa"/>
            <w:vAlign w:val="top"/>
          </w:tcPr>
          <w:p w14:paraId="61F94342" w14:textId="2A714BE3" w:rsidR="00110579" w:rsidRPr="004523C7"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PE</m:t>
                    </m:r>
                  </m:e>
                  <m:sub>
                    <m:r>
                      <w:rPr>
                        <w:rFonts w:ascii="Cambria Math" w:hAnsi="Cambria Math"/>
                      </w:rPr>
                      <m:t>Primary-Flare,y</m:t>
                    </m:r>
                  </m:sub>
                </m:sSub>
              </m:oMath>
            </m:oMathPara>
          </w:p>
        </w:tc>
        <w:tc>
          <w:tcPr>
            <w:tcW w:w="425" w:type="dxa"/>
            <w:vAlign w:val="top"/>
          </w:tcPr>
          <w:p w14:paraId="3296169D" w14:textId="77777777" w:rsidR="00110579" w:rsidRPr="004523C7" w:rsidRDefault="00110579" w:rsidP="00081FD4">
            <w:pPr>
              <w:pStyle w:val="SDMTableBoxParaNotNumbered"/>
            </w:pPr>
            <w:r w:rsidRPr="004523C7">
              <w:t>=</w:t>
            </w:r>
          </w:p>
        </w:tc>
        <w:tc>
          <w:tcPr>
            <w:tcW w:w="6326" w:type="dxa"/>
            <w:vAlign w:val="top"/>
          </w:tcPr>
          <w:p w14:paraId="42EE647E" w14:textId="4EE0EABB" w:rsidR="00110579" w:rsidRPr="004523C7" w:rsidRDefault="00110579" w:rsidP="00081FD4">
            <w:pPr>
              <w:pStyle w:val="SDMTableBoxParaNotNumbered"/>
            </w:pPr>
            <w:r w:rsidRPr="004523C7">
              <w:rPr>
                <w:lang w:val="en-US"/>
              </w:rPr>
              <w:t>Project emissions from flaring of the residual gas in the primary flare year </w:t>
            </w:r>
            <w:r w:rsidRPr="004523C7">
              <w:rPr>
                <w:i/>
                <w:lang w:val="en-US"/>
              </w:rPr>
              <w:t>y</w:t>
            </w:r>
            <w:r w:rsidRPr="004523C7">
              <w:rPr>
                <w:lang w:val="en-US"/>
              </w:rPr>
              <w:t xml:space="preserve"> (</w:t>
            </w:r>
            <w:r w:rsidRPr="004523C7">
              <w:t>tCO</w:t>
            </w:r>
            <w:r w:rsidRPr="004523C7">
              <w:rPr>
                <w:vertAlign w:val="subscript"/>
              </w:rPr>
              <w:t>2</w:t>
            </w:r>
            <w:r w:rsidRPr="004523C7">
              <w:t>e/year), determined as per the flaring tool</w:t>
            </w:r>
          </w:p>
        </w:tc>
      </w:tr>
      <w:tr w:rsidR="00110579" w:rsidRPr="00760246" w14:paraId="0DD97768" w14:textId="77777777" w:rsidTr="007E5A9B">
        <w:trPr>
          <w:trHeight w:val="270"/>
        </w:trPr>
        <w:tc>
          <w:tcPr>
            <w:tcW w:w="2009" w:type="dxa"/>
            <w:vAlign w:val="top"/>
          </w:tcPr>
          <w:p w14:paraId="4A86D9A7" w14:textId="3B753A43" w:rsidR="00110579" w:rsidRPr="004523C7"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F</m:t>
                    </m:r>
                  </m:e>
                  <m:sub>
                    <m:r>
                      <w:rPr>
                        <w:rFonts w:ascii="Cambria Math" w:hAnsi="Cambria Math"/>
                      </w:rPr>
                      <m:t>CH4, sent-BackupFlare,y</m:t>
                    </m:r>
                  </m:sub>
                </m:sSub>
              </m:oMath>
            </m:oMathPara>
          </w:p>
        </w:tc>
        <w:tc>
          <w:tcPr>
            <w:tcW w:w="425" w:type="dxa"/>
            <w:vAlign w:val="top"/>
          </w:tcPr>
          <w:p w14:paraId="3258BCA0" w14:textId="259D2BB7" w:rsidR="00110579" w:rsidRPr="004523C7" w:rsidRDefault="00865ADB" w:rsidP="00081FD4">
            <w:pPr>
              <w:pStyle w:val="SDMTableBoxParaNotNumbered"/>
            </w:pPr>
            <w:r w:rsidRPr="004523C7">
              <w:t>=</w:t>
            </w:r>
          </w:p>
        </w:tc>
        <w:tc>
          <w:tcPr>
            <w:tcW w:w="6326" w:type="dxa"/>
            <w:vAlign w:val="top"/>
          </w:tcPr>
          <w:p w14:paraId="1149219E" w14:textId="67799AE7" w:rsidR="00110579" w:rsidRPr="004523C7" w:rsidRDefault="00110579" w:rsidP="00081FD4">
            <w:pPr>
              <w:pStyle w:val="SDMTableBoxParaNotNumbered"/>
              <w:rPr>
                <w:lang w:val="en-US"/>
              </w:rPr>
            </w:pPr>
            <w:r w:rsidRPr="004523C7">
              <w:t xml:space="preserve">Amount of methane in the LFG which is sent to the backup flares in year </w:t>
            </w:r>
            <w:r w:rsidRPr="005F6400">
              <w:rPr>
                <w:i/>
                <w:iCs/>
              </w:rPr>
              <w:t>y</w:t>
            </w:r>
            <w:r w:rsidRPr="004523C7">
              <w:t xml:space="preserve"> (tCH</w:t>
            </w:r>
            <w:r w:rsidRPr="004523C7">
              <w:rPr>
                <w:vertAlign w:val="subscript"/>
              </w:rPr>
              <w:t>4</w:t>
            </w:r>
            <w:r w:rsidRPr="004523C7">
              <w:t>e /year)</w:t>
            </w:r>
          </w:p>
        </w:tc>
      </w:tr>
      <w:tr w:rsidR="00110579" w:rsidRPr="00760246" w14:paraId="3B92A969" w14:textId="77777777" w:rsidTr="007E5A9B">
        <w:tc>
          <w:tcPr>
            <w:tcW w:w="2009" w:type="dxa"/>
            <w:vAlign w:val="top"/>
          </w:tcPr>
          <w:p w14:paraId="20CBB2E0" w14:textId="0070B0FA" w:rsidR="00110579" w:rsidRPr="004523C7"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PE</m:t>
                    </m:r>
                  </m:e>
                  <m:sub>
                    <m:r>
                      <w:rPr>
                        <w:rFonts w:ascii="Cambria Math" w:hAnsi="Cambria Math"/>
                      </w:rPr>
                      <m:t>Backup-Flare,y</m:t>
                    </m:r>
                  </m:sub>
                </m:sSub>
              </m:oMath>
            </m:oMathPara>
          </w:p>
        </w:tc>
        <w:tc>
          <w:tcPr>
            <w:tcW w:w="425" w:type="dxa"/>
            <w:vAlign w:val="top"/>
          </w:tcPr>
          <w:p w14:paraId="4199FF56" w14:textId="0F202202" w:rsidR="00110579" w:rsidRPr="004523C7" w:rsidRDefault="00865ADB" w:rsidP="00081FD4">
            <w:pPr>
              <w:pStyle w:val="SDMTableBoxParaNotNumbered"/>
            </w:pPr>
            <w:r w:rsidRPr="004523C7">
              <w:t>=</w:t>
            </w:r>
          </w:p>
        </w:tc>
        <w:tc>
          <w:tcPr>
            <w:tcW w:w="6326" w:type="dxa"/>
            <w:vAlign w:val="top"/>
          </w:tcPr>
          <w:p w14:paraId="4BE5566A" w14:textId="2ED12545" w:rsidR="00110579" w:rsidRPr="00760246" w:rsidRDefault="00110579" w:rsidP="00081FD4">
            <w:pPr>
              <w:pStyle w:val="SDMTableBoxParaNotNumbered"/>
              <w:rPr>
                <w:lang w:val="en-US"/>
              </w:rPr>
            </w:pPr>
            <w:r w:rsidRPr="004523C7">
              <w:rPr>
                <w:lang w:val="en-US"/>
              </w:rPr>
              <w:t>Project emissions from flaring of the residual gas in the backup flare year </w:t>
            </w:r>
            <w:r w:rsidRPr="004523C7">
              <w:rPr>
                <w:i/>
                <w:lang w:val="en-US"/>
              </w:rPr>
              <w:t>y</w:t>
            </w:r>
            <w:r w:rsidRPr="004523C7">
              <w:rPr>
                <w:lang w:val="en-US"/>
              </w:rPr>
              <w:t xml:space="preserve"> (</w:t>
            </w:r>
            <w:r w:rsidRPr="004523C7">
              <w:t>tCO</w:t>
            </w:r>
            <w:r w:rsidRPr="004523C7">
              <w:rPr>
                <w:vertAlign w:val="subscript"/>
              </w:rPr>
              <w:t>2</w:t>
            </w:r>
            <w:r w:rsidRPr="004523C7">
              <w:t>e/year), determined as per the flaring tool</w:t>
            </w:r>
          </w:p>
        </w:tc>
      </w:tr>
    </w:tbl>
    <w:p w14:paraId="7848DA42" w14:textId="7187D91E" w:rsidR="004334D2" w:rsidRPr="000C5FD6" w:rsidRDefault="005F6400" w:rsidP="00E66E80">
      <w:pPr>
        <w:pStyle w:val="SDMPara"/>
      </w:pPr>
      <w:bookmarkStart w:id="232" w:name="_Ref211523014"/>
      <w:r w:rsidRPr="005F6400">
        <w:rPr>
          <w:iCs/>
        </w:rPr>
        <w:t xml:space="preserve">The parameters </w:t>
      </w:r>
      <w:r w:rsidR="00110579" w:rsidRPr="004523C7">
        <w:rPr>
          <w:i/>
        </w:rPr>
        <w:t>F</w:t>
      </w:r>
      <w:r w:rsidR="00110579" w:rsidRPr="004523C7">
        <w:rPr>
          <w:i/>
          <w:vertAlign w:val="subscript"/>
        </w:rPr>
        <w:t>CH4,</w:t>
      </w:r>
      <w:r w:rsidR="00110579" w:rsidRPr="00760246">
        <w:rPr>
          <w:i/>
          <w:vertAlign w:val="subscript"/>
        </w:rPr>
        <w:t>sent-PrimaryFlare,y</w:t>
      </w:r>
      <w:r w:rsidR="00110579" w:rsidRPr="00760246">
        <w:rPr>
          <w:i/>
        </w:rPr>
        <w:t>, F</w:t>
      </w:r>
      <w:r w:rsidR="00110579" w:rsidRPr="00760246">
        <w:rPr>
          <w:i/>
          <w:vertAlign w:val="subscript"/>
        </w:rPr>
        <w:t>CH4,</w:t>
      </w:r>
      <w:r w:rsidR="005513E5" w:rsidRPr="00760246">
        <w:rPr>
          <w:i/>
          <w:vertAlign w:val="subscript"/>
        </w:rPr>
        <w:t>sent-</w:t>
      </w:r>
      <w:r w:rsidR="00110579" w:rsidRPr="00760246">
        <w:rPr>
          <w:i/>
          <w:vertAlign w:val="subscript"/>
        </w:rPr>
        <w:t>BackupFlare,y</w:t>
      </w:r>
      <w:r w:rsidR="00110579" w:rsidRPr="004523C7">
        <w:rPr>
          <w:i/>
        </w:rPr>
        <w:t>,</w:t>
      </w:r>
      <w:r w:rsidR="00110579">
        <w:rPr>
          <w:lang w:val="en-US"/>
        </w:rPr>
        <w:t xml:space="preserve"> </w:t>
      </w:r>
      <w:r w:rsidR="004334D2" w:rsidRPr="000C5FD6">
        <w:rPr>
          <w:i/>
        </w:rPr>
        <w:t>F</w:t>
      </w:r>
      <w:r w:rsidR="004334D2" w:rsidRPr="000C5FD6">
        <w:rPr>
          <w:i/>
          <w:vertAlign w:val="subscript"/>
        </w:rPr>
        <w:t>CH4,EL,y</w:t>
      </w:r>
      <w:r w:rsidR="004334D2" w:rsidRPr="000C5FD6">
        <w:rPr>
          <w:lang w:val="en-US"/>
        </w:rPr>
        <w:t xml:space="preserve">, </w:t>
      </w:r>
      <w:r w:rsidR="004334D2" w:rsidRPr="000C5FD6">
        <w:rPr>
          <w:i/>
        </w:rPr>
        <w:t>F</w:t>
      </w:r>
      <w:r w:rsidR="004334D2" w:rsidRPr="000C5FD6">
        <w:rPr>
          <w:i/>
          <w:vertAlign w:val="subscript"/>
        </w:rPr>
        <w:t>CH4,HG,y</w:t>
      </w:r>
      <w:r w:rsidR="004334D2" w:rsidRPr="000C5FD6">
        <w:rPr>
          <w:lang w:val="en-US"/>
        </w:rPr>
        <w:t xml:space="preserve"> and </w:t>
      </w:r>
      <w:r w:rsidR="004334D2" w:rsidRPr="000C5FD6">
        <w:rPr>
          <w:i/>
        </w:rPr>
        <w:t>F</w:t>
      </w:r>
      <w:r w:rsidR="004334D2" w:rsidRPr="000C5FD6">
        <w:rPr>
          <w:i/>
          <w:vertAlign w:val="subscript"/>
        </w:rPr>
        <w:t>CH4,NG,y</w:t>
      </w:r>
      <w:r w:rsidR="004334D2" w:rsidRPr="000C5FD6">
        <w:rPr>
          <w:lang w:val="en-US"/>
        </w:rPr>
        <w:t xml:space="preserve"> are determined using the </w:t>
      </w:r>
      <w:r w:rsidR="004334D2">
        <w:t>mass flow tool</w:t>
      </w:r>
      <w:r w:rsidR="004334D2" w:rsidRPr="000C5FD6">
        <w:rPr>
          <w:lang w:val="en-US"/>
        </w:rPr>
        <w:t xml:space="preserve"> and monitoring t</w:t>
      </w:r>
      <w:r w:rsidR="004334D2" w:rsidRPr="000C5FD6">
        <w:t xml:space="preserve">he working hours, </w:t>
      </w:r>
      <w:r w:rsidR="003D1A6F">
        <w:t>such</w:t>
      </w:r>
      <w:r w:rsidR="003D1A6F" w:rsidRPr="000C5FD6">
        <w:t xml:space="preserve"> </w:t>
      </w:r>
      <w:r w:rsidR="004334D2" w:rsidRPr="000C5FD6">
        <w:t>that no emission reduction</w:t>
      </w:r>
      <w:r w:rsidR="003D1A6F">
        <w:t>s</w:t>
      </w:r>
      <w:r w:rsidR="004334D2" w:rsidRPr="000C5FD6">
        <w:t xml:space="preserve"> are claimed for methane destruction during non-working hours. This is taken into account by monitoring the hours that the equipment utilizing the LFG is operating in year </w:t>
      </w:r>
      <w:r w:rsidR="004334D2" w:rsidRPr="000C5FD6">
        <w:rPr>
          <w:i/>
        </w:rPr>
        <w:t xml:space="preserve">y </w:t>
      </w:r>
      <w:r w:rsidR="004334D2" w:rsidRPr="000C5FD6">
        <w:t>(</w:t>
      </w:r>
      <w:r w:rsidR="004334D2" w:rsidRPr="000C5FD6">
        <w:rPr>
          <w:i/>
        </w:rPr>
        <w:t>Op</w:t>
      </w:r>
      <w:r w:rsidR="004334D2" w:rsidRPr="000C5FD6">
        <w:rPr>
          <w:i/>
          <w:vertAlign w:val="subscript"/>
        </w:rPr>
        <w:t>j,h,y</w:t>
      </w:r>
      <w:r w:rsidR="004334D2" w:rsidRPr="000C5FD6">
        <w:t>).</w:t>
      </w:r>
      <w:bookmarkEnd w:id="231"/>
      <w:bookmarkEnd w:id="232"/>
    </w:p>
    <w:p w14:paraId="1DEA13A2" w14:textId="77777777" w:rsidR="004334D2" w:rsidRPr="000C5FD6" w:rsidRDefault="004334D2" w:rsidP="00DA05CE">
      <w:pPr>
        <w:pStyle w:val="SDMPara"/>
        <w:keepNext/>
        <w:rPr>
          <w:lang w:val="en-US"/>
        </w:rPr>
      </w:pPr>
      <w:bookmarkStart w:id="233" w:name="_Ref211523023"/>
      <w:r w:rsidRPr="000C5FD6">
        <w:t>The following requirements apply:</w:t>
      </w:r>
      <w:bookmarkEnd w:id="233"/>
    </w:p>
    <w:p w14:paraId="37FFF8DB" w14:textId="05AE09D6" w:rsidR="004334D2" w:rsidRPr="00060FE5" w:rsidRDefault="004334D2" w:rsidP="00E66E80">
      <w:pPr>
        <w:pStyle w:val="SDMSubPara1"/>
      </w:pPr>
      <w:r w:rsidRPr="00060FE5">
        <w:t xml:space="preserve">As per the </w:t>
      </w:r>
      <w:r>
        <w:rPr>
          <w:lang w:val="en-US"/>
        </w:rPr>
        <w:t>mass flow tool</w:t>
      </w:r>
      <w:r w:rsidRPr="00060FE5">
        <w:t>, if the LFG is used for multiple purposes (</w:t>
      </w:r>
      <w:r w:rsidR="005F6400" w:rsidRPr="00060FE5">
        <w:t>e.g.,</w:t>
      </w:r>
      <w:r w:rsidRPr="00060FE5">
        <w:t xml:space="preserve"> flaring or energy generation), and all methane destruction devices are verified to be operational (e.g.</w:t>
      </w:r>
      <w:r w:rsidR="005F6400">
        <w:t>,</w:t>
      </w:r>
      <w:r w:rsidRPr="00060FE5">
        <w:t xml:space="preserve"> by means of flame detectors records, energy generated), a single flow meter may be used to record the flow into multiple destruction devices. The destruction efficiency of the least efficient among the destruction devices shall be used as the destruction efficiency for all destruction devices monitored by this flow meter. If there are any periods for which one or more destruction devices are not operational, </w:t>
      </w:r>
      <w:r w:rsidRPr="00111489">
        <w:t>paragraph 5(a) and (b) of the</w:t>
      </w:r>
      <w:r w:rsidRPr="00060FE5">
        <w:t xml:space="preserve"> Appendix of the </w:t>
      </w:r>
      <w:r>
        <w:rPr>
          <w:lang w:val="en-US"/>
        </w:rPr>
        <w:t>mass flow tool</w:t>
      </w:r>
      <w:r w:rsidRPr="00060FE5">
        <w:t xml:space="preserve"> shall be followed;</w:t>
      </w:r>
    </w:p>
    <w:p w14:paraId="71FABC94" w14:textId="77777777" w:rsidR="004334D2" w:rsidRPr="000C5FD6" w:rsidRDefault="004334D2" w:rsidP="00E66E80">
      <w:pPr>
        <w:pStyle w:val="SDMSubPara1"/>
      </w:pPr>
      <w:r w:rsidRPr="000C5FD6">
        <w:t>CH</w:t>
      </w:r>
      <w:r w:rsidRPr="000C5FD6">
        <w:rPr>
          <w:vertAlign w:val="subscript"/>
        </w:rPr>
        <w:t>4</w:t>
      </w:r>
      <w:r w:rsidRPr="000C5FD6">
        <w:t xml:space="preserve"> is the greenhouse gas for which the mass flow should be determined;</w:t>
      </w:r>
    </w:p>
    <w:p w14:paraId="3B215D7F" w14:textId="279B3EF9" w:rsidR="004334D2" w:rsidRPr="000C5FD6" w:rsidRDefault="004334D2" w:rsidP="00E66E80">
      <w:pPr>
        <w:pStyle w:val="SDMSubPara1"/>
      </w:pPr>
      <w:r w:rsidRPr="000C5FD6">
        <w:t>The simplification offered for calculating the molecular mass of the gaseous stream is valid (</w:t>
      </w:r>
      <w:r w:rsidR="00245807">
        <w:t>E</w:t>
      </w:r>
      <w:r w:rsidRPr="000C5FD6">
        <w:t xml:space="preserve">quations </w:t>
      </w:r>
      <w:r w:rsidRPr="00111489">
        <w:t>(3) or (17)</w:t>
      </w:r>
      <w:r w:rsidRPr="000C5FD6">
        <w:t xml:space="preserve"> in the tool);</w:t>
      </w:r>
    </w:p>
    <w:p w14:paraId="0A0CA1FD" w14:textId="049E1314" w:rsidR="004334D2" w:rsidRPr="000C5FD6" w:rsidRDefault="004334D2" w:rsidP="00E66E80">
      <w:pPr>
        <w:pStyle w:val="SDMSubPara1"/>
      </w:pPr>
      <w:r w:rsidRPr="000C5FD6">
        <w:t>The mass flow should be calculated on an hourly basis for each hour </w:t>
      </w:r>
      <w:r w:rsidRPr="000C5FD6">
        <w:rPr>
          <w:i/>
        </w:rPr>
        <w:t>h</w:t>
      </w:r>
      <w:r w:rsidRPr="000C5FD6">
        <w:t xml:space="preserve"> in year </w:t>
      </w:r>
      <w:r w:rsidRPr="000C5FD6">
        <w:rPr>
          <w:i/>
        </w:rPr>
        <w:t>y</w:t>
      </w:r>
      <w:r w:rsidRPr="000C5FD6">
        <w:t>;</w:t>
      </w:r>
      <w:r w:rsidR="00B447B8">
        <w:t xml:space="preserve"> and</w:t>
      </w:r>
    </w:p>
    <w:p w14:paraId="21AF1A03" w14:textId="39BF78B2" w:rsidR="004334D2" w:rsidRPr="000C5FD6" w:rsidRDefault="004334D2" w:rsidP="00E66E80">
      <w:pPr>
        <w:pStyle w:val="SDMSubPara1"/>
      </w:pPr>
      <w:r w:rsidRPr="000C5FD6">
        <w:t>The mass flow calculated for hour </w:t>
      </w:r>
      <w:r w:rsidRPr="000C5FD6">
        <w:rPr>
          <w:i/>
        </w:rPr>
        <w:t>h</w:t>
      </w:r>
      <w:r w:rsidRPr="000C5FD6">
        <w:t xml:space="preserve"> is 0 if the equipment is not working in hour </w:t>
      </w:r>
      <w:r w:rsidRPr="000C5FD6">
        <w:rPr>
          <w:i/>
        </w:rPr>
        <w:t>h</w:t>
      </w:r>
      <w:r w:rsidRPr="000C5FD6">
        <w:t xml:space="preserve"> (</w:t>
      </w:r>
      <w:r w:rsidRPr="000C5FD6">
        <w:rPr>
          <w:i/>
        </w:rPr>
        <w:t>Op</w:t>
      </w:r>
      <w:r w:rsidRPr="000C5FD6">
        <w:rPr>
          <w:i/>
          <w:vertAlign w:val="subscript"/>
        </w:rPr>
        <w:t>j,h</w:t>
      </w:r>
      <w:r>
        <w:rPr>
          <w:i/>
          <w:vertAlign w:val="subscript"/>
        </w:rPr>
        <w:t xml:space="preserve"> </w:t>
      </w:r>
      <w:r w:rsidRPr="000C5FD6">
        <w:t>=</w:t>
      </w:r>
      <w:r>
        <w:t xml:space="preserve"> </w:t>
      </w:r>
      <w:r w:rsidRPr="000C5FD6">
        <w:t xml:space="preserve">not working), </w:t>
      </w:r>
      <w:r w:rsidR="00B447B8">
        <w:t>with</w:t>
      </w:r>
      <w:r w:rsidR="00B447B8" w:rsidRPr="000C5FD6">
        <w:t xml:space="preserve"> </w:t>
      </w:r>
      <w:r w:rsidRPr="000C5FD6">
        <w:t>hourly values summed to a yearly unit basis.</w:t>
      </w:r>
    </w:p>
    <w:p w14:paraId="5585BA48" w14:textId="77777777" w:rsidR="004334D2" w:rsidRPr="00456C9B" w:rsidRDefault="004334D2" w:rsidP="00E66E80">
      <w:pPr>
        <w:pStyle w:val="SDMHead5"/>
      </w:pPr>
      <w:bookmarkStart w:id="234" w:name="_Ref209697025"/>
      <w:r>
        <w:t xml:space="preserve">Determination of </w:t>
      </w:r>
      <w:r w:rsidRPr="00456C9B">
        <w:rPr>
          <w:i/>
          <w:iCs/>
        </w:rPr>
        <w:t>OX</w:t>
      </w:r>
      <w:r w:rsidRPr="00456C9B">
        <w:rPr>
          <w:i/>
          <w:iCs/>
          <w:vertAlign w:val="subscript"/>
        </w:rPr>
        <w:t>y</w:t>
      </w:r>
      <w:bookmarkEnd w:id="234"/>
    </w:p>
    <w:p w14:paraId="06484A28" w14:textId="21D91EDA" w:rsidR="004334D2" w:rsidRPr="00BA11DC" w:rsidRDefault="004334D2" w:rsidP="00E66E80">
      <w:pPr>
        <w:pStyle w:val="SDMPara"/>
        <w:keepNext/>
      </w:pPr>
      <w:r w:rsidRPr="00D84457">
        <w:t xml:space="preserve">For Article 6.4 activities </w:t>
      </w:r>
      <w:r w:rsidRPr="00BA11DC">
        <w:t xml:space="preserve">developed in existing SWDSs, </w:t>
      </w:r>
      <w:r w:rsidR="00D52F56" w:rsidRPr="00BA11DC">
        <w:t xml:space="preserve">activity participants shall </w:t>
      </w:r>
      <w:r w:rsidR="00AF634F" w:rsidRPr="00BA11DC">
        <w:t xml:space="preserve">select one </w:t>
      </w:r>
      <w:r w:rsidR="00D52F56" w:rsidRPr="00BA11DC">
        <w:t xml:space="preserve">of the three options from </w:t>
      </w:r>
      <w:r w:rsidR="007567A5" w:rsidRPr="00BA11DC">
        <w:t xml:space="preserve">section 5.3.2 of the solid waste tool </w:t>
      </w:r>
      <w:r w:rsidR="00D52F56" w:rsidRPr="00BA11DC">
        <w:t xml:space="preserve">to determine </w:t>
      </w:r>
      <w:r w:rsidR="00EA62A1" w:rsidRPr="00BA11DC">
        <w:t>this parameter and document the choice in the PDD.</w:t>
      </w:r>
      <w:r w:rsidR="004310EF" w:rsidRPr="00BA11DC">
        <w:t xml:space="preserve"> </w:t>
      </w:r>
      <w:r w:rsidR="00EA62A1" w:rsidRPr="00BA11DC">
        <w:t>If activity participants chose Option 1</w:t>
      </w:r>
      <w:r w:rsidR="00D70B67" w:rsidRPr="00BA11DC">
        <w:t xml:space="preserve"> or Option 2</w:t>
      </w:r>
      <w:r w:rsidR="00C0393E" w:rsidRPr="00BA11DC">
        <w:t xml:space="preserve">, </w:t>
      </w:r>
      <w:r w:rsidR="00D70B67" w:rsidRPr="00BA11DC">
        <w:t xml:space="preserve">the </w:t>
      </w:r>
      <w:r w:rsidR="00C0393E" w:rsidRPr="00BA11DC">
        <w:t xml:space="preserve">parameter </w:t>
      </w:r>
      <m:oMath>
        <m:sSub>
          <m:sSubPr>
            <m:ctrlPr>
              <w:rPr>
                <w:rFonts w:ascii="Cambria Math" w:hAnsi="Cambria Math"/>
                <w:i/>
              </w:rPr>
            </m:ctrlPr>
          </m:sSubPr>
          <m:e>
            <m:r>
              <w:rPr>
                <w:rFonts w:ascii="Cambria Math" w:hAnsi="Cambria Math"/>
              </w:rPr>
              <m:t>J</m:t>
            </m:r>
          </m:e>
          <m:sub>
            <m:r>
              <w:rPr>
                <w:rFonts w:ascii="Cambria Math" w:hAnsi="Cambria Math"/>
              </w:rPr>
              <m:t>out</m:t>
            </m:r>
          </m:sub>
        </m:sSub>
      </m:oMath>
      <w:r w:rsidR="00C0393E" w:rsidRPr="00BA11DC">
        <w:t xml:space="preserve"> (flux of methane leaving the surface, in g</w:t>
      </w:r>
      <w:r w:rsidR="00C0393E" w:rsidRPr="00BA11DC">
        <w:rPr>
          <w:vertAlign w:val="subscript"/>
        </w:rPr>
        <w:t>CH4</w:t>
      </w:r>
      <w:r w:rsidR="00C0393E" w:rsidRPr="00BA11DC">
        <w:t>/m</w:t>
      </w:r>
      <w:r w:rsidR="00C0393E" w:rsidRPr="00BA11DC">
        <w:rPr>
          <w:vertAlign w:val="superscript"/>
        </w:rPr>
        <w:t>2</w:t>
      </w:r>
      <w:r w:rsidR="00C0393E" w:rsidRPr="00BA11DC">
        <w:t xml:space="preserve">d) </w:t>
      </w:r>
      <w:r w:rsidR="004310EF" w:rsidRPr="00BA11DC">
        <w:t xml:space="preserve">shall be included </w:t>
      </w:r>
      <w:r w:rsidR="00C0393E" w:rsidRPr="00BA11DC">
        <w:t>in the monitoring plan, following the monitoring provisions contained in the solid waste tool.</w:t>
      </w:r>
    </w:p>
    <w:p w14:paraId="0A396E73" w14:textId="49EAF8EF" w:rsidR="004334D2" w:rsidRPr="00BA11DC" w:rsidRDefault="004334D2" w:rsidP="00E66E80">
      <w:pPr>
        <w:pStyle w:val="SDMPara"/>
      </w:pPr>
      <w:bookmarkStart w:id="235" w:name="_Ref203752545"/>
      <w:r w:rsidRPr="00BA11DC">
        <w:t xml:space="preserve">For Article 6.4 activities developed in new SWDSs, </w:t>
      </w:r>
      <w:r w:rsidRPr="00BA11DC">
        <w:rPr>
          <w:i/>
        </w:rPr>
        <w:t>OX</w:t>
      </w:r>
      <w:r w:rsidRPr="00BA11DC">
        <w:rPr>
          <w:i/>
          <w:vertAlign w:val="subscript"/>
        </w:rPr>
        <w:t>y</w:t>
      </w:r>
      <w:r w:rsidRPr="00BA11DC">
        <w:t xml:space="preserve"> shall be based on the default values </w:t>
      </w:r>
      <w:r w:rsidR="002554D4" w:rsidRPr="00BA11DC">
        <w:t>(Option 3)</w:t>
      </w:r>
      <w:r w:rsidR="00B539F7" w:rsidRPr="00BA11DC">
        <w:t xml:space="preserve"> provided in the solid waste tool</w:t>
      </w:r>
      <w:r w:rsidRPr="00BA11DC">
        <w:t>.</w:t>
      </w:r>
    </w:p>
    <w:p w14:paraId="584EF13E" w14:textId="58FB1188" w:rsidR="004334D2" w:rsidRPr="00BA11DC" w:rsidRDefault="004334D2" w:rsidP="00E66E80">
      <w:pPr>
        <w:pStyle w:val="SDMHead5"/>
        <w:rPr>
          <w:iCs/>
        </w:rPr>
      </w:pPr>
      <w:bookmarkStart w:id="236" w:name="_Ref208232146"/>
      <w:r w:rsidRPr="00BA11DC">
        <w:rPr>
          <w:lang w:val="en-US"/>
        </w:rPr>
        <w:t>Determination</w:t>
      </w:r>
      <w:r w:rsidRPr="00BA11DC">
        <w:t xml:space="preserve"> of </w:t>
      </w:r>
      <w:r w:rsidRPr="00BA11DC">
        <w:rPr>
          <w:i/>
        </w:rPr>
        <w:t>F</w:t>
      </w:r>
      <w:r w:rsidRPr="00BA11DC">
        <w:rPr>
          <w:i/>
          <w:vertAlign w:val="subscript"/>
        </w:rPr>
        <w:t>CH4,BL,y</w:t>
      </w:r>
      <w:bookmarkEnd w:id="235"/>
      <w:bookmarkEnd w:id="236"/>
    </w:p>
    <w:p w14:paraId="6789AB97" w14:textId="4546C7FA" w:rsidR="004334D2" w:rsidRPr="00205AFB" w:rsidRDefault="004334D2" w:rsidP="00E66E80">
      <w:pPr>
        <w:pStyle w:val="SDMPara"/>
      </w:pPr>
      <w:bookmarkStart w:id="237" w:name="_Ref211097870"/>
      <w:r w:rsidRPr="00205AFB">
        <w:t>This section provides a procedure to determine the amount of LFG that would have been captured and destroyed (by flaring) in the baseline due to legal or contractual requirements, to address safety and odour concerns, or for other reasons (collectively referred to as “requirements” in this section). The four cases in the table below are distinguished. Activity participants shall identify the appropriate case and follow the corresponding instructions.</w:t>
      </w:r>
      <w:r w:rsidR="00906CAE" w:rsidRPr="00205AFB">
        <w:t xml:space="preserve"> </w:t>
      </w:r>
      <w:r w:rsidR="003768DC" w:rsidRPr="00205AFB">
        <w:t>W</w:t>
      </w:r>
      <w:r w:rsidR="00906CAE" w:rsidRPr="00205AFB">
        <w:t xml:space="preserve">here the Article 6.4 </w:t>
      </w:r>
      <w:r w:rsidR="00151D94" w:rsidRPr="00205AFB">
        <w:t xml:space="preserve">mechanism </w:t>
      </w:r>
      <w:r w:rsidR="00906CAE" w:rsidRPr="00205AFB">
        <w:t xml:space="preserve">is </w:t>
      </w:r>
      <w:r w:rsidR="006F7F40" w:rsidRPr="00205AFB">
        <w:t xml:space="preserve">used in the host country as </w:t>
      </w:r>
      <w:r w:rsidR="00906CAE" w:rsidRPr="00205AFB">
        <w:t>an instrument for implementation</w:t>
      </w:r>
      <w:r w:rsidR="00F73E1F" w:rsidRPr="00205AFB">
        <w:t xml:space="preserve"> </w:t>
      </w:r>
      <w:r w:rsidR="00205AFB" w:rsidRPr="00205AFB">
        <w:t>of legal</w:t>
      </w:r>
      <w:r w:rsidR="00810483" w:rsidRPr="00205AFB">
        <w:t xml:space="preserve"> or contractual requirement</w:t>
      </w:r>
      <w:r w:rsidR="00980F4C" w:rsidRPr="00205AFB">
        <w:t>s</w:t>
      </w:r>
      <w:r w:rsidR="00E60912" w:rsidRPr="00205AFB">
        <w:t xml:space="preserve"> </w:t>
      </w:r>
      <w:r w:rsidR="000362A0" w:rsidRPr="00205AFB">
        <w:t>and no</w:t>
      </w:r>
      <w:r w:rsidR="00E60912" w:rsidRPr="00205AFB">
        <w:t xml:space="preserve"> other legal or contractual requirements that regulate the flaring of LFG or methane</w:t>
      </w:r>
      <w:r w:rsidR="000362A0" w:rsidRPr="00205AFB">
        <w:t xml:space="preserve"> exist</w:t>
      </w:r>
      <w:r w:rsidR="00906CAE" w:rsidRPr="00205AFB">
        <w:t xml:space="preserve">, </w:t>
      </w:r>
      <w:r w:rsidR="008235B7" w:rsidRPr="00205AFB">
        <w:t xml:space="preserve">activity participants may </w:t>
      </w:r>
      <w:r w:rsidR="00B82F11" w:rsidRPr="00205AFB">
        <w:t xml:space="preserve">apply a value of 0 for </w:t>
      </w:r>
      <w:r w:rsidR="00B82F11" w:rsidRPr="00205AFB">
        <w:rPr>
          <w:i/>
        </w:rPr>
        <w:t>F</w:t>
      </w:r>
      <w:r w:rsidR="00B82F11" w:rsidRPr="00205AFB">
        <w:rPr>
          <w:i/>
          <w:vertAlign w:val="subscript"/>
        </w:rPr>
        <w:t>CH4,BL,y</w:t>
      </w:r>
      <w:r w:rsidR="00906CAE" w:rsidRPr="00205AFB">
        <w:t>.</w:t>
      </w:r>
      <w:bookmarkEnd w:id="237"/>
    </w:p>
    <w:p w14:paraId="2788B86B" w14:textId="5EB55257" w:rsidR="004334D2" w:rsidRPr="00205AFB" w:rsidRDefault="004334D2" w:rsidP="00E66E80">
      <w:pPr>
        <w:pStyle w:val="SDMPara"/>
      </w:pPr>
      <w:bookmarkStart w:id="238" w:name="_Ref211096460"/>
      <w:r w:rsidRPr="00BF0377">
        <w:t xml:space="preserve">For Article 6.4 activities developed </w:t>
      </w:r>
      <w:r w:rsidRPr="00BA11DC">
        <w:t>in new SWDSs</w:t>
      </w:r>
      <w:r w:rsidRPr="00BF0377">
        <w:t xml:space="preserve">, </w:t>
      </w:r>
      <w:r w:rsidRPr="00BF0377">
        <w:rPr>
          <w:i/>
        </w:rPr>
        <w:t>F</w:t>
      </w:r>
      <w:r w:rsidRPr="00BF0377">
        <w:rPr>
          <w:i/>
          <w:vertAlign w:val="subscript"/>
        </w:rPr>
        <w:t>CH4,BL,y</w:t>
      </w:r>
      <w:r w:rsidRPr="00BF0377">
        <w:rPr>
          <w:iCs/>
        </w:rPr>
        <w:t xml:space="preserve"> shall be determined using </w:t>
      </w:r>
      <w:r w:rsidRPr="00BF0377">
        <w:t>Case 1 if there are no requirements to capture and destroy LFG or using Case 2 if there are requirements to capture and destroy LFG.</w:t>
      </w:r>
      <w:r w:rsidR="0085318B" w:rsidRPr="00BF0377">
        <w:t xml:space="preserve"> </w:t>
      </w:r>
      <w:r w:rsidR="0085318B" w:rsidRPr="00205AFB">
        <w:t xml:space="preserve">If </w:t>
      </w:r>
      <w:r w:rsidR="00FF76D0" w:rsidRPr="00205AFB">
        <w:t>the requirement does not specify a date of entry into force</w:t>
      </w:r>
      <w:r w:rsidR="0085318B" w:rsidRPr="00205AFB">
        <w:t>, it would be conservatively assumed that the regulation is enforced</w:t>
      </w:r>
      <w:r w:rsidR="00894D95" w:rsidRPr="00205AFB">
        <w:t xml:space="preserve">; </w:t>
      </w:r>
      <w:r w:rsidR="0085318B" w:rsidRPr="00205AFB">
        <w:t xml:space="preserve">if the date </w:t>
      </w:r>
      <w:r w:rsidR="00894D95" w:rsidRPr="00205AFB">
        <w:t xml:space="preserve">of entry into force </w:t>
      </w:r>
      <w:r w:rsidR="0085318B" w:rsidRPr="00205AFB">
        <w:t xml:space="preserve">is in the future, the </w:t>
      </w:r>
      <w:r w:rsidR="00894D95" w:rsidRPr="00205AFB">
        <w:t xml:space="preserve">requirement must be </w:t>
      </w:r>
      <w:r w:rsidR="0085318B" w:rsidRPr="00205AFB">
        <w:t xml:space="preserve">considered </w:t>
      </w:r>
      <w:r w:rsidR="00894D95" w:rsidRPr="00205AFB">
        <w:t xml:space="preserve">only from the date </w:t>
      </w:r>
      <w:r w:rsidR="00D244D2" w:rsidRPr="00205AFB">
        <w:t>of entry into force onwards</w:t>
      </w:r>
      <w:r w:rsidR="0085318B" w:rsidRPr="00205AFB">
        <w:t>.</w:t>
      </w:r>
      <w:bookmarkEnd w:id="238"/>
    </w:p>
    <w:p w14:paraId="43179E50" w14:textId="02409021" w:rsidR="004334D2" w:rsidRPr="000C5FD6" w:rsidRDefault="004334D2" w:rsidP="004334D2">
      <w:pPr>
        <w:pStyle w:val="Caption"/>
      </w:pPr>
      <w:r w:rsidRPr="000C5FD6">
        <w:t>Table </w:t>
      </w:r>
      <w:r>
        <w:rPr>
          <w:noProof/>
        </w:rPr>
        <w:fldChar w:fldCharType="begin"/>
      </w:r>
      <w:r>
        <w:rPr>
          <w:noProof/>
        </w:rPr>
        <w:instrText xml:space="preserve"> SEQ Table \* ARABIC </w:instrText>
      </w:r>
      <w:r>
        <w:rPr>
          <w:noProof/>
        </w:rPr>
        <w:fldChar w:fldCharType="separate"/>
      </w:r>
      <w:r w:rsidR="00302468">
        <w:rPr>
          <w:noProof/>
        </w:rPr>
        <w:t>3</w:t>
      </w:r>
      <w:r>
        <w:rPr>
          <w:noProof/>
        </w:rPr>
        <w:fldChar w:fldCharType="end"/>
      </w:r>
      <w:r w:rsidRPr="000C5FD6">
        <w:rPr>
          <w:noProof/>
        </w:rPr>
        <w:t>.</w:t>
      </w:r>
      <w:r w:rsidRPr="000C5FD6">
        <w:tab/>
      </w:r>
      <w:r w:rsidRPr="000C5FD6">
        <w:rPr>
          <w:sz w:val="22"/>
          <w:szCs w:val="22"/>
        </w:rPr>
        <w:t xml:space="preserve">Cases for determining </w:t>
      </w:r>
      <w:r>
        <w:rPr>
          <w:sz w:val="22"/>
          <w:szCs w:val="22"/>
        </w:rPr>
        <w:t>LFG</w:t>
      </w:r>
      <w:r w:rsidRPr="000C5FD6">
        <w:rPr>
          <w:sz w:val="22"/>
          <w:szCs w:val="22"/>
        </w:rPr>
        <w:t xml:space="preserve"> captured and destroyed in the baseline</w:t>
      </w:r>
    </w:p>
    <w:tbl>
      <w:tblPr>
        <w:tblStyle w:val="SDMMethTable"/>
        <w:tblW w:w="8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940"/>
        <w:gridCol w:w="2372"/>
        <w:gridCol w:w="3306"/>
      </w:tblGrid>
      <w:tr w:rsidR="00A174A5" w:rsidRPr="000C5FD6" w14:paraId="6479DE2D" w14:textId="77777777" w:rsidTr="00A672F6">
        <w:trPr>
          <w:cnfStyle w:val="100000000000" w:firstRow="1" w:lastRow="0" w:firstColumn="0" w:lastColumn="0" w:oddVBand="0" w:evenVBand="0" w:oddHBand="0" w:evenHBand="0" w:firstRowFirstColumn="0" w:firstRowLastColumn="0" w:lastRowFirstColumn="0" w:lastRowLastColumn="0"/>
        </w:trPr>
        <w:tc>
          <w:tcPr>
            <w:tcW w:w="2268"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C213ACD" w14:textId="2EC52F8C" w:rsidR="004334D2" w:rsidRPr="000C5FD6" w:rsidRDefault="004334D2" w:rsidP="003C2DCC">
            <w:pPr>
              <w:pStyle w:val="SDMTableBoxParaNotNumbered"/>
            </w:pPr>
            <w:r w:rsidRPr="000C5FD6">
              <w:t xml:space="preserve">Situation at the start of the </w:t>
            </w:r>
            <w:r w:rsidR="005704AC">
              <w:t>Article 6.4 activity</w:t>
            </w:r>
          </w:p>
        </w:tc>
        <w:tc>
          <w:tcPr>
            <w:tcW w:w="1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1D9BF37" w14:textId="77777777" w:rsidR="004334D2" w:rsidRPr="000C5FD6" w:rsidRDefault="004334D2" w:rsidP="003C2DCC">
            <w:pPr>
              <w:pStyle w:val="SDMTableBoxParaNotNumbered"/>
            </w:pPr>
            <w:r>
              <w:t>R</w:t>
            </w:r>
            <w:r w:rsidRPr="000C5FD6">
              <w:t>equirement</w:t>
            </w:r>
            <w:r>
              <w:t>s</w:t>
            </w:r>
            <w:r w:rsidRPr="000C5FD6">
              <w:t xml:space="preserve"> to </w:t>
            </w:r>
            <w:r>
              <w:t xml:space="preserve">capture and </w:t>
            </w:r>
            <w:r w:rsidRPr="000C5FD6">
              <w:t xml:space="preserve">destroy </w:t>
            </w:r>
            <w:r>
              <w:t>LFG</w:t>
            </w:r>
          </w:p>
        </w:tc>
        <w:tc>
          <w:tcPr>
            <w:tcW w:w="255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9895475" w14:textId="18A464BE" w:rsidR="004334D2" w:rsidRPr="000C5FD6" w:rsidRDefault="004334D2" w:rsidP="003C2DCC">
            <w:pPr>
              <w:pStyle w:val="SDMTableBoxParaNotNumbered"/>
            </w:pPr>
            <w:r w:rsidRPr="000C5FD6">
              <w:t>Existing LFG capture system</w:t>
            </w:r>
          </w:p>
        </w:tc>
      </w:tr>
      <w:tr w:rsidR="004334D2" w:rsidRPr="000C5FD6" w14:paraId="180B1153" w14:textId="77777777" w:rsidTr="00A672F6">
        <w:tc>
          <w:tcPr>
            <w:tcW w:w="2268" w:type="dxa"/>
          </w:tcPr>
          <w:p w14:paraId="324D3DBD" w14:textId="77777777" w:rsidR="004334D2" w:rsidRPr="000C5FD6" w:rsidRDefault="004334D2" w:rsidP="003C2DCC">
            <w:pPr>
              <w:pStyle w:val="SDMTableBoxParaNotNumbered"/>
              <w:rPr>
                <w:rFonts w:cs="Arial"/>
              </w:rPr>
            </w:pPr>
            <w:r w:rsidRPr="000C5FD6">
              <w:rPr>
                <w:rFonts w:cs="Arial"/>
              </w:rPr>
              <w:t>Case 1</w:t>
            </w:r>
          </w:p>
        </w:tc>
        <w:tc>
          <w:tcPr>
            <w:tcW w:w="1830" w:type="dxa"/>
          </w:tcPr>
          <w:p w14:paraId="584649E2" w14:textId="77777777" w:rsidR="004334D2" w:rsidRPr="000C5FD6" w:rsidRDefault="004334D2" w:rsidP="003C2DCC">
            <w:pPr>
              <w:pStyle w:val="SDMTableBoxParaNotNumbered"/>
              <w:rPr>
                <w:rFonts w:cs="Arial"/>
              </w:rPr>
            </w:pPr>
            <w:r w:rsidRPr="000C5FD6">
              <w:rPr>
                <w:rFonts w:cs="Arial"/>
              </w:rPr>
              <w:t>No</w:t>
            </w:r>
          </w:p>
        </w:tc>
        <w:tc>
          <w:tcPr>
            <w:tcW w:w="2551" w:type="dxa"/>
          </w:tcPr>
          <w:p w14:paraId="1B8D5538" w14:textId="77777777" w:rsidR="004334D2" w:rsidRPr="000C5FD6" w:rsidRDefault="004334D2" w:rsidP="003C2DCC">
            <w:pPr>
              <w:pStyle w:val="SDMTableBoxParaNotNumbered"/>
              <w:rPr>
                <w:rFonts w:cs="Arial"/>
              </w:rPr>
            </w:pPr>
            <w:r w:rsidRPr="000C5FD6">
              <w:rPr>
                <w:rFonts w:cs="Arial"/>
              </w:rPr>
              <w:t>No</w:t>
            </w:r>
          </w:p>
        </w:tc>
      </w:tr>
      <w:tr w:rsidR="004334D2" w:rsidRPr="000C5FD6" w14:paraId="561909E1" w14:textId="77777777" w:rsidTr="00A672F6">
        <w:tc>
          <w:tcPr>
            <w:tcW w:w="2268" w:type="dxa"/>
          </w:tcPr>
          <w:p w14:paraId="7BA457AB" w14:textId="77777777" w:rsidR="004334D2" w:rsidRPr="000C5FD6" w:rsidRDefault="004334D2" w:rsidP="003C2DCC">
            <w:pPr>
              <w:pStyle w:val="SDMTableBoxParaNotNumbered"/>
              <w:rPr>
                <w:rFonts w:cs="Arial"/>
              </w:rPr>
            </w:pPr>
            <w:r w:rsidRPr="000C5FD6">
              <w:rPr>
                <w:rFonts w:cs="Arial"/>
              </w:rPr>
              <w:t xml:space="preserve">Case </w:t>
            </w:r>
            <w:r>
              <w:rPr>
                <w:rFonts w:cs="Arial"/>
              </w:rPr>
              <w:t>2</w:t>
            </w:r>
          </w:p>
        </w:tc>
        <w:tc>
          <w:tcPr>
            <w:tcW w:w="1830" w:type="dxa"/>
          </w:tcPr>
          <w:p w14:paraId="6AC43600" w14:textId="77777777" w:rsidR="004334D2" w:rsidRPr="000C5FD6" w:rsidRDefault="004334D2" w:rsidP="003C2DCC">
            <w:pPr>
              <w:pStyle w:val="SDMTableBoxParaNotNumbered"/>
              <w:rPr>
                <w:rFonts w:cs="Arial"/>
              </w:rPr>
            </w:pPr>
            <w:r w:rsidRPr="000C5FD6">
              <w:rPr>
                <w:rFonts w:cs="Arial"/>
              </w:rPr>
              <w:t>Yes</w:t>
            </w:r>
          </w:p>
        </w:tc>
        <w:tc>
          <w:tcPr>
            <w:tcW w:w="2551" w:type="dxa"/>
          </w:tcPr>
          <w:p w14:paraId="04589A03" w14:textId="77777777" w:rsidR="004334D2" w:rsidRPr="000C5FD6" w:rsidRDefault="004334D2" w:rsidP="003C2DCC">
            <w:pPr>
              <w:pStyle w:val="SDMTableBoxParaNotNumbered"/>
              <w:rPr>
                <w:rFonts w:cs="Arial"/>
              </w:rPr>
            </w:pPr>
            <w:r w:rsidRPr="000C5FD6">
              <w:rPr>
                <w:rFonts w:cs="Arial"/>
              </w:rPr>
              <w:t>No</w:t>
            </w:r>
          </w:p>
        </w:tc>
      </w:tr>
      <w:tr w:rsidR="004334D2" w:rsidRPr="000C5FD6" w14:paraId="632ECFC0" w14:textId="77777777" w:rsidTr="00A672F6">
        <w:tc>
          <w:tcPr>
            <w:tcW w:w="2268" w:type="dxa"/>
          </w:tcPr>
          <w:p w14:paraId="199CDDB3" w14:textId="77777777" w:rsidR="004334D2" w:rsidRPr="000C5FD6" w:rsidRDefault="004334D2" w:rsidP="003C2DCC">
            <w:pPr>
              <w:pStyle w:val="SDMTableBoxParaNotNumbered"/>
              <w:rPr>
                <w:rFonts w:cs="Arial"/>
              </w:rPr>
            </w:pPr>
            <w:r w:rsidRPr="000C5FD6">
              <w:rPr>
                <w:rFonts w:cs="Arial"/>
              </w:rPr>
              <w:t xml:space="preserve">Case </w:t>
            </w:r>
            <w:r>
              <w:rPr>
                <w:rFonts w:cs="Arial"/>
              </w:rPr>
              <w:t>3</w:t>
            </w:r>
          </w:p>
        </w:tc>
        <w:tc>
          <w:tcPr>
            <w:tcW w:w="1830" w:type="dxa"/>
          </w:tcPr>
          <w:p w14:paraId="31F1D127" w14:textId="77777777" w:rsidR="004334D2" w:rsidRPr="000C5FD6" w:rsidRDefault="004334D2" w:rsidP="003C2DCC">
            <w:pPr>
              <w:pStyle w:val="SDMTableBoxParaNotNumbered"/>
              <w:rPr>
                <w:rFonts w:cs="Arial"/>
              </w:rPr>
            </w:pPr>
            <w:r w:rsidRPr="000C5FD6">
              <w:rPr>
                <w:rFonts w:cs="Arial"/>
              </w:rPr>
              <w:t>No</w:t>
            </w:r>
          </w:p>
        </w:tc>
        <w:tc>
          <w:tcPr>
            <w:tcW w:w="2551" w:type="dxa"/>
          </w:tcPr>
          <w:p w14:paraId="24F196B1" w14:textId="77777777" w:rsidR="004334D2" w:rsidRPr="000C5FD6" w:rsidRDefault="004334D2" w:rsidP="003C2DCC">
            <w:pPr>
              <w:pStyle w:val="SDMTableBoxParaNotNumbered"/>
              <w:rPr>
                <w:rFonts w:cs="Arial"/>
              </w:rPr>
            </w:pPr>
            <w:r w:rsidRPr="000C5FD6">
              <w:rPr>
                <w:rFonts w:cs="Arial"/>
              </w:rPr>
              <w:t>Yes</w:t>
            </w:r>
          </w:p>
        </w:tc>
      </w:tr>
      <w:tr w:rsidR="004334D2" w:rsidRPr="000C5FD6" w14:paraId="32D69F3E" w14:textId="77777777" w:rsidTr="00A672F6">
        <w:tc>
          <w:tcPr>
            <w:tcW w:w="2268" w:type="dxa"/>
          </w:tcPr>
          <w:p w14:paraId="15E4F595" w14:textId="77777777" w:rsidR="004334D2" w:rsidRPr="000C5FD6" w:rsidRDefault="004334D2" w:rsidP="003C2DCC">
            <w:pPr>
              <w:pStyle w:val="SDMTableBoxParaNotNumbered"/>
              <w:rPr>
                <w:rFonts w:cs="Arial"/>
              </w:rPr>
            </w:pPr>
            <w:r w:rsidRPr="000C5FD6">
              <w:rPr>
                <w:rFonts w:cs="Arial"/>
              </w:rPr>
              <w:t>Case 4</w:t>
            </w:r>
          </w:p>
        </w:tc>
        <w:tc>
          <w:tcPr>
            <w:tcW w:w="1830" w:type="dxa"/>
          </w:tcPr>
          <w:p w14:paraId="0BAE2023" w14:textId="77777777" w:rsidR="004334D2" w:rsidRPr="000C5FD6" w:rsidRDefault="004334D2" w:rsidP="003C2DCC">
            <w:pPr>
              <w:pStyle w:val="SDMTableBoxParaNotNumbered"/>
              <w:rPr>
                <w:rFonts w:cs="Arial"/>
              </w:rPr>
            </w:pPr>
            <w:r w:rsidRPr="000C5FD6">
              <w:rPr>
                <w:rFonts w:cs="Arial"/>
              </w:rPr>
              <w:t>Yes</w:t>
            </w:r>
          </w:p>
        </w:tc>
        <w:tc>
          <w:tcPr>
            <w:tcW w:w="2551" w:type="dxa"/>
          </w:tcPr>
          <w:p w14:paraId="32138B60" w14:textId="77777777" w:rsidR="004334D2" w:rsidRPr="000C5FD6" w:rsidRDefault="004334D2" w:rsidP="003C2DCC">
            <w:pPr>
              <w:pStyle w:val="SDMTableBoxParaNotNumbered"/>
              <w:rPr>
                <w:rFonts w:cs="Arial"/>
              </w:rPr>
            </w:pPr>
            <w:r w:rsidRPr="000C5FD6">
              <w:rPr>
                <w:rFonts w:cs="Arial"/>
              </w:rPr>
              <w:t>Yes</w:t>
            </w:r>
          </w:p>
        </w:tc>
      </w:tr>
    </w:tbl>
    <w:p w14:paraId="6EA7DE4B" w14:textId="77777777" w:rsidR="004334D2" w:rsidRPr="000C5FD6" w:rsidRDefault="004334D2" w:rsidP="00E66E80">
      <w:pPr>
        <w:pStyle w:val="SDMHead5"/>
      </w:pPr>
      <w:r>
        <w:t xml:space="preserve">Determining </w:t>
      </w:r>
      <w:r w:rsidRPr="001A78D4">
        <w:rPr>
          <w:i/>
          <w:iCs/>
        </w:rPr>
        <w:t>F</w:t>
      </w:r>
      <w:r w:rsidRPr="001A78D4">
        <w:rPr>
          <w:i/>
          <w:iCs/>
          <w:vertAlign w:val="subscript"/>
        </w:rPr>
        <w:t>CH4,B</w:t>
      </w:r>
      <w:r>
        <w:rPr>
          <w:i/>
          <w:iCs/>
          <w:vertAlign w:val="subscript"/>
        </w:rPr>
        <w:t>L</w:t>
      </w:r>
      <w:r w:rsidRPr="008D5339">
        <w:rPr>
          <w:i/>
          <w:iCs/>
          <w:vertAlign w:val="subscript"/>
        </w:rPr>
        <w:t>,y</w:t>
      </w:r>
      <w:r>
        <w:t xml:space="preserve"> for </w:t>
      </w:r>
      <w:r w:rsidRPr="000C5FD6">
        <w:t xml:space="preserve">Case </w:t>
      </w:r>
      <w:r>
        <w:t>1</w:t>
      </w:r>
    </w:p>
    <w:p w14:paraId="3907DC1B" w14:textId="77777777" w:rsidR="004334D2" w:rsidRDefault="004334D2" w:rsidP="00E66E80">
      <w:pPr>
        <w:pStyle w:val="SDMPara"/>
      </w:pPr>
      <w:r>
        <w:t xml:space="preserve">In the absence of a requirement to capture and destroy LFG and in the absence of an existing </w:t>
      </w:r>
      <w:r w:rsidRPr="001A78D4">
        <w:t>LFG capture and destruction system</w:t>
      </w:r>
      <w:r>
        <w:t xml:space="preserve">, </w:t>
      </w:r>
      <w:r w:rsidRPr="001A78D4">
        <w:rPr>
          <w:i/>
          <w:iCs/>
        </w:rPr>
        <w:t>F</w:t>
      </w:r>
      <w:r w:rsidRPr="001A78D4">
        <w:rPr>
          <w:i/>
          <w:iCs/>
          <w:vertAlign w:val="subscript"/>
        </w:rPr>
        <w:t>CH4,B</w:t>
      </w:r>
      <w:r>
        <w:rPr>
          <w:i/>
          <w:iCs/>
          <w:vertAlign w:val="subscript"/>
        </w:rPr>
        <w:t>L</w:t>
      </w:r>
      <w:r w:rsidRPr="008D5339">
        <w:rPr>
          <w:i/>
          <w:iCs/>
          <w:vertAlign w:val="subscript"/>
        </w:rPr>
        <w:t>,y</w:t>
      </w:r>
      <w:r>
        <w:t xml:space="preserve"> = 0.</w:t>
      </w:r>
    </w:p>
    <w:p w14:paraId="7D93D132" w14:textId="77777777" w:rsidR="004334D2" w:rsidRPr="000C5FD6" w:rsidRDefault="004334D2" w:rsidP="007D034D">
      <w:pPr>
        <w:pStyle w:val="SDMHead5"/>
        <w:keepNext w:val="0"/>
      </w:pPr>
      <w:r>
        <w:t xml:space="preserve">Determining </w:t>
      </w:r>
      <w:r w:rsidRPr="001A78D4">
        <w:rPr>
          <w:i/>
          <w:iCs/>
        </w:rPr>
        <w:t>F</w:t>
      </w:r>
      <w:r w:rsidRPr="001A78D4">
        <w:rPr>
          <w:i/>
          <w:iCs/>
          <w:vertAlign w:val="subscript"/>
        </w:rPr>
        <w:t>CH4,B</w:t>
      </w:r>
      <w:r>
        <w:rPr>
          <w:i/>
          <w:iCs/>
          <w:vertAlign w:val="subscript"/>
        </w:rPr>
        <w:t>L,</w:t>
      </w:r>
      <w:r w:rsidRPr="008D5339">
        <w:rPr>
          <w:i/>
          <w:iCs/>
          <w:vertAlign w:val="subscript"/>
        </w:rPr>
        <w:t>y</w:t>
      </w:r>
      <w:r>
        <w:t xml:space="preserve"> for </w:t>
      </w:r>
      <w:r w:rsidRPr="000C5FD6">
        <w:t xml:space="preserve">Case </w:t>
      </w:r>
      <w:r>
        <w:t>2</w:t>
      </w:r>
    </w:p>
    <w:p w14:paraId="2ACD5FC1" w14:textId="77777777" w:rsidR="004334D2" w:rsidRDefault="004334D2" w:rsidP="007D034D">
      <w:pPr>
        <w:pStyle w:val="SDMPara"/>
      </w:pPr>
      <w:bookmarkStart w:id="239" w:name="_Ref203472209"/>
      <w:r>
        <w:t xml:space="preserve">In this situation, </w:t>
      </w:r>
      <m:oMath>
        <m:sSub>
          <m:sSubPr>
            <m:ctrlPr>
              <w:rPr>
                <w:rFonts w:ascii="Cambria Math" w:hAnsi="Cambria Math"/>
                <w:i/>
              </w:rPr>
            </m:ctrlPr>
          </m:sSubPr>
          <m:e>
            <m:r>
              <w:rPr>
                <w:rFonts w:ascii="Cambria Math" w:hAnsi="Cambria Math"/>
              </w:rPr>
              <m:t>F</m:t>
            </m:r>
          </m:e>
          <m:sub>
            <m:r>
              <w:rPr>
                <w:rFonts w:ascii="Cambria Math" w:hAnsi="Cambria Math"/>
              </w:rPr>
              <m:t>CH4,BL,y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CH4,BL-case 2,y</m:t>
            </m:r>
          </m:sub>
        </m:sSub>
        <m:r>
          <w:rPr>
            <w:rFonts w:ascii="Cambria Math" w:hAnsi="Cambria Math"/>
          </w:rPr>
          <m:t>,</m:t>
        </m:r>
      </m:oMath>
      <w:r>
        <w:t xml:space="preserve"> and </w:t>
      </w:r>
      <m:oMath>
        <m:sSub>
          <m:sSubPr>
            <m:ctrlPr>
              <w:rPr>
                <w:rFonts w:ascii="Cambria Math" w:hAnsi="Cambria Math"/>
                <w:i/>
              </w:rPr>
            </m:ctrlPr>
          </m:sSubPr>
          <m:e>
            <m:r>
              <w:rPr>
                <w:rFonts w:ascii="Cambria Math" w:hAnsi="Cambria Math"/>
              </w:rPr>
              <m:t>F</m:t>
            </m:r>
          </m:e>
          <m:sub>
            <m:r>
              <w:rPr>
                <w:rFonts w:ascii="Cambria Math" w:hAnsi="Cambria Math"/>
              </w:rPr>
              <m:t>CH4,BL-case 2,y</m:t>
            </m:r>
          </m:sub>
        </m:sSub>
      </m:oMath>
      <w:r>
        <w:t xml:space="preserve"> is determined based on the different scenarios below:</w:t>
      </w:r>
      <w:bookmarkEnd w:id="239"/>
    </w:p>
    <w:p w14:paraId="23DF3ADE" w14:textId="77777777" w:rsidR="004334D2" w:rsidRDefault="004334D2" w:rsidP="00DA05CE">
      <w:pPr>
        <w:pStyle w:val="SDMSubPara1"/>
        <w:keepNext/>
      </w:pPr>
      <w:bookmarkStart w:id="240" w:name="_Ref207376576"/>
      <w:r w:rsidRPr="00BA11DC">
        <w:rPr>
          <w:b/>
          <w:bCs/>
        </w:rPr>
        <w:t>Scenario A:</w:t>
      </w:r>
      <w:r>
        <w:t xml:space="preserve"> I</w:t>
      </w:r>
      <w:r w:rsidRPr="000C5FD6">
        <w:t>f the requirement specifies the</w:t>
      </w:r>
      <w:r>
        <w:rPr>
          <w:lang w:val="en-US"/>
        </w:rPr>
        <w:t xml:space="preserve"> absolute</w:t>
      </w:r>
      <w:r w:rsidRPr="000C5FD6">
        <w:t xml:space="preserve"> amount of </w:t>
      </w:r>
      <w:r>
        <w:t>LFG</w:t>
      </w:r>
      <w:r w:rsidRPr="000C5FD6">
        <w:t xml:space="preserve"> </w:t>
      </w:r>
      <w:r>
        <w:t>(</w:t>
      </w:r>
      <m:oMath>
        <m:sSub>
          <m:sSubPr>
            <m:ctrlPr>
              <w:rPr>
                <w:rFonts w:ascii="Cambria Math" w:hAnsi="Cambria Math"/>
                <w:i/>
              </w:rPr>
            </m:ctrlPr>
          </m:sSubPr>
          <m:e>
            <m:r>
              <w:rPr>
                <w:rFonts w:ascii="Cambria Math" w:hAnsi="Cambria Math"/>
              </w:rPr>
              <m:t>F</m:t>
            </m:r>
          </m:e>
          <m:sub>
            <m:r>
              <w:rPr>
                <w:rFonts w:ascii="Cambria Math" w:hAnsi="Cambria Math"/>
              </w:rPr>
              <m:t>LFG,BL,R,y</m:t>
            </m:r>
          </m:sub>
        </m:sSub>
      </m:oMath>
      <w:r>
        <w:t xml:space="preserve">) </w:t>
      </w:r>
      <w:r w:rsidRPr="000C5FD6">
        <w:t>that must be flared</w:t>
      </w:r>
      <w:r>
        <w:t>,</w:t>
      </w:r>
      <w:r w:rsidRPr="000C5FD6">
        <w:t xml:space="preserve"> then</w:t>
      </w:r>
      <w:r>
        <w:t>:</w:t>
      </w:r>
      <w:bookmarkEnd w:id="240"/>
    </w:p>
    <w:tbl>
      <w:tblPr>
        <w:tblStyle w:val="SDMMethTableEquation"/>
        <w:tblW w:w="8760" w:type="dxa"/>
        <w:tblLook w:val="0600" w:firstRow="0" w:lastRow="0" w:firstColumn="0" w:lastColumn="0" w:noHBand="1" w:noVBand="1"/>
      </w:tblPr>
      <w:tblGrid>
        <w:gridCol w:w="7093"/>
        <w:gridCol w:w="1667"/>
      </w:tblGrid>
      <w:tr w:rsidR="004334D2" w:rsidRPr="00E32F75" w14:paraId="1F99623F" w14:textId="77777777" w:rsidTr="007E5A9B">
        <w:tc>
          <w:tcPr>
            <w:tcW w:w="7224" w:type="dxa"/>
          </w:tcPr>
          <w:p w14:paraId="45E222A0" w14:textId="77777777"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2,y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LFG,BL,R,y</m:t>
                    </m:r>
                  </m:sub>
                </m:sSub>
              </m:oMath>
            </m:oMathPara>
          </w:p>
        </w:tc>
        <w:tc>
          <w:tcPr>
            <w:tcW w:w="1701" w:type="dxa"/>
          </w:tcPr>
          <w:p w14:paraId="0F573503" w14:textId="77777777" w:rsidR="004334D2" w:rsidRPr="002B6960" w:rsidRDefault="004334D2" w:rsidP="00247E9F">
            <w:pPr>
              <w:pStyle w:val="SDMMethEquationNr"/>
              <w:numPr>
                <w:ilvl w:val="0"/>
                <w:numId w:val="4"/>
              </w:numPr>
            </w:pPr>
          </w:p>
        </w:tc>
      </w:tr>
    </w:tbl>
    <w:p w14:paraId="5A5AE087" w14:textId="1771118B" w:rsidR="004334D2" w:rsidRPr="000C5FD6" w:rsidRDefault="004334D2" w:rsidP="00DA05CE">
      <w:pPr>
        <w:pStyle w:val="SDMSubPara1"/>
        <w:keepNext/>
      </w:pPr>
      <w:bookmarkStart w:id="241" w:name="_Ref203748009"/>
      <w:r w:rsidRPr="00BA11DC">
        <w:rPr>
          <w:b/>
          <w:bCs/>
        </w:rPr>
        <w:t>Scenario B:</w:t>
      </w:r>
      <w:r>
        <w:t xml:space="preserve"> If the requirement specifies a fraction </w:t>
      </w:r>
      <w:r w:rsidR="00B447B8">
        <w:t>(</w:t>
      </w:r>
      <m:oMath>
        <m:sSub>
          <m:sSubPr>
            <m:ctrlPr>
              <w:rPr>
                <w:rFonts w:ascii="Cambria Math" w:hAnsi="Cambria Math"/>
                <w:i/>
              </w:rPr>
            </m:ctrlPr>
          </m:sSubPr>
          <m:e>
            <m:r>
              <w:rPr>
                <w:rFonts w:ascii="Cambria Math" w:hAnsi="Cambria Math"/>
              </w:rPr>
              <m:t>ρ</m:t>
            </m:r>
          </m:e>
          <m:sub>
            <m:r>
              <w:rPr>
                <w:rFonts w:ascii="Cambria Math" w:hAnsi="Cambria Math"/>
              </w:rPr>
              <m:t>reg,y</m:t>
            </m:r>
          </m:sub>
        </m:sSub>
        <m:r>
          <w:rPr>
            <w:rFonts w:ascii="Cambria Math" w:hAnsi="Cambria Math"/>
          </w:rPr>
          <m:t xml:space="preserve">) </m:t>
        </m:r>
      </m:oMath>
      <w:r>
        <w:t>of the captured LFG (</w:t>
      </w:r>
      <m:oMath>
        <m:sSub>
          <m:sSubPr>
            <m:ctrlPr>
              <w:rPr>
                <w:rFonts w:ascii="Cambria Math" w:hAnsi="Cambria Math"/>
                <w:i/>
              </w:rPr>
            </m:ctrlPr>
          </m:sSubPr>
          <m:e>
            <m:r>
              <w:rPr>
                <w:rFonts w:ascii="Cambria Math" w:hAnsi="Cambria Math"/>
              </w:rPr>
              <m:t>F</m:t>
            </m:r>
          </m:e>
          <m:sub>
            <m:r>
              <w:rPr>
                <w:rFonts w:ascii="Cambria Math" w:hAnsi="Cambria Math"/>
              </w:rPr>
              <m:t>LFG, PJ, capt,y</m:t>
            </m:r>
          </m:sub>
        </m:sSub>
      </m:oMath>
      <w:r>
        <w:t>) that must be flared, the amount shall be calculated as follows:</w:t>
      </w:r>
      <w:bookmarkEnd w:id="241"/>
    </w:p>
    <w:tbl>
      <w:tblPr>
        <w:tblStyle w:val="SDMMethTableEquation"/>
        <w:tblW w:w="8760" w:type="dxa"/>
        <w:tblLook w:val="0600" w:firstRow="0" w:lastRow="0" w:firstColumn="0" w:lastColumn="0" w:noHBand="1" w:noVBand="1"/>
      </w:tblPr>
      <w:tblGrid>
        <w:gridCol w:w="7093"/>
        <w:gridCol w:w="1667"/>
      </w:tblGrid>
      <w:tr w:rsidR="004334D2" w:rsidRPr="000C5FD6" w14:paraId="214177F5" w14:textId="77777777" w:rsidTr="007E5A9B">
        <w:tc>
          <w:tcPr>
            <w:tcW w:w="7093" w:type="dxa"/>
          </w:tcPr>
          <w:p w14:paraId="6B648C7B" w14:textId="658B004B" w:rsidR="004334D2" w:rsidRPr="000C5FD6" w:rsidRDefault="00302468" w:rsidP="00E06D0C">
            <w:pPr>
              <w:pStyle w:val="SDMMethEquation"/>
              <w:keepNext/>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2, y</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reg,y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LFG,PJ, capt,y</m:t>
                    </m:r>
                  </m:sub>
                </m:sSub>
              </m:oMath>
            </m:oMathPara>
          </w:p>
        </w:tc>
        <w:tc>
          <w:tcPr>
            <w:tcW w:w="1667" w:type="dxa"/>
          </w:tcPr>
          <w:p w14:paraId="0B6E4B0A" w14:textId="77777777" w:rsidR="004334D2" w:rsidRPr="000C5FD6" w:rsidRDefault="004334D2" w:rsidP="00247E9F">
            <w:pPr>
              <w:pStyle w:val="SDMMethEquationNr"/>
              <w:numPr>
                <w:ilvl w:val="0"/>
                <w:numId w:val="7"/>
              </w:numPr>
            </w:pPr>
          </w:p>
        </w:tc>
      </w:tr>
    </w:tbl>
    <w:p w14:paraId="67A3A3C1" w14:textId="75B98E5C" w:rsidR="004334D2" w:rsidRDefault="004334D2" w:rsidP="00DA05CE">
      <w:pPr>
        <w:pStyle w:val="SDMSubPara1"/>
        <w:keepNext/>
      </w:pPr>
      <w:bookmarkStart w:id="242" w:name="_Ref211096942"/>
      <w:bookmarkStart w:id="243" w:name="_Ref203748022"/>
      <w:r w:rsidRPr="00BA11DC">
        <w:rPr>
          <w:b/>
          <w:bCs/>
        </w:rPr>
        <w:t>Scenario C:</w:t>
      </w:r>
      <w:r>
        <w:t xml:space="preserve"> If the requirement does not specify the amount or the fraction of the captured LFG that must be flared but requires the installation of an LFG capture system</w:t>
      </w:r>
      <w:r w:rsidR="00175A95">
        <w:t xml:space="preserve"> (which is not yet installed)</w:t>
      </w:r>
      <w:r>
        <w:t>, without requiring the LFG to be flared</w:t>
      </w:r>
      <w:r w:rsidR="00B447B8">
        <w:t>,</w:t>
      </w:r>
      <w:r>
        <w:t xml:space="preserve"> then:</w:t>
      </w:r>
      <w:bookmarkEnd w:id="242"/>
      <w:bookmarkEnd w:id="243"/>
    </w:p>
    <w:tbl>
      <w:tblPr>
        <w:tblStyle w:val="SDMMethTableEquation"/>
        <w:tblW w:w="8760" w:type="dxa"/>
        <w:tblLook w:val="0600" w:firstRow="0" w:lastRow="0" w:firstColumn="0" w:lastColumn="0" w:noHBand="1" w:noVBand="1"/>
      </w:tblPr>
      <w:tblGrid>
        <w:gridCol w:w="7093"/>
        <w:gridCol w:w="1667"/>
      </w:tblGrid>
      <w:tr w:rsidR="004334D2" w:rsidRPr="000C5FD6" w14:paraId="122D5A58" w14:textId="77777777" w:rsidTr="007E5A9B">
        <w:tc>
          <w:tcPr>
            <w:tcW w:w="7093" w:type="dxa"/>
          </w:tcPr>
          <w:p w14:paraId="0BCE1455" w14:textId="77777777" w:rsidR="004334D2" w:rsidRPr="000C5FD6" w:rsidRDefault="00302468" w:rsidP="00E06D0C">
            <w:pPr>
              <w:pStyle w:val="SDMMethEquation"/>
              <w:keepNext/>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2, y</m:t>
                    </m:r>
                  </m:sub>
                </m:sSub>
                <m:r>
                  <w:rPr>
                    <w:rFonts w:ascii="Cambria Math" w:hAnsi="Cambria Math"/>
                  </w:rPr>
                  <m:t>=0</m:t>
                </m:r>
              </m:oMath>
            </m:oMathPara>
          </w:p>
        </w:tc>
        <w:tc>
          <w:tcPr>
            <w:tcW w:w="1667" w:type="dxa"/>
          </w:tcPr>
          <w:p w14:paraId="7BEEC5F6" w14:textId="77777777" w:rsidR="004334D2" w:rsidRPr="000C5FD6" w:rsidRDefault="004334D2" w:rsidP="00247E9F">
            <w:pPr>
              <w:pStyle w:val="SDMMethEquationNr"/>
              <w:numPr>
                <w:ilvl w:val="0"/>
                <w:numId w:val="7"/>
              </w:numPr>
            </w:pPr>
          </w:p>
        </w:tc>
      </w:tr>
    </w:tbl>
    <w:p w14:paraId="0CFA8360" w14:textId="77777777" w:rsidR="0051783E" w:rsidRDefault="004334D2" w:rsidP="00DA05CE">
      <w:pPr>
        <w:pStyle w:val="SDMSubPara1"/>
        <w:keepNext/>
      </w:pPr>
      <w:bookmarkStart w:id="244" w:name="_Ref211541211"/>
      <w:r w:rsidRPr="00BA11DC">
        <w:rPr>
          <w:b/>
          <w:bCs/>
        </w:rPr>
        <w:t>Scenario D:</w:t>
      </w:r>
      <w:r>
        <w:t xml:space="preserve"> if the requirement does not specify the amount or the percentage of the captured LFG that must be flared</w:t>
      </w:r>
      <w:r w:rsidR="00B447B8">
        <w:t>,</w:t>
      </w:r>
      <w:r>
        <w:t xml:space="preserve"> but </w:t>
      </w:r>
      <w:r w:rsidR="00B447B8">
        <w:t xml:space="preserve">mandates </w:t>
      </w:r>
      <w:r>
        <w:t xml:space="preserve">the installation of a passive LFG capture system for safety reasons and flaring the </w:t>
      </w:r>
      <w:r w:rsidR="00B447B8">
        <w:t xml:space="preserve">captured </w:t>
      </w:r>
      <w:r>
        <w:t>LFG, the</w:t>
      </w:r>
      <w:r w:rsidR="0051783E">
        <w:t xml:space="preserve"> following options may be applied:</w:t>
      </w:r>
      <w:bookmarkEnd w:id="244"/>
    </w:p>
    <w:p w14:paraId="70EF8BB3" w14:textId="48BB7739" w:rsidR="004334D2" w:rsidRPr="008D0119" w:rsidRDefault="0051783E" w:rsidP="00E66E80">
      <w:pPr>
        <w:pStyle w:val="SDMSubPara2"/>
      </w:pPr>
      <w:r w:rsidRPr="008D0119">
        <w:t>A</w:t>
      </w:r>
      <w:r w:rsidR="004334D2" w:rsidRPr="008D0119">
        <w:t xml:space="preserve"> </w:t>
      </w:r>
      <w:r w:rsidR="004334D2" w:rsidRPr="004650CC">
        <w:t>destruction</w:t>
      </w:r>
      <w:r w:rsidR="004334D2" w:rsidRPr="008D0119">
        <w:t xml:space="preserve"> rate of 40</w:t>
      </w:r>
      <w:r w:rsidR="00153FAB">
        <w:t xml:space="preserve"> per cent</w:t>
      </w:r>
      <w:r w:rsidR="004334D2" w:rsidRPr="008D0119">
        <w:t xml:space="preserve"> is assumed</w:t>
      </w:r>
      <w:r w:rsidR="003C2DCC">
        <w:t>:</w:t>
      </w:r>
      <w:r w:rsidR="004334D2" w:rsidRPr="008D0119">
        <w:rPr>
          <w:rStyle w:val="FootnoteReference"/>
        </w:rPr>
        <w:footnoteReference w:id="13"/>
      </w:r>
    </w:p>
    <w:tbl>
      <w:tblPr>
        <w:tblStyle w:val="SDMMethTableEquation"/>
        <w:tblW w:w="8760" w:type="dxa"/>
        <w:tblLook w:val="0600" w:firstRow="0" w:lastRow="0" w:firstColumn="0" w:lastColumn="0" w:noHBand="1" w:noVBand="1"/>
      </w:tblPr>
      <w:tblGrid>
        <w:gridCol w:w="7093"/>
        <w:gridCol w:w="1667"/>
      </w:tblGrid>
      <w:tr w:rsidR="004334D2" w:rsidRPr="004650CC" w14:paraId="0FD17C78" w14:textId="77777777" w:rsidTr="007E5A9B">
        <w:tc>
          <w:tcPr>
            <w:tcW w:w="7093" w:type="dxa"/>
          </w:tcPr>
          <w:p w14:paraId="30CF58E6" w14:textId="3F00FD9B" w:rsidR="004334D2" w:rsidRPr="008D0119" w:rsidRDefault="00302468" w:rsidP="00E06D0C">
            <w:pPr>
              <w:pStyle w:val="SDMMethEquation"/>
              <w:keepNext/>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2, y</m:t>
                    </m:r>
                  </m:sub>
                </m:sSub>
                <m:r>
                  <w:rPr>
                    <w:rFonts w:ascii="Cambria Math" w:hAnsi="Cambria Math"/>
                  </w:rPr>
                  <m:t>=0.4×</m:t>
                </m:r>
                <m:sSub>
                  <m:sSubPr>
                    <m:ctrlPr>
                      <w:rPr>
                        <w:rFonts w:ascii="Cambria Math" w:hAnsi="Cambria Math"/>
                        <w:i/>
                      </w:rPr>
                    </m:ctrlPr>
                  </m:sSubPr>
                  <m:e>
                    <m:r>
                      <w:rPr>
                        <w:rFonts w:ascii="Cambria Math" w:hAnsi="Cambria Math"/>
                      </w:rPr>
                      <m:t>F</m:t>
                    </m:r>
                  </m:e>
                  <m:sub>
                    <m:r>
                      <w:rPr>
                        <w:rFonts w:ascii="Cambria Math" w:hAnsi="Cambria Math"/>
                      </w:rPr>
                      <m:t>LFG, PJ, capt,y</m:t>
                    </m:r>
                  </m:sub>
                </m:sSub>
              </m:oMath>
            </m:oMathPara>
          </w:p>
        </w:tc>
        <w:tc>
          <w:tcPr>
            <w:tcW w:w="1667" w:type="dxa"/>
          </w:tcPr>
          <w:p w14:paraId="1D924799" w14:textId="77777777" w:rsidR="004334D2" w:rsidRPr="008D0119" w:rsidRDefault="004334D2" w:rsidP="00247E9F">
            <w:pPr>
              <w:pStyle w:val="SDMMethEquationNr"/>
              <w:numPr>
                <w:ilvl w:val="0"/>
                <w:numId w:val="7"/>
              </w:numPr>
            </w:pPr>
          </w:p>
        </w:tc>
      </w:tr>
    </w:tbl>
    <w:p w14:paraId="7356D757" w14:textId="14496061" w:rsidR="00175A95" w:rsidRPr="008D0119" w:rsidRDefault="0051783E" w:rsidP="00DA05CE">
      <w:pPr>
        <w:pStyle w:val="SDMSubPara2"/>
        <w:keepNext/>
      </w:pPr>
      <w:r w:rsidRPr="008D0119">
        <w:t>D</w:t>
      </w:r>
      <w:r w:rsidR="00175A95" w:rsidRPr="008D0119">
        <w:t>estruction</w:t>
      </w:r>
      <w:r w:rsidRPr="008D0119">
        <w:t xml:space="preserve"> rate</w:t>
      </w:r>
      <w:r w:rsidR="00175A95" w:rsidRPr="008D0119">
        <w:t xml:space="preserve"> </w:t>
      </w:r>
      <w:r w:rsidR="00734FBA" w:rsidRPr="008D0119">
        <w:t>is calculated as per the equation below</w:t>
      </w:r>
      <w:r w:rsidR="00175A95" w:rsidRPr="008D0119">
        <w:t>:</w:t>
      </w:r>
    </w:p>
    <w:tbl>
      <w:tblPr>
        <w:tblStyle w:val="SDMMethTableEquation"/>
        <w:tblW w:w="8760" w:type="dxa"/>
        <w:tblLook w:val="0600" w:firstRow="0" w:lastRow="0" w:firstColumn="0" w:lastColumn="0" w:noHBand="1" w:noVBand="1"/>
      </w:tblPr>
      <w:tblGrid>
        <w:gridCol w:w="7093"/>
        <w:gridCol w:w="1667"/>
      </w:tblGrid>
      <w:tr w:rsidR="00175A95" w:rsidRPr="000C5FD6" w14:paraId="6343DD6F" w14:textId="77777777" w:rsidTr="007E5A9B">
        <w:tc>
          <w:tcPr>
            <w:tcW w:w="7093" w:type="dxa"/>
          </w:tcPr>
          <w:p w14:paraId="65901E70" w14:textId="5000283A" w:rsidR="00175A95" w:rsidRPr="008D0119" w:rsidRDefault="00302468">
            <w:pPr>
              <w:pStyle w:val="SDMMethEquation"/>
              <w:keepNext/>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2, y</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passive,BL</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flare,BL</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CH4, SWDS,y</m:t>
                    </m:r>
                  </m:sub>
                </m:sSub>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hAnsi="Cambria Math"/>
                      </w:rPr>
                      <m:t>CH4</m:t>
                    </m:r>
                  </m:sub>
                </m:sSub>
              </m:oMath>
            </m:oMathPara>
          </w:p>
        </w:tc>
        <w:tc>
          <w:tcPr>
            <w:tcW w:w="1667" w:type="dxa"/>
          </w:tcPr>
          <w:p w14:paraId="64EC9603" w14:textId="77777777" w:rsidR="00175A95" w:rsidRPr="008D0119" w:rsidRDefault="00175A95" w:rsidP="00247E9F">
            <w:pPr>
              <w:pStyle w:val="SDMMethEquationNr"/>
              <w:numPr>
                <w:ilvl w:val="0"/>
                <w:numId w:val="7"/>
              </w:numPr>
            </w:pPr>
          </w:p>
        </w:tc>
      </w:tr>
    </w:tbl>
    <w:p w14:paraId="72A0D0CC" w14:textId="516D5D24" w:rsidR="004334D2" w:rsidRDefault="004334D2" w:rsidP="00E66E80">
      <w:pPr>
        <w:pStyle w:val="SDMSubPara1"/>
      </w:pPr>
      <w:bookmarkStart w:id="245" w:name="_Ref211554446"/>
      <w:r w:rsidRPr="00BA11DC">
        <w:rPr>
          <w:b/>
          <w:bCs/>
        </w:rPr>
        <w:t>Scenario E:</w:t>
      </w:r>
      <w:r>
        <w:t xml:space="preserve"> If the requirement enforces the captured LFG</w:t>
      </w:r>
      <w:r w:rsidR="001E3E9F">
        <w:t xml:space="preserve"> </w:t>
      </w:r>
      <w:r>
        <w:t>to be flared without specifying the amount or fraction, no A6.4 ERs can be claimed</w:t>
      </w:r>
      <w:r w:rsidR="001355F9" w:rsidRPr="001355F9">
        <w:t xml:space="preserve"> </w:t>
      </w:r>
      <w:r w:rsidR="001355F9">
        <w:t>for</w:t>
      </w:r>
      <w:r w:rsidR="001355F9" w:rsidRPr="001355F9">
        <w:t xml:space="preserve"> any </w:t>
      </w:r>
      <w:r w:rsidR="00886BBB">
        <w:t xml:space="preserve">of the </w:t>
      </w:r>
      <w:r w:rsidR="001355F9" w:rsidRPr="001355F9">
        <w:t>component</w:t>
      </w:r>
      <w:r w:rsidR="00886BBB">
        <w:t>s</w:t>
      </w:r>
      <w:r w:rsidR="004C326A">
        <w:t xml:space="preserve"> (it is conservatively assumed that an active system with 100</w:t>
      </w:r>
      <w:r w:rsidR="00153FAB">
        <w:t xml:space="preserve"> per cent</w:t>
      </w:r>
      <w:r w:rsidR="004C326A">
        <w:t xml:space="preserve"> collection efficiency and with a 100</w:t>
      </w:r>
      <w:r w:rsidR="00153FAB">
        <w:t xml:space="preserve"> per cent</w:t>
      </w:r>
      <w:r w:rsidR="004C326A">
        <w:t xml:space="preserve"> destruction efficiency is implemented)</w:t>
      </w:r>
      <w:r>
        <w:t>.</w:t>
      </w:r>
      <w:bookmarkEnd w:id="245"/>
    </w:p>
    <w:p w14:paraId="1E770DB5"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C5FD6" w14:paraId="419E2789" w14:textId="77777777" w:rsidTr="007E5A9B">
        <w:tc>
          <w:tcPr>
            <w:tcW w:w="1701" w:type="dxa"/>
            <w:vAlign w:val="top"/>
          </w:tcPr>
          <w:p w14:paraId="5855AC4C" w14:textId="77777777"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2, y</m:t>
                    </m:r>
                  </m:sub>
                </m:sSub>
              </m:oMath>
            </m:oMathPara>
          </w:p>
        </w:tc>
        <w:tc>
          <w:tcPr>
            <w:tcW w:w="345" w:type="dxa"/>
            <w:vAlign w:val="top"/>
          </w:tcPr>
          <w:p w14:paraId="69BFCDC0" w14:textId="77777777" w:rsidR="004334D2" w:rsidRPr="000C5FD6" w:rsidRDefault="004334D2" w:rsidP="00081FD4">
            <w:pPr>
              <w:pStyle w:val="SDMTableBoxParaNotNumbered"/>
            </w:pPr>
            <w:r w:rsidRPr="000C5FD6">
              <w:t>=</w:t>
            </w:r>
          </w:p>
        </w:tc>
        <w:tc>
          <w:tcPr>
            <w:tcW w:w="0" w:type="auto"/>
            <w:vAlign w:val="top"/>
          </w:tcPr>
          <w:p w14:paraId="7E453F66" w14:textId="5AD9937B" w:rsidR="004334D2" w:rsidRPr="000C5FD6" w:rsidRDefault="004334D2" w:rsidP="00081FD4">
            <w:pPr>
              <w:pStyle w:val="SDMTableBoxParaNotNumbered"/>
            </w:pPr>
            <w:r w:rsidRPr="000C5FD6">
              <w:t xml:space="preserve">Amount of </w:t>
            </w:r>
            <w:r>
              <w:t>methane</w:t>
            </w:r>
            <w:r w:rsidRPr="000C5FD6">
              <w:t xml:space="preserve"> that would be </w:t>
            </w:r>
            <w:r>
              <w:t>destroyed</w:t>
            </w:r>
            <w:r w:rsidRPr="000C5FD6">
              <w:t xml:space="preserve"> in the </w:t>
            </w:r>
            <w:r>
              <w:t>baseline scenario</w:t>
            </w:r>
            <w:r w:rsidRPr="000C5FD6">
              <w:t xml:space="preserve"> in year </w:t>
            </w:r>
            <w:r w:rsidRPr="000C5FD6">
              <w:rPr>
                <w:i/>
              </w:rPr>
              <w:t>y</w:t>
            </w:r>
            <w:r w:rsidRPr="000C5FD6">
              <w:t xml:space="preserve"> </w:t>
            </w:r>
            <w:r>
              <w:t xml:space="preserve">as per Case 2 </w:t>
            </w:r>
            <w:r w:rsidRPr="000C5FD6">
              <w:t>(tCH</w:t>
            </w:r>
            <w:r w:rsidRPr="000C5FD6">
              <w:rPr>
                <w:vertAlign w:val="subscript"/>
              </w:rPr>
              <w:t>4</w:t>
            </w:r>
            <w:r>
              <w:t>/year</w:t>
            </w:r>
            <w:r w:rsidRPr="000C5FD6">
              <w:t>)</w:t>
            </w:r>
          </w:p>
        </w:tc>
      </w:tr>
      <w:tr w:rsidR="004334D2" w14:paraId="0DF5BE14" w14:textId="77777777" w:rsidTr="007E5A9B">
        <w:tc>
          <w:tcPr>
            <w:tcW w:w="1701" w:type="dxa"/>
            <w:vAlign w:val="top"/>
          </w:tcPr>
          <w:p w14:paraId="6B5F99CB" w14:textId="77777777" w:rsidR="004334D2" w:rsidRPr="00F64984"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F</m:t>
                    </m:r>
                  </m:e>
                  <m:sub>
                    <m:r>
                      <w:rPr>
                        <w:rFonts w:ascii="Cambria Math" w:hAnsi="Cambria Math"/>
                      </w:rPr>
                      <m:t>LFG,BL,R,y</m:t>
                    </m:r>
                  </m:sub>
                </m:sSub>
              </m:oMath>
            </m:oMathPara>
          </w:p>
        </w:tc>
        <w:tc>
          <w:tcPr>
            <w:tcW w:w="345" w:type="dxa"/>
            <w:vAlign w:val="top"/>
          </w:tcPr>
          <w:p w14:paraId="4D9BF795" w14:textId="77777777" w:rsidR="004334D2" w:rsidRDefault="004334D2" w:rsidP="00081FD4">
            <w:pPr>
              <w:pStyle w:val="SDMTableBoxParaNotNumbered"/>
            </w:pPr>
            <w:r>
              <w:t>=</w:t>
            </w:r>
          </w:p>
        </w:tc>
        <w:tc>
          <w:tcPr>
            <w:tcW w:w="0" w:type="auto"/>
            <w:vAlign w:val="top"/>
          </w:tcPr>
          <w:p w14:paraId="7375EC43" w14:textId="2BC928DA" w:rsidR="004334D2" w:rsidRDefault="004334D2" w:rsidP="00081FD4">
            <w:pPr>
              <w:pStyle w:val="SDMTableBoxParaNotNumbered"/>
            </w:pPr>
            <w:r>
              <w:t xml:space="preserve">Amount of LFG which is flared in the baseline due to a requirement in year </w:t>
            </w:r>
            <w:r w:rsidRPr="00F73774">
              <w:rPr>
                <w:i/>
                <w:iCs/>
              </w:rPr>
              <w:t>y</w:t>
            </w:r>
            <w:r w:rsidRPr="005858E8">
              <w:t xml:space="preserve"> (m</w:t>
            </w:r>
            <w:r w:rsidRPr="005858E8">
              <w:rPr>
                <w:vertAlign w:val="superscript"/>
              </w:rPr>
              <w:t>3</w:t>
            </w:r>
            <w:r w:rsidRPr="005858E8">
              <w:t>/year)</w:t>
            </w:r>
            <w:r>
              <w:t>, which is converted to the amount of methane (tCH</w:t>
            </w:r>
            <w:r w:rsidRPr="00F73774">
              <w:rPr>
                <w:vertAlign w:val="subscript"/>
              </w:rPr>
              <w:t>4</w:t>
            </w:r>
            <w:r>
              <w:t xml:space="preserve">/year) as per paragraph </w:t>
            </w:r>
            <w:r>
              <w:fldChar w:fldCharType="begin"/>
            </w:r>
            <w:r>
              <w:instrText xml:space="preserve"> REF _Ref203472219 \n \p \h  \* MERGEFORMAT </w:instrText>
            </w:r>
            <w:r>
              <w:fldChar w:fldCharType="separate"/>
            </w:r>
            <w:r w:rsidR="00302468">
              <w:rPr>
                <w:cs/>
              </w:rPr>
              <w:t>‎</w:t>
            </w:r>
            <w:r w:rsidR="00302468">
              <w:t>91 below</w:t>
            </w:r>
            <w:r>
              <w:fldChar w:fldCharType="end"/>
            </w:r>
          </w:p>
        </w:tc>
      </w:tr>
      <w:tr w:rsidR="004334D2" w:rsidRPr="000C5FD6" w14:paraId="2156E2F7" w14:textId="77777777" w:rsidTr="007E5A9B">
        <w:tc>
          <w:tcPr>
            <w:tcW w:w="1701" w:type="dxa"/>
            <w:vAlign w:val="top"/>
          </w:tcPr>
          <w:p w14:paraId="2789C2EF" w14:textId="77777777"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ρ</m:t>
                    </m:r>
                  </m:e>
                  <m:sub>
                    <m:r>
                      <w:rPr>
                        <w:rFonts w:ascii="Cambria Math" w:hAnsi="Cambria Math"/>
                      </w:rPr>
                      <m:t>reg,y</m:t>
                    </m:r>
                  </m:sub>
                </m:sSub>
              </m:oMath>
            </m:oMathPara>
          </w:p>
        </w:tc>
        <w:tc>
          <w:tcPr>
            <w:tcW w:w="345" w:type="dxa"/>
            <w:vAlign w:val="top"/>
          </w:tcPr>
          <w:p w14:paraId="6B08111B" w14:textId="77777777" w:rsidR="004334D2" w:rsidRPr="000C5FD6" w:rsidRDefault="004334D2" w:rsidP="00081FD4">
            <w:pPr>
              <w:pStyle w:val="SDMTableBoxParaNotNumbered"/>
            </w:pPr>
            <w:r w:rsidRPr="000C5FD6">
              <w:t>=</w:t>
            </w:r>
          </w:p>
        </w:tc>
        <w:tc>
          <w:tcPr>
            <w:tcW w:w="0" w:type="auto"/>
            <w:vAlign w:val="top"/>
          </w:tcPr>
          <w:p w14:paraId="2F85212F" w14:textId="77777777" w:rsidR="004334D2" w:rsidRPr="000C5FD6" w:rsidRDefault="004334D2" w:rsidP="00081FD4">
            <w:pPr>
              <w:pStyle w:val="SDMTableBoxParaNotNumbered"/>
            </w:pPr>
            <w:r w:rsidRPr="000C5FD6">
              <w:t xml:space="preserve">Fraction of LFG that is required to be </w:t>
            </w:r>
            <w:r>
              <w:t>destroyed</w:t>
            </w:r>
            <w:r w:rsidRPr="000C5FD6">
              <w:t xml:space="preserve"> due to a requirement in year </w:t>
            </w:r>
            <w:r w:rsidRPr="000C5FD6">
              <w:rPr>
                <w:i/>
              </w:rPr>
              <w:t>y</w:t>
            </w:r>
          </w:p>
        </w:tc>
      </w:tr>
      <w:tr w:rsidR="004334D2" w:rsidRPr="000C5FD6" w14:paraId="4C33ABE7" w14:textId="77777777" w:rsidTr="007E5A9B">
        <w:trPr>
          <w:trHeight w:val="42"/>
        </w:trPr>
        <w:tc>
          <w:tcPr>
            <w:tcW w:w="1701" w:type="dxa"/>
            <w:vAlign w:val="top"/>
          </w:tcPr>
          <w:p w14:paraId="1D4DDDDF" w14:textId="29B313BF"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LFG,PJ, capt,y</m:t>
                    </m:r>
                  </m:sub>
                </m:sSub>
              </m:oMath>
            </m:oMathPara>
          </w:p>
        </w:tc>
        <w:tc>
          <w:tcPr>
            <w:tcW w:w="345" w:type="dxa"/>
            <w:vAlign w:val="top"/>
          </w:tcPr>
          <w:p w14:paraId="4F457A12" w14:textId="77777777" w:rsidR="004334D2" w:rsidRPr="000C5FD6" w:rsidRDefault="004334D2" w:rsidP="00081FD4">
            <w:pPr>
              <w:pStyle w:val="SDMTableBoxParaNotNumbered"/>
            </w:pPr>
            <w:r w:rsidRPr="000C5FD6">
              <w:t>=</w:t>
            </w:r>
          </w:p>
        </w:tc>
        <w:tc>
          <w:tcPr>
            <w:tcW w:w="0" w:type="auto"/>
            <w:vAlign w:val="top"/>
          </w:tcPr>
          <w:p w14:paraId="3768D803" w14:textId="764CB545" w:rsidR="004334D2" w:rsidRPr="000C5FD6" w:rsidRDefault="004334D2" w:rsidP="00081FD4">
            <w:pPr>
              <w:pStyle w:val="SDMTableBoxParaNotNumbered"/>
            </w:pPr>
            <w:r w:rsidRPr="000C5FD6">
              <w:t xml:space="preserve">Amount of LFG which is captured in the </w:t>
            </w:r>
            <w:r w:rsidR="00AD5566">
              <w:t>project</w:t>
            </w:r>
            <w:r w:rsidR="00AD5566" w:rsidRPr="000C5FD6">
              <w:t xml:space="preserve"> </w:t>
            </w:r>
            <w:r>
              <w:t>scenario</w:t>
            </w:r>
            <w:r w:rsidRPr="000C5FD6">
              <w:t xml:space="preserve"> in year </w:t>
            </w:r>
            <w:r w:rsidRPr="000C5FD6">
              <w:rPr>
                <w:i/>
              </w:rPr>
              <w:t xml:space="preserve">y </w:t>
            </w:r>
            <w:r w:rsidRPr="005858E8">
              <w:t>(m</w:t>
            </w:r>
            <w:r w:rsidRPr="005858E8">
              <w:rPr>
                <w:vertAlign w:val="superscript"/>
              </w:rPr>
              <w:t>3</w:t>
            </w:r>
            <w:r w:rsidRPr="005858E8">
              <w:t>/year)</w:t>
            </w:r>
            <w:r>
              <w:t xml:space="preserve">, which is converted to the amount of methane </w:t>
            </w:r>
            <w:r w:rsidRPr="000C5FD6">
              <w:t>(tCH</w:t>
            </w:r>
            <w:r w:rsidRPr="000C5FD6">
              <w:rPr>
                <w:vertAlign w:val="subscript"/>
              </w:rPr>
              <w:t>4</w:t>
            </w:r>
            <w:r>
              <w:t>/year</w:t>
            </w:r>
            <w:r w:rsidRPr="000C5FD6">
              <w:t>)</w:t>
            </w:r>
            <w:r>
              <w:t xml:space="preserve"> as per paragraph </w:t>
            </w:r>
            <w:r>
              <w:fldChar w:fldCharType="begin"/>
            </w:r>
            <w:r>
              <w:instrText xml:space="preserve"> REF _Ref203472219 \n \p \h  \* MERGEFORMAT </w:instrText>
            </w:r>
            <w:r>
              <w:fldChar w:fldCharType="separate"/>
            </w:r>
            <w:r w:rsidR="00302468">
              <w:rPr>
                <w:cs/>
              </w:rPr>
              <w:t>‎</w:t>
            </w:r>
            <w:r w:rsidR="00302468">
              <w:t>91 below</w:t>
            </w:r>
            <w:r>
              <w:fldChar w:fldCharType="end"/>
            </w:r>
          </w:p>
        </w:tc>
      </w:tr>
      <w:tr w:rsidR="0070080F" w:rsidRPr="004650CC" w14:paraId="3E39EC05" w14:textId="77777777" w:rsidTr="007E5A9B">
        <w:trPr>
          <w:trHeight w:val="42"/>
        </w:trPr>
        <w:tc>
          <w:tcPr>
            <w:tcW w:w="1701" w:type="dxa"/>
            <w:vAlign w:val="top"/>
          </w:tcPr>
          <w:p w14:paraId="335F67AC" w14:textId="4FA23A9B" w:rsidR="00734FBA" w:rsidRPr="00AD5566"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η</m:t>
                    </m:r>
                  </m:e>
                  <m:sub>
                    <m:r>
                      <w:rPr>
                        <w:rFonts w:ascii="Cambria Math" w:hAnsi="Cambria Math"/>
                      </w:rPr>
                      <m:t>passive,BL</m:t>
                    </m:r>
                  </m:sub>
                </m:sSub>
              </m:oMath>
            </m:oMathPara>
          </w:p>
        </w:tc>
        <w:tc>
          <w:tcPr>
            <w:tcW w:w="345" w:type="dxa"/>
            <w:vAlign w:val="top"/>
          </w:tcPr>
          <w:p w14:paraId="6E190A1F" w14:textId="5A0B8439" w:rsidR="00734FBA" w:rsidRPr="00AD5566" w:rsidRDefault="00734FBA" w:rsidP="00081FD4">
            <w:pPr>
              <w:pStyle w:val="SDMTableBoxParaNotNumbered"/>
            </w:pPr>
            <w:r w:rsidRPr="00AD5566">
              <w:t>=</w:t>
            </w:r>
          </w:p>
        </w:tc>
        <w:tc>
          <w:tcPr>
            <w:tcW w:w="0" w:type="auto"/>
            <w:vAlign w:val="top"/>
          </w:tcPr>
          <w:p w14:paraId="51A642E5" w14:textId="4ABBE646" w:rsidR="00734FBA" w:rsidRPr="00AD5566" w:rsidRDefault="00CF754C" w:rsidP="00081FD4">
            <w:pPr>
              <w:pStyle w:val="SDMTableBoxParaNotNumbered"/>
            </w:pPr>
            <w:r w:rsidRPr="00AD5566">
              <w:t>Conservative d</w:t>
            </w:r>
            <w:r w:rsidR="00734FBA" w:rsidRPr="00AD5566">
              <w:t>efault efficiency for passive LFG capture systems</w:t>
            </w:r>
            <w:r w:rsidRPr="00AD5566">
              <w:t xml:space="preserve"> (%)</w:t>
            </w:r>
            <w:r w:rsidR="00734FBA" w:rsidRPr="00AD5566">
              <w:t>. Apply a value of 20</w:t>
            </w:r>
            <w:r w:rsidRPr="00AD5566">
              <w:t xml:space="preserve"> per cent</w:t>
            </w:r>
          </w:p>
        </w:tc>
      </w:tr>
      <w:tr w:rsidR="0070080F" w:rsidRPr="004650CC" w14:paraId="1A70D870" w14:textId="77777777" w:rsidTr="007E5A9B">
        <w:trPr>
          <w:trHeight w:val="42"/>
        </w:trPr>
        <w:tc>
          <w:tcPr>
            <w:tcW w:w="1701" w:type="dxa"/>
            <w:vAlign w:val="top"/>
          </w:tcPr>
          <w:p w14:paraId="1F1992FB" w14:textId="0CA8B5CD" w:rsidR="00734FBA" w:rsidRPr="00AD5566"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η</m:t>
                    </m:r>
                  </m:e>
                  <m:sub>
                    <m:r>
                      <w:rPr>
                        <w:rFonts w:ascii="Cambria Math" w:hAnsi="Cambria Math"/>
                      </w:rPr>
                      <m:t>flare,BL</m:t>
                    </m:r>
                  </m:sub>
                </m:sSub>
              </m:oMath>
            </m:oMathPara>
          </w:p>
        </w:tc>
        <w:tc>
          <w:tcPr>
            <w:tcW w:w="345" w:type="dxa"/>
            <w:vAlign w:val="top"/>
          </w:tcPr>
          <w:p w14:paraId="332867D9" w14:textId="5BEE288A" w:rsidR="00734FBA" w:rsidRPr="00AD5566" w:rsidRDefault="00734FBA" w:rsidP="00081FD4">
            <w:pPr>
              <w:pStyle w:val="SDMTableBoxParaNotNumbered"/>
            </w:pPr>
            <w:r w:rsidRPr="00AD5566">
              <w:t>=</w:t>
            </w:r>
          </w:p>
        </w:tc>
        <w:tc>
          <w:tcPr>
            <w:tcW w:w="0" w:type="auto"/>
            <w:vAlign w:val="top"/>
          </w:tcPr>
          <w:p w14:paraId="3024C04E" w14:textId="4E2B44F1" w:rsidR="00734FBA" w:rsidRPr="00AD5566" w:rsidRDefault="00CF754C" w:rsidP="00081FD4">
            <w:pPr>
              <w:pStyle w:val="SDMTableBoxParaNotNumbered"/>
            </w:pPr>
            <w:r w:rsidRPr="00AD5566">
              <w:t xml:space="preserve">Conservative default efficiency for baseline flaring (%). Apply a value of </w:t>
            </w:r>
            <w:r w:rsidR="007410BB" w:rsidRPr="00AD5566">
              <w:t>100</w:t>
            </w:r>
            <w:r w:rsidRPr="00AD5566">
              <w:t xml:space="preserve"> per cent</w:t>
            </w:r>
          </w:p>
        </w:tc>
      </w:tr>
      <w:tr w:rsidR="0070080F" w:rsidRPr="000C5FD6" w14:paraId="71B1FC2E" w14:textId="77777777" w:rsidTr="007E5A9B">
        <w:trPr>
          <w:trHeight w:val="42"/>
        </w:trPr>
        <w:tc>
          <w:tcPr>
            <w:tcW w:w="1701" w:type="dxa"/>
            <w:vAlign w:val="top"/>
          </w:tcPr>
          <w:p w14:paraId="67EB1608" w14:textId="30368935" w:rsidR="00734FBA" w:rsidRPr="00AD556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CH4, SWDS,y</m:t>
                    </m:r>
                  </m:sub>
                </m:sSub>
              </m:oMath>
            </m:oMathPara>
          </w:p>
        </w:tc>
        <w:tc>
          <w:tcPr>
            <w:tcW w:w="345" w:type="dxa"/>
            <w:vAlign w:val="top"/>
          </w:tcPr>
          <w:p w14:paraId="40B91828" w14:textId="23F0BD89" w:rsidR="00734FBA" w:rsidRPr="00AD5566" w:rsidRDefault="00734FBA" w:rsidP="00081FD4">
            <w:pPr>
              <w:pStyle w:val="SDMTableBoxParaNotNumbered"/>
            </w:pPr>
            <w:r w:rsidRPr="00AD5566">
              <w:t>=</w:t>
            </w:r>
          </w:p>
        </w:tc>
        <w:tc>
          <w:tcPr>
            <w:tcW w:w="0" w:type="auto"/>
            <w:vAlign w:val="top"/>
          </w:tcPr>
          <w:p w14:paraId="17E09BE9" w14:textId="74CA89AD" w:rsidR="00734FBA" w:rsidRPr="000C5FD6" w:rsidRDefault="00CF754C" w:rsidP="00081FD4">
            <w:pPr>
              <w:pStyle w:val="SDMTableBoxParaNotNumbered"/>
            </w:pPr>
            <w:r w:rsidRPr="00AD5566">
              <w:t xml:space="preserve">Estimated amount of methane generated by the SWDS in year y (tCH4/year), determined as per paragraph </w:t>
            </w:r>
            <w:r w:rsidRPr="00AD5566">
              <w:fldChar w:fldCharType="begin"/>
            </w:r>
            <w:r w:rsidRPr="00AD5566">
              <w:instrText xml:space="preserve"> REF _Ref210744726 \n \p \h </w:instrText>
            </w:r>
            <w:r w:rsidR="00245361" w:rsidRPr="00AD5566">
              <w:instrText xml:space="preserve"> \* MERGEFORMAT </w:instrText>
            </w:r>
            <w:r w:rsidRPr="00AD5566">
              <w:fldChar w:fldCharType="separate"/>
            </w:r>
            <w:r w:rsidR="00302468">
              <w:rPr>
                <w:cs/>
              </w:rPr>
              <w:t>‎</w:t>
            </w:r>
            <w:r w:rsidR="00302468">
              <w:t>96 below</w:t>
            </w:r>
            <w:r w:rsidRPr="00AD5566">
              <w:fldChar w:fldCharType="end"/>
            </w:r>
          </w:p>
        </w:tc>
      </w:tr>
    </w:tbl>
    <w:p w14:paraId="75569B53" w14:textId="35933E67" w:rsidR="004334D2" w:rsidRPr="000C5FD6" w:rsidRDefault="004334D2" w:rsidP="00DA05CE">
      <w:pPr>
        <w:pStyle w:val="SDMPara"/>
        <w:keepNext/>
      </w:pPr>
      <w:bookmarkStart w:id="246" w:name="_Ref203472219"/>
      <w:r>
        <w:rPr>
          <w:iCs/>
        </w:rPr>
        <w:t xml:space="preserve">The following options apply to the approaches from paragraphs </w:t>
      </w:r>
      <w:r>
        <w:rPr>
          <w:iCs/>
        </w:rPr>
        <w:fldChar w:fldCharType="begin"/>
      </w:r>
      <w:r>
        <w:rPr>
          <w:iCs/>
        </w:rPr>
        <w:instrText xml:space="preserve"> REF _Ref207376576 \w \h </w:instrText>
      </w:r>
      <w:r>
        <w:rPr>
          <w:iCs/>
        </w:rPr>
      </w:r>
      <w:r>
        <w:rPr>
          <w:iCs/>
        </w:rPr>
        <w:fldChar w:fldCharType="separate"/>
      </w:r>
      <w:r w:rsidR="00302468">
        <w:rPr>
          <w:iCs/>
          <w:cs/>
        </w:rPr>
        <w:t>‎</w:t>
      </w:r>
      <w:r w:rsidR="00302468">
        <w:rPr>
          <w:iCs/>
        </w:rPr>
        <w:t>90(a)</w:t>
      </w:r>
      <w:r>
        <w:rPr>
          <w:iCs/>
        </w:rPr>
        <w:fldChar w:fldCharType="end"/>
      </w:r>
      <w:r>
        <w:rPr>
          <w:iCs/>
        </w:rPr>
        <w:t xml:space="preserve">, </w:t>
      </w:r>
      <w:r>
        <w:rPr>
          <w:iCs/>
        </w:rPr>
        <w:fldChar w:fldCharType="begin"/>
      </w:r>
      <w:r>
        <w:rPr>
          <w:iCs/>
        </w:rPr>
        <w:instrText xml:space="preserve"> REF _Ref203748009 \w \h </w:instrText>
      </w:r>
      <w:r>
        <w:rPr>
          <w:iCs/>
        </w:rPr>
      </w:r>
      <w:r>
        <w:rPr>
          <w:iCs/>
        </w:rPr>
        <w:fldChar w:fldCharType="separate"/>
      </w:r>
      <w:r w:rsidR="00302468">
        <w:rPr>
          <w:iCs/>
          <w:cs/>
        </w:rPr>
        <w:t>‎</w:t>
      </w:r>
      <w:r w:rsidR="00302468">
        <w:rPr>
          <w:iCs/>
        </w:rPr>
        <w:t>90(b)</w:t>
      </w:r>
      <w:r>
        <w:rPr>
          <w:iCs/>
        </w:rPr>
        <w:fldChar w:fldCharType="end"/>
      </w:r>
      <w:r>
        <w:rPr>
          <w:iCs/>
        </w:rPr>
        <w:t xml:space="preserve"> and </w:t>
      </w:r>
      <w:r w:rsidR="0008258B">
        <w:rPr>
          <w:iCs/>
        </w:rPr>
        <w:fldChar w:fldCharType="begin"/>
      </w:r>
      <w:r w:rsidR="0008258B">
        <w:rPr>
          <w:iCs/>
        </w:rPr>
        <w:instrText xml:space="preserve"> REF _Ref211541211 \w \p \h </w:instrText>
      </w:r>
      <w:r w:rsidR="0008258B">
        <w:rPr>
          <w:iCs/>
        </w:rPr>
      </w:r>
      <w:r w:rsidR="0008258B">
        <w:rPr>
          <w:iCs/>
        </w:rPr>
        <w:fldChar w:fldCharType="separate"/>
      </w:r>
      <w:r w:rsidR="00302468">
        <w:rPr>
          <w:iCs/>
          <w:cs/>
        </w:rPr>
        <w:t>‎</w:t>
      </w:r>
      <w:r w:rsidR="00302468">
        <w:rPr>
          <w:iCs/>
        </w:rPr>
        <w:t>90(d) above</w:t>
      </w:r>
      <w:r w:rsidR="0008258B">
        <w:rPr>
          <w:iCs/>
        </w:rPr>
        <w:fldChar w:fldCharType="end"/>
      </w:r>
      <w:r w:rsidR="00A046DC">
        <w:rPr>
          <w:iCs/>
        </w:rPr>
        <w:t xml:space="preserve"> </w:t>
      </w:r>
      <w:r>
        <w:rPr>
          <w:iCs/>
        </w:rPr>
        <w:t>to</w:t>
      </w:r>
      <w:r w:rsidRPr="000C5FD6">
        <w:t xml:space="preserve"> </w:t>
      </w:r>
      <w:r>
        <w:t>determine</w:t>
      </w:r>
      <w:r w:rsidRPr="000C5FD6">
        <w:t xml:space="preserve"> </w:t>
      </w:r>
      <w:r w:rsidRPr="000C5FD6">
        <w:rPr>
          <w:i/>
        </w:rPr>
        <w:t>F</w:t>
      </w:r>
      <w:r>
        <w:rPr>
          <w:i/>
          <w:vertAlign w:val="subscript"/>
        </w:rPr>
        <w:t>LFG</w:t>
      </w:r>
      <w:r w:rsidRPr="000C5FD6">
        <w:rPr>
          <w:i/>
          <w:vertAlign w:val="subscript"/>
        </w:rPr>
        <w:t>,</w:t>
      </w:r>
      <w:r>
        <w:rPr>
          <w:i/>
          <w:vertAlign w:val="subscript"/>
        </w:rPr>
        <w:t>BL,R</w:t>
      </w:r>
      <w:r w:rsidRPr="000C5FD6">
        <w:rPr>
          <w:i/>
          <w:vertAlign w:val="subscript"/>
        </w:rPr>
        <w:t>,y</w:t>
      </w:r>
      <w:r w:rsidRPr="004B562E">
        <w:rPr>
          <w:iCs/>
        </w:rPr>
        <w:t xml:space="preserve"> </w:t>
      </w:r>
      <w:r>
        <w:rPr>
          <w:iCs/>
        </w:rPr>
        <w:t xml:space="preserve">and </w:t>
      </w:r>
      <w:r w:rsidRPr="000C5FD6">
        <w:rPr>
          <w:i/>
        </w:rPr>
        <w:t>F</w:t>
      </w:r>
      <w:r>
        <w:rPr>
          <w:i/>
          <w:vertAlign w:val="subscript"/>
        </w:rPr>
        <w:t>LFG</w:t>
      </w:r>
      <w:r w:rsidRPr="000C5FD6">
        <w:rPr>
          <w:i/>
          <w:vertAlign w:val="subscript"/>
        </w:rPr>
        <w:t>,</w:t>
      </w:r>
      <w:r w:rsidR="00365253">
        <w:rPr>
          <w:i/>
          <w:vertAlign w:val="subscript"/>
        </w:rPr>
        <w:t>PJ</w:t>
      </w:r>
      <w:r w:rsidRPr="000C5FD6">
        <w:rPr>
          <w:i/>
          <w:vertAlign w:val="subscript"/>
        </w:rPr>
        <w:t>,capt,y</w:t>
      </w:r>
      <w:r w:rsidRPr="000C5FD6">
        <w:t>:</w:t>
      </w:r>
      <w:bookmarkEnd w:id="246"/>
    </w:p>
    <w:p w14:paraId="1691BA43" w14:textId="77777777" w:rsidR="004334D2" w:rsidRPr="000C5FD6" w:rsidRDefault="004334D2" w:rsidP="00DA05CE">
      <w:pPr>
        <w:pStyle w:val="SDMSubPara1"/>
        <w:keepNext/>
        <w:numPr>
          <w:ilvl w:val="1"/>
          <w:numId w:val="5"/>
        </w:numPr>
      </w:pPr>
      <w:r w:rsidRPr="000C5FD6">
        <w:rPr>
          <w:b/>
          <w:iCs/>
        </w:rPr>
        <w:t>Option 1:</w:t>
      </w:r>
      <w:r w:rsidRPr="000C5FD6">
        <w:rPr>
          <w:iCs/>
        </w:rPr>
        <w:t xml:space="preserve"> Calculate </w:t>
      </w:r>
      <w:r>
        <w:rPr>
          <w:iCs/>
        </w:rPr>
        <w:t xml:space="preserve">the parameter </w:t>
      </w:r>
      <w:r w:rsidRPr="000C5FD6">
        <w:t xml:space="preserve">using the </w:t>
      </w:r>
      <w:r>
        <w:rPr>
          <w:lang w:val="en-US"/>
        </w:rPr>
        <w:t>mass flow tool</w:t>
      </w:r>
      <w:r w:rsidRPr="000C5FD6">
        <w:t>, applying the following requirements:</w:t>
      </w:r>
    </w:p>
    <w:p w14:paraId="6FA36099" w14:textId="77777777" w:rsidR="004334D2" w:rsidRPr="000C5FD6" w:rsidRDefault="004334D2" w:rsidP="00247E9F">
      <w:pPr>
        <w:pStyle w:val="SDMSubPara2"/>
        <w:numPr>
          <w:ilvl w:val="2"/>
          <w:numId w:val="5"/>
        </w:numPr>
        <w:rPr>
          <w:iCs/>
        </w:rPr>
      </w:pPr>
      <w:r w:rsidRPr="000C5FD6">
        <w:t xml:space="preserve">The </w:t>
      </w:r>
      <w:r>
        <w:t>mass flow</w:t>
      </w:r>
      <w:r w:rsidRPr="000C5FD6">
        <w:t xml:space="preserve"> </w:t>
      </w:r>
      <w:r>
        <w:t xml:space="preserve">tool shall be applied to </w:t>
      </w:r>
      <w:r w:rsidRPr="000C5FD6">
        <w:t>the LFG pipeline immediately downstream of the LFG capture system and before any split in the gaseous flow to different uses or flares;</w:t>
      </w:r>
    </w:p>
    <w:p w14:paraId="69BDB9A0" w14:textId="77777777" w:rsidR="004334D2" w:rsidRPr="000C5FD6" w:rsidRDefault="004334D2" w:rsidP="00E66E80">
      <w:pPr>
        <w:pStyle w:val="SDMSubPara2"/>
        <w:rPr>
          <w:iCs/>
        </w:rPr>
      </w:pPr>
      <w:r w:rsidRPr="000C5FD6">
        <w:t>CH</w:t>
      </w:r>
      <w:r w:rsidRPr="000C5FD6">
        <w:rPr>
          <w:vertAlign w:val="subscript"/>
        </w:rPr>
        <w:t>4</w:t>
      </w:r>
      <w:r w:rsidRPr="000C5FD6">
        <w:t xml:space="preserve"> is the greenhouse gases for which the mass flow should be determined;</w:t>
      </w:r>
    </w:p>
    <w:p w14:paraId="2E872CA2" w14:textId="649EF7A5" w:rsidR="004334D2" w:rsidRPr="000C5FD6" w:rsidRDefault="004334D2" w:rsidP="00247E9F">
      <w:pPr>
        <w:pStyle w:val="SDMSubPara2"/>
        <w:numPr>
          <w:ilvl w:val="2"/>
          <w:numId w:val="5"/>
        </w:numPr>
      </w:pPr>
      <w:r w:rsidRPr="000C5FD6">
        <w:t>The simplification offered for calculating the molecular mass of the gaseous stream is valid (</w:t>
      </w:r>
      <w:r w:rsidR="00245807">
        <w:t>E</w:t>
      </w:r>
      <w:r w:rsidRPr="000C5FD6">
        <w:t>quations (3) or (17) in the tool); and</w:t>
      </w:r>
    </w:p>
    <w:p w14:paraId="12C7FFD9" w14:textId="77777777" w:rsidR="004334D2" w:rsidRPr="000C5FD6" w:rsidRDefault="004334D2" w:rsidP="00E66E80">
      <w:pPr>
        <w:pStyle w:val="SDMSubPara2"/>
      </w:pPr>
      <w:r w:rsidRPr="000C5FD6">
        <w:t>The mass flow should be calculated on an hourly basis for each hour </w:t>
      </w:r>
      <w:r w:rsidRPr="000C5FD6">
        <w:rPr>
          <w:i/>
        </w:rPr>
        <w:t>h</w:t>
      </w:r>
      <w:r w:rsidRPr="000C5FD6">
        <w:t xml:space="preserve"> in year </w:t>
      </w:r>
      <w:r w:rsidRPr="000C5FD6">
        <w:rPr>
          <w:i/>
        </w:rPr>
        <w:t>y</w:t>
      </w:r>
      <w:r w:rsidRPr="000C5FD6">
        <w:t>.</w:t>
      </w:r>
    </w:p>
    <w:p w14:paraId="1DAED5C4" w14:textId="3137E6B6" w:rsidR="004334D2" w:rsidRPr="00E247F8" w:rsidRDefault="004334D2" w:rsidP="00247E9F">
      <w:pPr>
        <w:pStyle w:val="SDMSubPara1"/>
        <w:numPr>
          <w:ilvl w:val="1"/>
          <w:numId w:val="5"/>
        </w:numPr>
      </w:pPr>
      <w:r w:rsidRPr="000C5FD6">
        <w:rPr>
          <w:b/>
          <w:iCs/>
        </w:rPr>
        <w:t>Option 2:</w:t>
      </w:r>
      <w:r w:rsidRPr="000C5FD6">
        <w:rPr>
          <w:iCs/>
        </w:rPr>
        <w:t xml:space="preserve"> </w:t>
      </w:r>
      <w:r w:rsidRPr="000C5FD6">
        <w:t>Calculate</w:t>
      </w:r>
      <w:r w:rsidRPr="000C5FD6">
        <w:rPr>
          <w:iCs/>
        </w:rPr>
        <w:t xml:space="preserve"> </w:t>
      </w:r>
      <w:r>
        <w:rPr>
          <w:iCs/>
        </w:rPr>
        <w:t xml:space="preserve">the parameter </w:t>
      </w:r>
      <w:r w:rsidRPr="000C5FD6">
        <w:rPr>
          <w:iCs/>
        </w:rPr>
        <w:t>as the sum of the amount of methane that is sent to the flare</w:t>
      </w:r>
      <w:r w:rsidR="00B447B8">
        <w:rPr>
          <w:iCs/>
        </w:rPr>
        <w:t>;</w:t>
      </w:r>
      <w:r w:rsidR="00B447B8" w:rsidRPr="000C5FD6">
        <w:rPr>
          <w:iCs/>
        </w:rPr>
        <w:t xml:space="preserve"> </w:t>
      </w:r>
      <w:r>
        <w:rPr>
          <w:iCs/>
        </w:rPr>
        <w:t xml:space="preserve">used for </w:t>
      </w:r>
      <w:r w:rsidRPr="000C5FD6">
        <w:rPr>
          <w:iCs/>
        </w:rPr>
        <w:t>electricity or heat generat</w:t>
      </w:r>
      <w:r>
        <w:rPr>
          <w:iCs/>
        </w:rPr>
        <w:t>ion</w:t>
      </w:r>
      <w:r w:rsidR="00B447B8">
        <w:rPr>
          <w:iCs/>
        </w:rPr>
        <w:t>;</w:t>
      </w:r>
      <w:r w:rsidRPr="000C5FD6">
        <w:rPr>
          <w:iCs/>
        </w:rPr>
        <w:t xml:space="preserve"> or </w:t>
      </w:r>
      <w:r>
        <w:rPr>
          <w:iCs/>
        </w:rPr>
        <w:t>provided to consumers through dedicated pipeline, natural gas distribution network</w:t>
      </w:r>
      <w:r w:rsidR="00B447B8">
        <w:rPr>
          <w:iCs/>
        </w:rPr>
        <w:t>,</w:t>
      </w:r>
      <w:r>
        <w:rPr>
          <w:iCs/>
        </w:rPr>
        <w:t xml:space="preserve"> or trucks </w:t>
      </w:r>
      <w:r w:rsidRPr="000C5FD6">
        <w:rPr>
          <w:iCs/>
        </w:rPr>
        <w:t>in year </w:t>
      </w:r>
      <w:r w:rsidRPr="000C5FD6">
        <w:rPr>
          <w:i/>
          <w:iCs/>
        </w:rPr>
        <w:t>y</w:t>
      </w:r>
      <w:r w:rsidRPr="00A30693">
        <w:t>,</w:t>
      </w:r>
      <w:r w:rsidRPr="000C5FD6">
        <w:rPr>
          <w:iCs/>
        </w:rPr>
        <w:t xml:space="preserve"> as </w:t>
      </w:r>
      <w:r>
        <w:rPr>
          <w:iCs/>
        </w:rPr>
        <w:t>determined</w:t>
      </w:r>
      <w:r w:rsidRPr="000C5FD6">
        <w:rPr>
          <w:iCs/>
        </w:rPr>
        <w:t xml:space="preserve"> in section </w:t>
      </w:r>
      <w:r>
        <w:rPr>
          <w:iCs/>
        </w:rPr>
        <w:fldChar w:fldCharType="begin"/>
      </w:r>
      <w:r>
        <w:rPr>
          <w:iCs/>
        </w:rPr>
        <w:instrText xml:space="preserve"> REF _Ref203469413 \w \p \h </w:instrText>
      </w:r>
      <w:r>
        <w:rPr>
          <w:iCs/>
        </w:rPr>
      </w:r>
      <w:r>
        <w:rPr>
          <w:iCs/>
        </w:rPr>
        <w:fldChar w:fldCharType="separate"/>
      </w:r>
      <w:r w:rsidR="00302468">
        <w:rPr>
          <w:iCs/>
          <w:cs/>
        </w:rPr>
        <w:t>‎</w:t>
      </w:r>
      <w:r w:rsidR="00302468">
        <w:rPr>
          <w:iCs/>
        </w:rPr>
        <w:t>7.3.2.1.1 above</w:t>
      </w:r>
      <w:r>
        <w:rPr>
          <w:iCs/>
        </w:rPr>
        <w:fldChar w:fldCharType="end"/>
      </w:r>
      <w:r>
        <w:rPr>
          <w:iCs/>
        </w:rPr>
        <w:t>.</w:t>
      </w:r>
    </w:p>
    <w:p w14:paraId="574B80F1" w14:textId="77777777" w:rsidR="004334D2" w:rsidRPr="000C5FD6" w:rsidRDefault="004334D2" w:rsidP="00E66E80">
      <w:pPr>
        <w:pStyle w:val="SDMHead5"/>
      </w:pPr>
      <w:r>
        <w:t xml:space="preserve">Determining </w:t>
      </w:r>
      <w:r>
        <w:rPr>
          <w:i/>
          <w:iCs/>
        </w:rPr>
        <w:t>F</w:t>
      </w:r>
      <w:r>
        <w:rPr>
          <w:i/>
          <w:iCs/>
          <w:vertAlign w:val="subscript"/>
        </w:rPr>
        <w:t>CH4,BL</w:t>
      </w:r>
      <w:r w:rsidRPr="008D5339">
        <w:rPr>
          <w:i/>
          <w:iCs/>
          <w:vertAlign w:val="subscript"/>
        </w:rPr>
        <w:t>,y</w:t>
      </w:r>
      <w:r>
        <w:t xml:space="preserve"> for </w:t>
      </w:r>
      <w:r w:rsidRPr="000C5FD6">
        <w:t xml:space="preserve">Case </w:t>
      </w:r>
      <w:r>
        <w:t>3</w:t>
      </w:r>
    </w:p>
    <w:p w14:paraId="069E74FF" w14:textId="77777777" w:rsidR="004334D2" w:rsidRDefault="004334D2" w:rsidP="00DA05CE">
      <w:pPr>
        <w:pStyle w:val="SDMPara"/>
        <w:keepNext/>
      </w:pPr>
      <w:bookmarkStart w:id="247" w:name="_Ref203471915"/>
      <w:r>
        <w:t xml:space="preserve">In this situation, </w:t>
      </w:r>
      <m:oMath>
        <m:sSub>
          <m:sSubPr>
            <m:ctrlPr>
              <w:rPr>
                <w:rFonts w:ascii="Cambria Math" w:hAnsi="Cambria Math"/>
                <w:i/>
              </w:rPr>
            </m:ctrlPr>
          </m:sSubPr>
          <m:e>
            <m:r>
              <w:rPr>
                <w:rFonts w:ascii="Cambria Math" w:hAnsi="Cambria Math"/>
              </w:rPr>
              <m:t>F</m:t>
            </m:r>
          </m:e>
          <m:sub>
            <m:r>
              <w:rPr>
                <w:rFonts w:ascii="Cambria Math" w:hAnsi="Cambria Math"/>
              </w:rPr>
              <m:t>CH4,BL,y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CH4,BL-case 3,y</m:t>
            </m:r>
          </m:sub>
        </m:sSub>
        <m:r>
          <w:rPr>
            <w:rFonts w:ascii="Cambria Math" w:hAnsi="Cambria Math"/>
          </w:rPr>
          <m:t>,</m:t>
        </m:r>
      </m:oMath>
      <w:r>
        <w:t xml:space="preserve"> and </w:t>
      </w:r>
      <m:oMath>
        <m:sSub>
          <m:sSubPr>
            <m:ctrlPr>
              <w:rPr>
                <w:rFonts w:ascii="Cambria Math" w:hAnsi="Cambria Math"/>
                <w:i/>
              </w:rPr>
            </m:ctrlPr>
          </m:sSubPr>
          <m:e>
            <m:r>
              <w:rPr>
                <w:rFonts w:ascii="Cambria Math" w:hAnsi="Cambria Math"/>
              </w:rPr>
              <m:t>F</m:t>
            </m:r>
          </m:e>
          <m:sub>
            <m:r>
              <w:rPr>
                <w:rFonts w:ascii="Cambria Math" w:hAnsi="Cambria Math"/>
              </w:rPr>
              <m:t>CH4,BL-case 3,y</m:t>
            </m:r>
          </m:sub>
        </m:sSub>
      </m:oMath>
      <w:r>
        <w:t xml:space="preserve"> is determined based on the different scenarios below:</w:t>
      </w:r>
      <w:bookmarkEnd w:id="247"/>
    </w:p>
    <w:p w14:paraId="07FB0D24" w14:textId="77777777" w:rsidR="004334D2" w:rsidRPr="000C5FD6" w:rsidRDefault="004334D2" w:rsidP="00DA05CE">
      <w:pPr>
        <w:pStyle w:val="SDMSubPara1"/>
        <w:keepNext/>
      </w:pPr>
      <w:r>
        <w:t>Scenario A: I</w:t>
      </w:r>
      <w:r w:rsidRPr="000C5FD6">
        <w:t xml:space="preserve">f the amount of methane captured with the existing system can be monitored separately from the amount captured under the project, and the efficiency of the existing system is not impacted by the project system during the crediting period(s), then </w:t>
      </w:r>
      <w:r w:rsidRPr="008528FA">
        <w:rPr>
          <w:bCs/>
          <w:i/>
          <w:iCs/>
        </w:rPr>
        <w:t>F</w:t>
      </w:r>
      <w:r w:rsidRPr="008528FA">
        <w:rPr>
          <w:bCs/>
          <w:i/>
          <w:iCs/>
          <w:vertAlign w:val="subscript"/>
        </w:rPr>
        <w:t>CH4,BL</w:t>
      </w:r>
      <w:r>
        <w:rPr>
          <w:bCs/>
          <w:i/>
          <w:iCs/>
          <w:vertAlign w:val="subscript"/>
        </w:rPr>
        <w:t>-case 3</w:t>
      </w:r>
      <w:r w:rsidRPr="008528FA">
        <w:rPr>
          <w:bCs/>
          <w:i/>
          <w:iCs/>
          <w:vertAlign w:val="subscript"/>
        </w:rPr>
        <w:t>,y</w:t>
      </w:r>
      <w:r w:rsidRPr="000C5FD6">
        <w:t xml:space="preserve"> is determined as follows:</w:t>
      </w:r>
    </w:p>
    <w:tbl>
      <w:tblPr>
        <w:tblStyle w:val="SDMMethTableEquation"/>
        <w:tblW w:w="8760" w:type="dxa"/>
        <w:tblLook w:val="0600" w:firstRow="0" w:lastRow="0" w:firstColumn="0" w:lastColumn="0" w:noHBand="1" w:noVBand="1"/>
      </w:tblPr>
      <w:tblGrid>
        <w:gridCol w:w="7095"/>
        <w:gridCol w:w="1665"/>
      </w:tblGrid>
      <w:tr w:rsidR="004334D2" w:rsidRPr="000C5FD6" w14:paraId="74221787" w14:textId="77777777" w:rsidTr="007E5A9B">
        <w:tc>
          <w:tcPr>
            <w:tcW w:w="7095" w:type="dxa"/>
          </w:tcPr>
          <w:p w14:paraId="4533E1E3" w14:textId="77777777" w:rsidR="004334D2" w:rsidRPr="00D91990"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3, 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CH4,BL-flare,y</m:t>
                    </m:r>
                  </m:sub>
                </m:sSub>
              </m:oMath>
            </m:oMathPara>
          </w:p>
        </w:tc>
        <w:tc>
          <w:tcPr>
            <w:tcW w:w="1665" w:type="dxa"/>
          </w:tcPr>
          <w:p w14:paraId="726DAA10" w14:textId="77777777" w:rsidR="004334D2" w:rsidRPr="000C5FD6" w:rsidRDefault="004334D2" w:rsidP="00247E9F">
            <w:pPr>
              <w:pStyle w:val="SDMMethEquationNr"/>
              <w:numPr>
                <w:ilvl w:val="0"/>
                <w:numId w:val="7"/>
              </w:numPr>
            </w:pPr>
          </w:p>
        </w:tc>
      </w:tr>
    </w:tbl>
    <w:p w14:paraId="5AED8FA6" w14:textId="538936D4" w:rsidR="004334D2" w:rsidRPr="000C5FD6" w:rsidRDefault="004334D2" w:rsidP="00DA05CE">
      <w:pPr>
        <w:pStyle w:val="SDMSubPara1"/>
        <w:keepNext/>
      </w:pPr>
      <w:bookmarkStart w:id="248" w:name="_Ref211091529"/>
      <w:r>
        <w:t>Scenario B: I</w:t>
      </w:r>
      <w:r w:rsidRPr="000C5FD6">
        <w:t>f the amount of methane captured with the existing system can</w:t>
      </w:r>
      <w:r>
        <w:t>not</w:t>
      </w:r>
      <w:r w:rsidRPr="000C5FD6">
        <w:t xml:space="preserve"> be monitored separately from the amount captured under the project, but there is historic data on the amount of methane that was captured </w:t>
      </w:r>
      <w:r>
        <w:t xml:space="preserve">during the three </w:t>
      </w:r>
      <w:r w:rsidRPr="000C5FD6">
        <w:t>year</w:t>
      </w:r>
      <w:r>
        <w:t>s</w:t>
      </w:r>
      <w:r w:rsidRPr="000C5FD6">
        <w:t xml:space="preserve"> prior to the implementation of the </w:t>
      </w:r>
      <w:r w:rsidR="005704AC">
        <w:t>Article 6.4 activity</w:t>
      </w:r>
      <w:r w:rsidRPr="000C5FD6">
        <w:t xml:space="preserve">, then </w:t>
      </w:r>
      <w:r w:rsidRPr="000C5FD6">
        <w:rPr>
          <w:bCs/>
          <w:i/>
          <w:iCs/>
        </w:rPr>
        <w:t>F</w:t>
      </w:r>
      <w:r w:rsidRPr="000C5FD6">
        <w:rPr>
          <w:bCs/>
          <w:i/>
          <w:iCs/>
          <w:vertAlign w:val="subscript"/>
        </w:rPr>
        <w:t>CH4,</w:t>
      </w:r>
      <w:r>
        <w:rPr>
          <w:bCs/>
          <w:i/>
          <w:iCs/>
          <w:vertAlign w:val="subscript"/>
        </w:rPr>
        <w:t>BL-case 3,</w:t>
      </w:r>
      <w:r w:rsidRPr="000C5FD6">
        <w:rPr>
          <w:bCs/>
          <w:i/>
          <w:iCs/>
          <w:vertAlign w:val="subscript"/>
        </w:rPr>
        <w:t>y</w:t>
      </w:r>
      <w:r w:rsidRPr="000C5FD6">
        <w:t xml:space="preserve"> is determined </w:t>
      </w:r>
      <w:r>
        <w:t xml:space="preserve">as the average </w:t>
      </w:r>
      <w:r w:rsidRPr="000C5FD6">
        <w:rPr>
          <w:iCs/>
        </w:rPr>
        <w:t xml:space="preserve">fraction of LFG that was recovered </w:t>
      </w:r>
      <w:r>
        <w:rPr>
          <w:iCs/>
        </w:rPr>
        <w:t xml:space="preserve">in the three </w:t>
      </w:r>
      <w:r w:rsidRPr="000C5FD6">
        <w:rPr>
          <w:iCs/>
        </w:rPr>
        <w:t>year</w:t>
      </w:r>
      <w:r>
        <w:rPr>
          <w:iCs/>
        </w:rPr>
        <w:t>s</w:t>
      </w:r>
      <w:r w:rsidRPr="000C5FD6">
        <w:rPr>
          <w:iCs/>
        </w:rPr>
        <w:t xml:space="preserve"> prior to the implementation of the </w:t>
      </w:r>
      <w:r w:rsidR="005704AC">
        <w:rPr>
          <w:iCs/>
        </w:rPr>
        <w:t>Article 6.4 activity</w:t>
      </w:r>
      <w:r w:rsidRPr="000C5FD6">
        <w:rPr>
          <w:iCs/>
        </w:rPr>
        <w:t xml:space="preserve"> will be the same fraction recovered under the </w:t>
      </w:r>
      <w:r w:rsidR="005704AC">
        <w:rPr>
          <w:iCs/>
        </w:rPr>
        <w:t>Article 6.4 activity</w:t>
      </w:r>
      <w:r>
        <w:rPr>
          <w:iCs/>
        </w:rPr>
        <w:t>. In case data for less than 3 years, but at least for one year, is available, use the average fraction in the available years:</w:t>
      </w:r>
      <w:bookmarkEnd w:id="248"/>
    </w:p>
    <w:tbl>
      <w:tblPr>
        <w:tblStyle w:val="SDMMethTableEquation"/>
        <w:tblW w:w="8760" w:type="dxa"/>
        <w:tblLook w:val="0600" w:firstRow="0" w:lastRow="0" w:firstColumn="0" w:lastColumn="0" w:noHBand="1" w:noVBand="1"/>
      </w:tblPr>
      <w:tblGrid>
        <w:gridCol w:w="7093"/>
        <w:gridCol w:w="1667"/>
      </w:tblGrid>
      <w:tr w:rsidR="004334D2" w:rsidRPr="000C5FD6" w14:paraId="502A3AE1" w14:textId="77777777" w:rsidTr="007E5A9B">
        <w:tc>
          <w:tcPr>
            <w:tcW w:w="7093" w:type="dxa"/>
          </w:tcPr>
          <w:p w14:paraId="66ACCC03" w14:textId="7DA31CF0" w:rsidR="004334D2" w:rsidRPr="000C5FD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3, y</m:t>
                    </m:r>
                  </m:sub>
                </m:sSub>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i</m:t>
                        </m:r>
                      </m:sub>
                      <m:sup/>
                      <m:e>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CH4, BL,i</m:t>
                                </m:r>
                              </m:sub>
                            </m:sSub>
                          </m:num>
                          <m:den>
                            <m:sSub>
                              <m:sSubPr>
                                <m:ctrlPr>
                                  <w:rPr>
                                    <w:rFonts w:ascii="Cambria Math" w:hAnsi="Cambria Math"/>
                                    <w:i/>
                                  </w:rPr>
                                </m:ctrlPr>
                              </m:sSubPr>
                              <m:e>
                                <m:r>
                                  <w:rPr>
                                    <w:rFonts w:ascii="Cambria Math" w:hAnsi="Cambria Math"/>
                                  </w:rPr>
                                  <m:t>F</m:t>
                                </m:r>
                              </m:e>
                              <m:sub>
                                <m:r>
                                  <w:rPr>
                                    <w:rFonts w:ascii="Cambria Math" w:hAnsi="Cambria Math"/>
                                  </w:rPr>
                                  <m:t>CH4, i</m:t>
                                </m:r>
                              </m:sub>
                            </m:sSub>
                          </m:den>
                        </m:f>
                      </m:e>
                    </m:nary>
                  </m:num>
                  <m:den>
                    <m:r>
                      <w:rPr>
                        <w:rFonts w:ascii="Cambria Math" w:hAnsi="Cambria Math"/>
                      </w:rPr>
                      <m:t>i</m:t>
                    </m:r>
                  </m:den>
                </m:f>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 PJ, capt,y</m:t>
                    </m:r>
                  </m:sub>
                </m:sSub>
              </m:oMath>
            </m:oMathPara>
          </w:p>
        </w:tc>
        <w:tc>
          <w:tcPr>
            <w:tcW w:w="1667" w:type="dxa"/>
          </w:tcPr>
          <w:p w14:paraId="0E1B80D6" w14:textId="77777777" w:rsidR="004334D2" w:rsidRPr="000C5FD6" w:rsidRDefault="004334D2" w:rsidP="00247E9F">
            <w:pPr>
              <w:pStyle w:val="SDMMethEquationNr"/>
              <w:numPr>
                <w:ilvl w:val="0"/>
                <w:numId w:val="7"/>
              </w:numPr>
            </w:pPr>
          </w:p>
        </w:tc>
      </w:tr>
    </w:tbl>
    <w:p w14:paraId="7F2198DC"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C5FD6" w14:paraId="4A8982A6" w14:textId="77777777" w:rsidTr="007E5A9B">
        <w:tc>
          <w:tcPr>
            <w:tcW w:w="1701" w:type="dxa"/>
            <w:vAlign w:val="top"/>
          </w:tcPr>
          <w:p w14:paraId="46F228EE" w14:textId="77777777"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3, y</m:t>
                    </m:r>
                  </m:sub>
                </m:sSub>
              </m:oMath>
            </m:oMathPara>
          </w:p>
        </w:tc>
        <w:tc>
          <w:tcPr>
            <w:tcW w:w="345" w:type="dxa"/>
            <w:vAlign w:val="top"/>
          </w:tcPr>
          <w:p w14:paraId="531919C9" w14:textId="77777777" w:rsidR="004334D2" w:rsidRPr="000C5FD6" w:rsidRDefault="004334D2" w:rsidP="00081FD4">
            <w:pPr>
              <w:pStyle w:val="SDMTableBoxParaNotNumbered"/>
            </w:pPr>
            <w:r w:rsidRPr="000C5FD6">
              <w:t>=</w:t>
            </w:r>
          </w:p>
        </w:tc>
        <w:tc>
          <w:tcPr>
            <w:tcW w:w="0" w:type="auto"/>
            <w:vAlign w:val="top"/>
          </w:tcPr>
          <w:p w14:paraId="04FF205F" w14:textId="77777777" w:rsidR="004334D2" w:rsidRPr="000C5FD6" w:rsidRDefault="004334D2" w:rsidP="00081FD4">
            <w:pPr>
              <w:jc w:val="left"/>
              <w:rPr>
                <w:i/>
                <w:iCs/>
                <w:sz w:val="20"/>
              </w:rPr>
            </w:pPr>
            <w:r w:rsidRPr="00617578">
              <w:rPr>
                <w:sz w:val="20"/>
              </w:rPr>
              <w:t xml:space="preserve">Amount of methane in the LFG that would be destroyed in the baseline scenario in year y as per Case </w:t>
            </w:r>
            <w:r>
              <w:rPr>
                <w:sz w:val="20"/>
              </w:rPr>
              <w:t>3</w:t>
            </w:r>
            <w:r w:rsidRPr="00617578">
              <w:rPr>
                <w:sz w:val="20"/>
              </w:rPr>
              <w:t xml:space="preserve"> (tCH</w:t>
            </w:r>
            <w:r w:rsidRPr="00617578">
              <w:rPr>
                <w:sz w:val="20"/>
                <w:vertAlign w:val="subscript"/>
              </w:rPr>
              <w:t>4</w:t>
            </w:r>
            <w:r w:rsidRPr="00617578">
              <w:rPr>
                <w:sz w:val="20"/>
              </w:rPr>
              <w:t>/year)</w:t>
            </w:r>
          </w:p>
        </w:tc>
      </w:tr>
      <w:tr w:rsidR="004334D2" w:rsidRPr="000C5FD6" w14:paraId="6DDBE791" w14:textId="77777777" w:rsidTr="007E5A9B">
        <w:tc>
          <w:tcPr>
            <w:tcW w:w="1701" w:type="dxa"/>
            <w:vAlign w:val="top"/>
          </w:tcPr>
          <w:p w14:paraId="1866059B" w14:textId="77777777"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CH4,BL-flare,y</m:t>
                    </m:r>
                  </m:sub>
                </m:sSub>
              </m:oMath>
            </m:oMathPara>
          </w:p>
        </w:tc>
        <w:tc>
          <w:tcPr>
            <w:tcW w:w="345" w:type="dxa"/>
            <w:vAlign w:val="top"/>
          </w:tcPr>
          <w:p w14:paraId="1CF1C2FC" w14:textId="77777777" w:rsidR="004334D2" w:rsidRPr="000C5FD6" w:rsidRDefault="004334D2" w:rsidP="00081FD4">
            <w:pPr>
              <w:pStyle w:val="SDMTableBoxParaNotNumbered"/>
            </w:pPr>
            <w:r w:rsidRPr="000C5FD6">
              <w:t>=</w:t>
            </w:r>
          </w:p>
        </w:tc>
        <w:tc>
          <w:tcPr>
            <w:tcW w:w="0" w:type="auto"/>
            <w:vAlign w:val="top"/>
          </w:tcPr>
          <w:p w14:paraId="01D1EF74" w14:textId="77777777" w:rsidR="004334D2" w:rsidRPr="000C5FD6" w:rsidRDefault="004334D2" w:rsidP="00081FD4">
            <w:pPr>
              <w:pStyle w:val="SDMTableBoxParaNotNumbered"/>
            </w:pPr>
            <w:r w:rsidRPr="000C5FD6">
              <w:t xml:space="preserve">Amount of methane in the LFG which is </w:t>
            </w:r>
            <w:r>
              <w:t xml:space="preserve">sent to flare(s) under the baseline </w:t>
            </w:r>
            <w:r w:rsidRPr="000C5FD6">
              <w:rPr>
                <w:iCs/>
              </w:rPr>
              <w:t>year </w:t>
            </w:r>
            <w:r w:rsidRPr="000C5FD6">
              <w:rPr>
                <w:i/>
                <w:iCs/>
              </w:rPr>
              <w:t>y</w:t>
            </w:r>
            <w:r w:rsidRPr="000C5FD6">
              <w:t xml:space="preserve"> </w:t>
            </w:r>
            <w:r>
              <w:t xml:space="preserve">and which can be monitored separately </w:t>
            </w:r>
            <w:r w:rsidRPr="000C5FD6">
              <w:t>(tCH</w:t>
            </w:r>
            <w:r w:rsidRPr="000C5FD6">
              <w:rPr>
                <w:vertAlign w:val="subscript"/>
              </w:rPr>
              <w:t>4</w:t>
            </w:r>
            <w:r w:rsidRPr="000C5FD6">
              <w:t>/y</w:t>
            </w:r>
            <w:r>
              <w:t>ea</w:t>
            </w:r>
            <w:r w:rsidRPr="000C5FD6">
              <w:t>r)</w:t>
            </w:r>
          </w:p>
        </w:tc>
      </w:tr>
      <w:tr w:rsidR="004334D2" w:rsidRPr="000C5FD6" w14:paraId="4E2068D9" w14:textId="77777777" w:rsidTr="007E5A9B">
        <w:tc>
          <w:tcPr>
            <w:tcW w:w="1701" w:type="dxa"/>
            <w:vAlign w:val="top"/>
          </w:tcPr>
          <w:p w14:paraId="284F88E3" w14:textId="56637C69" w:rsidR="004334D2" w:rsidRPr="000C5FD6"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F</m:t>
                    </m:r>
                  </m:e>
                  <m:sub>
                    <m:r>
                      <w:rPr>
                        <w:rFonts w:ascii="Cambria Math" w:hAnsi="Cambria Math" w:cs="Arial"/>
                      </w:rPr>
                      <m:t>CH4, BL, i</m:t>
                    </m:r>
                  </m:sub>
                </m:sSub>
              </m:oMath>
            </m:oMathPara>
          </w:p>
        </w:tc>
        <w:tc>
          <w:tcPr>
            <w:tcW w:w="345" w:type="dxa"/>
            <w:vAlign w:val="top"/>
          </w:tcPr>
          <w:p w14:paraId="0E43238A" w14:textId="77777777" w:rsidR="004334D2" w:rsidRPr="000C5FD6" w:rsidRDefault="004334D2" w:rsidP="00081FD4">
            <w:pPr>
              <w:pStyle w:val="SDMTableBoxParaNotNumbered"/>
              <w:rPr>
                <w:rFonts w:cs="Arial"/>
              </w:rPr>
            </w:pPr>
            <w:r w:rsidRPr="000C5FD6">
              <w:rPr>
                <w:rFonts w:cs="Arial"/>
              </w:rPr>
              <w:t>=</w:t>
            </w:r>
          </w:p>
        </w:tc>
        <w:tc>
          <w:tcPr>
            <w:tcW w:w="0" w:type="auto"/>
            <w:vAlign w:val="top"/>
          </w:tcPr>
          <w:p w14:paraId="40B72C04" w14:textId="2500DCCC" w:rsidR="004334D2" w:rsidRPr="00FB7C65" w:rsidRDefault="004334D2" w:rsidP="00081FD4">
            <w:pPr>
              <w:pStyle w:val="SDMTableBoxParaNotNumbered"/>
              <w:rPr>
                <w:rFonts w:cs="Arial"/>
              </w:rPr>
            </w:pPr>
            <w:r w:rsidRPr="00FB7C65">
              <w:rPr>
                <w:rFonts w:cs="Arial"/>
              </w:rPr>
              <w:t xml:space="preserve">Amount of methane in the LFG which is captured and destroyed in the year </w:t>
            </w:r>
            <w:r w:rsidRPr="00270104">
              <w:rPr>
                <w:rFonts w:cs="Arial"/>
                <w:i/>
                <w:iCs/>
              </w:rPr>
              <w:t>i</w:t>
            </w:r>
            <w:r>
              <w:rPr>
                <w:rFonts w:cs="Arial"/>
              </w:rPr>
              <w:t xml:space="preserve"> </w:t>
            </w:r>
            <w:r w:rsidRPr="00FB7C65">
              <w:rPr>
                <w:rFonts w:cs="Arial"/>
              </w:rPr>
              <w:t xml:space="preserve">prior to the implementation of the </w:t>
            </w:r>
            <w:r>
              <w:rPr>
                <w:rFonts w:cs="Arial"/>
              </w:rPr>
              <w:t xml:space="preserve">Article 6.4 </w:t>
            </w:r>
            <w:r w:rsidRPr="00FB7C65">
              <w:rPr>
                <w:rFonts w:cs="Arial"/>
              </w:rPr>
              <w:t>activity (tCH</w:t>
            </w:r>
            <w:r w:rsidRPr="00FB7C65">
              <w:rPr>
                <w:rFonts w:cs="Arial"/>
                <w:vertAlign w:val="subscript"/>
              </w:rPr>
              <w:t>4</w:t>
            </w:r>
            <w:r w:rsidRPr="00FB7C65">
              <w:rPr>
                <w:rFonts w:cs="Arial"/>
              </w:rPr>
              <w:t>/year)</w:t>
            </w:r>
            <w:r>
              <w:rPr>
                <w:rFonts w:cs="Arial"/>
              </w:rPr>
              <w:t xml:space="preserve">, calculated as per paragraph </w:t>
            </w:r>
            <w:r>
              <w:rPr>
                <w:rFonts w:cs="Arial"/>
              </w:rPr>
              <w:fldChar w:fldCharType="begin"/>
            </w:r>
            <w:r>
              <w:rPr>
                <w:rFonts w:cs="Arial"/>
              </w:rPr>
              <w:instrText xml:space="preserve"> REF _Ref205225275 \w \p \h </w:instrText>
            </w:r>
            <w:r w:rsidR="003C2DCC">
              <w:rPr>
                <w:rFonts w:cs="Arial"/>
              </w:rPr>
              <w:instrText xml:space="preserve"> \* MERGEFORMAT </w:instrText>
            </w:r>
            <w:r>
              <w:rPr>
                <w:rFonts w:cs="Arial"/>
              </w:rPr>
            </w:r>
            <w:r>
              <w:rPr>
                <w:rFonts w:cs="Arial"/>
              </w:rPr>
              <w:fldChar w:fldCharType="separate"/>
            </w:r>
            <w:r w:rsidR="00302468">
              <w:rPr>
                <w:rFonts w:cs="Arial"/>
                <w:cs/>
              </w:rPr>
              <w:t>‎</w:t>
            </w:r>
            <w:r w:rsidR="00302468">
              <w:rPr>
                <w:rFonts w:cs="Arial"/>
              </w:rPr>
              <w:t>93(b) below</w:t>
            </w:r>
            <w:r>
              <w:rPr>
                <w:rFonts w:cs="Arial"/>
              </w:rPr>
              <w:fldChar w:fldCharType="end"/>
            </w:r>
          </w:p>
        </w:tc>
      </w:tr>
      <w:tr w:rsidR="004334D2" w:rsidRPr="000C5FD6" w14:paraId="526DFE32" w14:textId="77777777" w:rsidTr="007E5A9B">
        <w:tc>
          <w:tcPr>
            <w:tcW w:w="1701" w:type="dxa"/>
            <w:vAlign w:val="top"/>
          </w:tcPr>
          <w:p w14:paraId="4C632D0A" w14:textId="269843BE" w:rsidR="004334D2" w:rsidRPr="000C5FD6" w:rsidRDefault="00302468" w:rsidP="00081FD4">
            <w:pPr>
              <w:pStyle w:val="SDMTableBoxParaNotNumbered"/>
              <w:keepNext/>
              <w:rPr>
                <w:rFonts w:cs="Arial"/>
              </w:rPr>
            </w:pPr>
            <m:oMathPara>
              <m:oMathParaPr>
                <m:jc m:val="left"/>
              </m:oMathParaPr>
              <m:oMath>
                <m:sSub>
                  <m:sSubPr>
                    <m:ctrlPr>
                      <w:rPr>
                        <w:rFonts w:ascii="Cambria Math" w:hAnsi="Cambria Math" w:cs="Arial"/>
                        <w:i/>
                      </w:rPr>
                    </m:ctrlPr>
                  </m:sSubPr>
                  <m:e>
                    <m:r>
                      <w:rPr>
                        <w:rFonts w:ascii="Cambria Math" w:hAnsi="Cambria Math" w:cs="Arial"/>
                      </w:rPr>
                      <m:t>F</m:t>
                    </m:r>
                  </m:e>
                  <m:sub>
                    <m:r>
                      <w:rPr>
                        <w:rFonts w:ascii="Cambria Math" w:hAnsi="Cambria Math" w:cs="Arial"/>
                      </w:rPr>
                      <m:t>CH4,i</m:t>
                    </m:r>
                  </m:sub>
                </m:sSub>
              </m:oMath>
            </m:oMathPara>
          </w:p>
        </w:tc>
        <w:tc>
          <w:tcPr>
            <w:tcW w:w="345" w:type="dxa"/>
            <w:vAlign w:val="top"/>
          </w:tcPr>
          <w:p w14:paraId="13C3BB2B" w14:textId="77777777" w:rsidR="004334D2" w:rsidRPr="000C5FD6" w:rsidRDefault="004334D2" w:rsidP="00081FD4">
            <w:pPr>
              <w:pStyle w:val="SDMTableBoxParaNotNumbered"/>
              <w:keepNext/>
              <w:rPr>
                <w:rFonts w:cs="Arial"/>
              </w:rPr>
            </w:pPr>
            <w:r w:rsidRPr="000C5FD6">
              <w:rPr>
                <w:rFonts w:cs="Arial"/>
              </w:rPr>
              <w:t>=</w:t>
            </w:r>
          </w:p>
        </w:tc>
        <w:tc>
          <w:tcPr>
            <w:tcW w:w="0" w:type="auto"/>
            <w:vAlign w:val="top"/>
          </w:tcPr>
          <w:p w14:paraId="56F00EA0" w14:textId="3D821303" w:rsidR="004334D2" w:rsidRPr="00FB7C65" w:rsidRDefault="004334D2" w:rsidP="00081FD4">
            <w:pPr>
              <w:pStyle w:val="SDMTableBoxParaNotNumbered"/>
              <w:keepNext/>
              <w:rPr>
                <w:rFonts w:cs="Arial"/>
              </w:rPr>
            </w:pPr>
            <w:r w:rsidRPr="00FB7C65">
              <w:rPr>
                <w:rFonts w:cs="Arial"/>
              </w:rPr>
              <w:t xml:space="preserve">Amount of methane in the LFG generated in the </w:t>
            </w:r>
            <w:r>
              <w:rPr>
                <w:rFonts w:cs="Arial"/>
              </w:rPr>
              <w:t>SWDS</w:t>
            </w:r>
            <w:r w:rsidRPr="00FB7C65">
              <w:rPr>
                <w:rFonts w:cs="Arial"/>
              </w:rPr>
              <w:t xml:space="preserve"> in the year </w:t>
            </w:r>
            <w:r w:rsidRPr="00270104">
              <w:rPr>
                <w:rFonts w:cs="Arial"/>
                <w:i/>
                <w:iCs/>
              </w:rPr>
              <w:t>i</w:t>
            </w:r>
            <w:r w:rsidRPr="00FB7C65">
              <w:rPr>
                <w:rFonts w:cs="Arial"/>
              </w:rPr>
              <w:t xml:space="preserve"> prior to the implementation of the </w:t>
            </w:r>
            <w:r>
              <w:rPr>
                <w:rFonts w:cs="Arial"/>
              </w:rPr>
              <w:t xml:space="preserve">Article 6.4 activity </w:t>
            </w:r>
            <w:r w:rsidRPr="00FB7C65">
              <w:rPr>
                <w:rFonts w:cs="Arial"/>
              </w:rPr>
              <w:t>(tCH</w:t>
            </w:r>
            <w:r w:rsidRPr="00FB7C65">
              <w:rPr>
                <w:rFonts w:cs="Arial"/>
                <w:vertAlign w:val="subscript"/>
              </w:rPr>
              <w:t>4</w:t>
            </w:r>
            <w:r w:rsidRPr="00FB7C65">
              <w:rPr>
                <w:rFonts w:cs="Arial"/>
              </w:rPr>
              <w:t>/year)</w:t>
            </w:r>
            <w:r>
              <w:rPr>
                <w:rFonts w:cs="Arial"/>
              </w:rPr>
              <w:t xml:space="preserve">, calculated as per paragraph </w:t>
            </w:r>
            <w:r>
              <w:rPr>
                <w:rFonts w:cs="Arial"/>
              </w:rPr>
              <w:fldChar w:fldCharType="begin"/>
            </w:r>
            <w:r>
              <w:rPr>
                <w:rFonts w:cs="Arial"/>
              </w:rPr>
              <w:instrText xml:space="preserve"> REF _Ref205225275 \w \p \h </w:instrText>
            </w:r>
            <w:r w:rsidR="003C2DCC">
              <w:rPr>
                <w:rFonts w:cs="Arial"/>
              </w:rPr>
              <w:instrText xml:space="preserve"> \* MERGEFORMAT </w:instrText>
            </w:r>
            <w:r>
              <w:rPr>
                <w:rFonts w:cs="Arial"/>
              </w:rPr>
            </w:r>
            <w:r>
              <w:rPr>
                <w:rFonts w:cs="Arial"/>
              </w:rPr>
              <w:fldChar w:fldCharType="separate"/>
            </w:r>
            <w:r w:rsidR="00302468">
              <w:rPr>
                <w:rFonts w:cs="Arial"/>
                <w:cs/>
              </w:rPr>
              <w:t>‎</w:t>
            </w:r>
            <w:r w:rsidR="00302468">
              <w:rPr>
                <w:rFonts w:cs="Arial"/>
              </w:rPr>
              <w:t>93(b) below</w:t>
            </w:r>
            <w:r>
              <w:rPr>
                <w:rFonts w:cs="Arial"/>
              </w:rPr>
              <w:fldChar w:fldCharType="end"/>
            </w:r>
          </w:p>
        </w:tc>
      </w:tr>
      <w:tr w:rsidR="004334D2" w:rsidRPr="000C5FD6" w14:paraId="0535D7FC" w14:textId="77777777" w:rsidTr="007E5A9B">
        <w:tc>
          <w:tcPr>
            <w:tcW w:w="1701" w:type="dxa"/>
            <w:vAlign w:val="top"/>
          </w:tcPr>
          <w:p w14:paraId="60BD977C" w14:textId="7FB78A90" w:rsidR="004334D2" w:rsidRPr="000C5FD6" w:rsidRDefault="00302468" w:rsidP="00081FD4">
            <w:pPr>
              <w:jc w:val="left"/>
              <w:rPr>
                <w:rFonts w:cs="Arial"/>
                <w:sz w:val="20"/>
              </w:rPr>
            </w:pPr>
            <m:oMathPara>
              <m:oMathParaPr>
                <m:jc m:val="left"/>
              </m:oMathParaPr>
              <m:oMath>
                <m:sSub>
                  <m:sSubPr>
                    <m:ctrlPr>
                      <w:rPr>
                        <w:rFonts w:ascii="Cambria Math" w:hAnsi="Cambria Math"/>
                        <w:i/>
                        <w:sz w:val="20"/>
                      </w:rPr>
                    </m:ctrlPr>
                  </m:sSubPr>
                  <m:e>
                    <m:r>
                      <w:rPr>
                        <w:rFonts w:ascii="Cambria Math" w:hAnsi="Cambria Math"/>
                        <w:sz w:val="20"/>
                      </w:rPr>
                      <m:t>F</m:t>
                    </m:r>
                  </m:e>
                  <m:sub>
                    <m:r>
                      <w:rPr>
                        <w:rFonts w:ascii="Cambria Math" w:hAnsi="Cambria Math"/>
                        <w:sz w:val="20"/>
                      </w:rPr>
                      <m:t>CH4,PJ, capty</m:t>
                    </m:r>
                  </m:sub>
                </m:sSub>
              </m:oMath>
            </m:oMathPara>
          </w:p>
        </w:tc>
        <w:tc>
          <w:tcPr>
            <w:tcW w:w="345" w:type="dxa"/>
            <w:vAlign w:val="top"/>
          </w:tcPr>
          <w:p w14:paraId="64694949" w14:textId="77777777" w:rsidR="004334D2" w:rsidRPr="000C5FD6" w:rsidRDefault="004334D2" w:rsidP="00081FD4">
            <w:pPr>
              <w:pStyle w:val="SDMTableBoxParaNotNumbered"/>
              <w:rPr>
                <w:rFonts w:cs="Arial"/>
              </w:rPr>
            </w:pPr>
            <w:r w:rsidRPr="000C5FD6">
              <w:rPr>
                <w:rFonts w:cs="Arial"/>
              </w:rPr>
              <w:t>=</w:t>
            </w:r>
          </w:p>
        </w:tc>
        <w:tc>
          <w:tcPr>
            <w:tcW w:w="0" w:type="auto"/>
            <w:vAlign w:val="top"/>
          </w:tcPr>
          <w:p w14:paraId="362D5C2C" w14:textId="54251C67" w:rsidR="004334D2" w:rsidRPr="00FB7C65" w:rsidRDefault="00001889" w:rsidP="00081FD4">
            <w:pPr>
              <w:pStyle w:val="SDMTableBoxParaNotNumbered"/>
              <w:rPr>
                <w:rFonts w:cs="Arial"/>
              </w:rPr>
            </w:pPr>
            <w:r w:rsidRPr="000C5FD6">
              <w:t xml:space="preserve">Amount of methane in the LFG which is </w:t>
            </w:r>
            <w:r>
              <w:t xml:space="preserve">collected and sent to </w:t>
            </w:r>
            <w:r w:rsidRPr="000C5FD6">
              <w:t>flare</w:t>
            </w:r>
            <w:r>
              <w:t>s</w:t>
            </w:r>
            <w:r w:rsidRPr="000C5FD6">
              <w:t xml:space="preserve"> and/or use </w:t>
            </w:r>
            <w:r>
              <w:t>under</w:t>
            </w:r>
            <w:r w:rsidRPr="000C5FD6">
              <w:t xml:space="preserve"> the </w:t>
            </w:r>
            <w:r>
              <w:t xml:space="preserve">project scenario </w:t>
            </w:r>
            <w:r w:rsidRPr="000C5FD6">
              <w:t>in year </w:t>
            </w:r>
            <w:r w:rsidRPr="000C5FD6">
              <w:rPr>
                <w:i/>
              </w:rPr>
              <w:t xml:space="preserve">y </w:t>
            </w:r>
            <w:r w:rsidR="004334D2" w:rsidRPr="000C5FD6">
              <w:t>(</w:t>
            </w:r>
            <w:r w:rsidR="004334D2" w:rsidRPr="00FB7C65">
              <w:rPr>
                <w:rFonts w:cs="Arial"/>
              </w:rPr>
              <w:t>tCH</w:t>
            </w:r>
            <w:r w:rsidR="004334D2" w:rsidRPr="00FB7C65">
              <w:rPr>
                <w:rFonts w:cs="Arial"/>
                <w:vertAlign w:val="subscript"/>
              </w:rPr>
              <w:t>4</w:t>
            </w:r>
            <w:r w:rsidR="004334D2" w:rsidRPr="00FB7C65">
              <w:rPr>
                <w:rFonts w:cs="Arial"/>
              </w:rPr>
              <w:t>/year)</w:t>
            </w:r>
          </w:p>
        </w:tc>
      </w:tr>
      <w:tr w:rsidR="004334D2" w:rsidRPr="000C5FD6" w14:paraId="746F8E0C" w14:textId="77777777" w:rsidTr="007E5A9B">
        <w:tc>
          <w:tcPr>
            <w:tcW w:w="1701" w:type="dxa"/>
            <w:vAlign w:val="top"/>
          </w:tcPr>
          <w:p w14:paraId="7DAB8368" w14:textId="77777777" w:rsidR="004334D2" w:rsidRPr="00913C01" w:rsidRDefault="004334D2" w:rsidP="00081FD4">
            <w:pPr>
              <w:jc w:val="left"/>
              <w:rPr>
                <w:sz w:val="20"/>
              </w:rPr>
            </w:pPr>
            <m:oMathPara>
              <m:oMathParaPr>
                <m:jc m:val="left"/>
              </m:oMathParaPr>
              <m:oMath>
                <m:r>
                  <w:rPr>
                    <w:rFonts w:ascii="Cambria Math" w:hAnsi="Cambria Math"/>
                    <w:sz w:val="20"/>
                  </w:rPr>
                  <m:t>i</m:t>
                </m:r>
              </m:oMath>
            </m:oMathPara>
          </w:p>
        </w:tc>
        <w:tc>
          <w:tcPr>
            <w:tcW w:w="345" w:type="dxa"/>
            <w:vAlign w:val="top"/>
          </w:tcPr>
          <w:p w14:paraId="37DD3B12" w14:textId="77777777" w:rsidR="004334D2" w:rsidRPr="000C5FD6" w:rsidRDefault="004334D2" w:rsidP="00081FD4">
            <w:pPr>
              <w:pStyle w:val="SDMTableBoxParaNotNumbered"/>
              <w:rPr>
                <w:rFonts w:cs="Arial"/>
              </w:rPr>
            </w:pPr>
            <w:r>
              <w:rPr>
                <w:rFonts w:cs="Arial"/>
              </w:rPr>
              <w:t>=</w:t>
            </w:r>
          </w:p>
        </w:tc>
        <w:tc>
          <w:tcPr>
            <w:tcW w:w="0" w:type="auto"/>
            <w:vAlign w:val="top"/>
          </w:tcPr>
          <w:p w14:paraId="3D2FF8FB" w14:textId="608C468C" w:rsidR="004334D2" w:rsidRPr="00FB7C65" w:rsidRDefault="004334D2" w:rsidP="00081FD4">
            <w:pPr>
              <w:pStyle w:val="SDMTableBoxParaNotNumbered"/>
              <w:rPr>
                <w:rFonts w:cs="Arial"/>
              </w:rPr>
            </w:pPr>
            <w:r>
              <w:rPr>
                <w:rFonts w:cs="Arial"/>
              </w:rPr>
              <w:t>Year prior to the implementation of the Article 6.4 activity (i = 1, 2, 3</w:t>
            </w:r>
            <w:r w:rsidR="00891CAE">
              <w:rPr>
                <w:rFonts w:cs="Arial"/>
              </w:rPr>
              <w:t>, as applicable</w:t>
            </w:r>
            <w:r>
              <w:rPr>
                <w:rFonts w:cs="Arial"/>
              </w:rPr>
              <w:t>)</w:t>
            </w:r>
          </w:p>
        </w:tc>
      </w:tr>
    </w:tbl>
    <w:p w14:paraId="76A94C88" w14:textId="6A2CCF58" w:rsidR="004334D2" w:rsidRPr="00871EC6" w:rsidRDefault="004334D2" w:rsidP="00DA05CE">
      <w:pPr>
        <w:pStyle w:val="SDMPara"/>
        <w:keepNext/>
      </w:pPr>
      <w:bookmarkStart w:id="249" w:name="_Ref203472267"/>
      <w:r>
        <w:rPr>
          <w:iCs/>
        </w:rPr>
        <w:t xml:space="preserve">The following applies to the scenarios from paragraph </w:t>
      </w:r>
      <w:r>
        <w:rPr>
          <w:iCs/>
        </w:rPr>
        <w:fldChar w:fldCharType="begin"/>
      </w:r>
      <w:r>
        <w:rPr>
          <w:iCs/>
        </w:rPr>
        <w:instrText xml:space="preserve"> REF _Ref203471915 \w \p \h </w:instrText>
      </w:r>
      <w:r>
        <w:rPr>
          <w:iCs/>
        </w:rPr>
      </w:r>
      <w:r>
        <w:rPr>
          <w:iCs/>
        </w:rPr>
        <w:fldChar w:fldCharType="separate"/>
      </w:r>
      <w:r w:rsidR="00302468">
        <w:rPr>
          <w:iCs/>
          <w:cs/>
        </w:rPr>
        <w:t>‎</w:t>
      </w:r>
      <w:r w:rsidR="00302468">
        <w:rPr>
          <w:iCs/>
        </w:rPr>
        <w:t>92 above</w:t>
      </w:r>
      <w:r>
        <w:rPr>
          <w:iCs/>
        </w:rPr>
        <w:fldChar w:fldCharType="end"/>
      </w:r>
      <w:r>
        <w:rPr>
          <w:iCs/>
        </w:rPr>
        <w:t>:</w:t>
      </w:r>
      <w:bookmarkEnd w:id="249"/>
    </w:p>
    <w:p w14:paraId="57E9E614" w14:textId="3A30CD07" w:rsidR="004334D2" w:rsidRPr="000C5FD6" w:rsidRDefault="004334D2" w:rsidP="00E66E80">
      <w:pPr>
        <w:pStyle w:val="SDMSubPara1"/>
      </w:pPr>
      <w:r w:rsidRPr="000C5FD6">
        <w:rPr>
          <w:i/>
        </w:rPr>
        <w:t>F</w:t>
      </w:r>
      <w:r w:rsidRPr="000C5FD6">
        <w:rPr>
          <w:i/>
          <w:vertAlign w:val="subscript"/>
        </w:rPr>
        <w:t>CH4,</w:t>
      </w:r>
      <w:r>
        <w:rPr>
          <w:i/>
          <w:vertAlign w:val="subscript"/>
        </w:rPr>
        <w:t>BL-</w:t>
      </w:r>
      <w:r w:rsidRPr="000C5FD6">
        <w:rPr>
          <w:i/>
          <w:vertAlign w:val="subscript"/>
        </w:rPr>
        <w:t xml:space="preserve">flare,y </w:t>
      </w:r>
      <w:r>
        <w:t>shall be</w:t>
      </w:r>
      <w:r w:rsidRPr="000C5FD6">
        <w:t xml:space="preserve"> determined using </w:t>
      </w:r>
      <w:r w:rsidR="00891CAE">
        <w:t xml:space="preserve">the </w:t>
      </w:r>
      <w:r>
        <w:rPr>
          <w:lang w:val="en-US"/>
        </w:rPr>
        <w:t>mass flow tool</w:t>
      </w:r>
      <w:r w:rsidRPr="000C5FD6">
        <w:t xml:space="preserve"> and applying the requirements described in </w:t>
      </w:r>
      <w:r w:rsidR="004C5126">
        <w:t xml:space="preserve">paragraphs </w:t>
      </w:r>
      <w:r w:rsidR="004C5126">
        <w:fldChar w:fldCharType="begin"/>
      </w:r>
      <w:r w:rsidR="004C5126">
        <w:instrText xml:space="preserve"> REF _Ref211523014 \r \h </w:instrText>
      </w:r>
      <w:r w:rsidR="004C5126">
        <w:fldChar w:fldCharType="separate"/>
      </w:r>
      <w:r w:rsidR="00302468">
        <w:rPr>
          <w:cs/>
        </w:rPr>
        <w:t>‎</w:t>
      </w:r>
      <w:r w:rsidR="00302468">
        <w:t>83</w:t>
      </w:r>
      <w:r w:rsidR="004C5126">
        <w:fldChar w:fldCharType="end"/>
      </w:r>
      <w:r w:rsidR="004C5126">
        <w:t xml:space="preserve"> and </w:t>
      </w:r>
      <w:r w:rsidR="004C5126">
        <w:fldChar w:fldCharType="begin"/>
      </w:r>
      <w:r w:rsidR="004C5126">
        <w:instrText xml:space="preserve"> REF _Ref211523023 \r \p \h </w:instrText>
      </w:r>
      <w:r w:rsidR="004C5126">
        <w:fldChar w:fldCharType="separate"/>
      </w:r>
      <w:r w:rsidR="00302468">
        <w:rPr>
          <w:cs/>
        </w:rPr>
        <w:t>‎</w:t>
      </w:r>
      <w:r w:rsidR="00302468">
        <w:t>84 above</w:t>
      </w:r>
      <w:r w:rsidR="004C5126">
        <w:fldChar w:fldCharType="end"/>
      </w:r>
      <w:r w:rsidRPr="000C5FD6">
        <w:t>, where the gaseous stream the tool shall be applied to is the pipeline collecting LFG from the existing LFG capture system</w:t>
      </w:r>
      <w:r w:rsidR="003C2DCC">
        <w:t>;</w:t>
      </w:r>
    </w:p>
    <w:p w14:paraId="432C8407" w14:textId="6F7B13E8" w:rsidR="004334D2" w:rsidRDefault="004334D2" w:rsidP="00E66E80">
      <w:pPr>
        <w:pStyle w:val="SDMSubPara1"/>
      </w:pPr>
      <w:bookmarkStart w:id="250" w:name="_Ref205225275"/>
      <w:r w:rsidRPr="000C5FD6">
        <w:rPr>
          <w:i/>
        </w:rPr>
        <w:t>F</w:t>
      </w:r>
      <w:r w:rsidRPr="000C5FD6">
        <w:rPr>
          <w:i/>
          <w:vertAlign w:val="subscript"/>
        </w:rPr>
        <w:t>CH4,</w:t>
      </w:r>
      <w:r w:rsidR="00891CAE" w:rsidDel="00891CAE">
        <w:rPr>
          <w:i/>
          <w:vertAlign w:val="subscript"/>
        </w:rPr>
        <w:t xml:space="preserve"> </w:t>
      </w:r>
      <w:r>
        <w:rPr>
          <w:i/>
          <w:vertAlign w:val="subscript"/>
        </w:rPr>
        <w:t>i</w:t>
      </w:r>
      <w:r w:rsidRPr="000C5FD6">
        <w:t xml:space="preserve"> shall be estimated using the </w:t>
      </w:r>
      <w:r>
        <w:t>solid waste tool.</w:t>
      </w:r>
      <w:r w:rsidRPr="000C5FD6">
        <w:t xml:space="preserve"> The guidance and requirements described in section </w:t>
      </w:r>
      <w:r w:rsidR="00A34E71">
        <w:fldChar w:fldCharType="begin"/>
      </w:r>
      <w:r w:rsidR="00A34E71">
        <w:instrText xml:space="preserve"> REF _Ref207799838 \w \p \h </w:instrText>
      </w:r>
      <w:r w:rsidR="00A34E71">
        <w:fldChar w:fldCharType="separate"/>
      </w:r>
      <w:r w:rsidR="00302468">
        <w:rPr>
          <w:cs/>
        </w:rPr>
        <w:t>‎</w:t>
      </w:r>
      <w:r w:rsidR="00302468">
        <w:t>7.3.2.1.8 below</w:t>
      </w:r>
      <w:r w:rsidR="00A34E71">
        <w:fldChar w:fldCharType="end"/>
      </w:r>
      <w:r w:rsidR="00CF754C" w:rsidRPr="000C5FD6">
        <w:t xml:space="preserve"> </w:t>
      </w:r>
      <w:r w:rsidRPr="000C5FD6">
        <w:t>shall be followed. The year </w:t>
      </w:r>
      <w:r w:rsidRPr="000C5FD6">
        <w:rPr>
          <w:i/>
        </w:rPr>
        <w:t>y</w:t>
      </w:r>
      <w:r w:rsidRPr="000C5FD6">
        <w:t xml:space="preserve"> in the tool is equivalent to the year prior to the implementation of the project.</w:t>
      </w:r>
      <w:bookmarkEnd w:id="250"/>
    </w:p>
    <w:p w14:paraId="162119DF" w14:textId="77777777" w:rsidR="004334D2" w:rsidRPr="000C5FD6" w:rsidRDefault="004334D2" w:rsidP="00E66E80">
      <w:pPr>
        <w:pStyle w:val="SDMHead5"/>
      </w:pPr>
      <w:r>
        <w:t xml:space="preserve">Determining </w:t>
      </w:r>
      <w:r w:rsidRPr="00336951">
        <w:rPr>
          <w:i/>
          <w:iCs/>
        </w:rPr>
        <w:t>F</w:t>
      </w:r>
      <w:r w:rsidRPr="00336951">
        <w:rPr>
          <w:i/>
          <w:iCs/>
          <w:vertAlign w:val="subscript"/>
        </w:rPr>
        <w:t>CH4,B</w:t>
      </w:r>
      <w:r>
        <w:rPr>
          <w:i/>
          <w:iCs/>
          <w:vertAlign w:val="subscript"/>
        </w:rPr>
        <w:t>L</w:t>
      </w:r>
      <w:r w:rsidRPr="008D5339">
        <w:rPr>
          <w:i/>
          <w:iCs/>
          <w:vertAlign w:val="subscript"/>
        </w:rPr>
        <w:t>,y</w:t>
      </w:r>
      <w:r>
        <w:t xml:space="preserve"> for </w:t>
      </w:r>
      <w:r w:rsidRPr="000C5FD6">
        <w:t xml:space="preserve">Case </w:t>
      </w:r>
      <w:r>
        <w:t>4</w:t>
      </w:r>
    </w:p>
    <w:p w14:paraId="0EEA4566" w14:textId="24509C57" w:rsidR="004334D2" w:rsidRDefault="004334D2" w:rsidP="00DA05CE">
      <w:pPr>
        <w:pStyle w:val="SDMPara"/>
        <w:keepNext/>
      </w:pPr>
      <w:r w:rsidRPr="008D3C68">
        <w:rPr>
          <w:iCs/>
        </w:rPr>
        <w:t>In this situation,</w:t>
      </w:r>
      <w:r>
        <w:rPr>
          <w:i/>
        </w:rPr>
        <w:t xml:space="preserve"> </w:t>
      </w:r>
      <m:oMath>
        <m:sSub>
          <m:sSubPr>
            <m:ctrlPr>
              <w:rPr>
                <w:rFonts w:ascii="Cambria Math" w:hAnsi="Cambria Math"/>
                <w:i/>
              </w:rPr>
            </m:ctrlPr>
          </m:sSubPr>
          <m:e>
            <m:r>
              <w:rPr>
                <w:rFonts w:ascii="Cambria Math" w:hAnsi="Cambria Math"/>
              </w:rPr>
              <m:t>F</m:t>
            </m:r>
          </m:e>
          <m:sub>
            <m:r>
              <w:rPr>
                <w:rFonts w:ascii="Cambria Math" w:hAnsi="Cambria Math"/>
              </w:rPr>
              <m:t>CH4,BL,y</m:t>
            </m:r>
          </m:sub>
        </m:sSub>
      </m:oMath>
      <w:r w:rsidRPr="008D3C68">
        <w:rPr>
          <w:iCs/>
        </w:rPr>
        <w:t xml:space="preserve"> </w:t>
      </w:r>
      <w:r w:rsidRPr="000C5FD6">
        <w:t xml:space="preserve">shall be determined </w:t>
      </w:r>
      <w:r>
        <w:t xml:space="preserve">as the higher </w:t>
      </w:r>
      <w:r w:rsidR="00891CAE">
        <w:t xml:space="preserve">value for </w:t>
      </w:r>
      <w:r w:rsidRPr="00CE7FFA">
        <w:rPr>
          <w:i/>
        </w:rPr>
        <w:t>F</w:t>
      </w:r>
      <w:r w:rsidRPr="00CE7FFA">
        <w:rPr>
          <w:i/>
          <w:vertAlign w:val="subscript"/>
        </w:rPr>
        <w:t>CH4,B</w:t>
      </w:r>
      <w:r>
        <w:rPr>
          <w:i/>
          <w:vertAlign w:val="subscript"/>
        </w:rPr>
        <w:t>L</w:t>
      </w:r>
      <w:r w:rsidRPr="00CE7FFA">
        <w:rPr>
          <w:i/>
          <w:vertAlign w:val="subscript"/>
        </w:rPr>
        <w:t>,y</w:t>
      </w:r>
      <w:r w:rsidRPr="000C5FD6">
        <w:t xml:space="preserve"> </w:t>
      </w:r>
      <w:r w:rsidR="00891CAE">
        <w:t xml:space="preserve">that is </w:t>
      </w:r>
      <w:r>
        <w:t>determined for Case 2 and Case 3 above:</w:t>
      </w:r>
    </w:p>
    <w:tbl>
      <w:tblPr>
        <w:tblStyle w:val="SDMMethTableEquation"/>
        <w:tblW w:w="8760" w:type="dxa"/>
        <w:tblLook w:val="0600" w:firstRow="0" w:lastRow="0" w:firstColumn="0" w:lastColumn="0" w:noHBand="1" w:noVBand="1"/>
      </w:tblPr>
      <w:tblGrid>
        <w:gridCol w:w="7092"/>
        <w:gridCol w:w="1668"/>
      </w:tblGrid>
      <w:tr w:rsidR="004334D2" w:rsidRPr="000C5FD6" w14:paraId="793FC580" w14:textId="77777777" w:rsidTr="007E5A9B">
        <w:tc>
          <w:tcPr>
            <w:tcW w:w="7092" w:type="dxa"/>
          </w:tcPr>
          <w:p w14:paraId="4C75152C" w14:textId="77777777" w:rsidR="004334D2" w:rsidRPr="000C5FD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4, y</m:t>
                    </m:r>
                  </m:sub>
                </m:sSub>
                <m:r>
                  <w:rPr>
                    <w:rFonts w:ascii="Cambria Math" w:hAnsi="Cambria Math"/>
                  </w:rPr>
                  <m:t>=max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CH4,BL-case 2, 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CH4,BL-case 3, y</m:t>
                        </m:r>
                      </m:sub>
                    </m:sSub>
                  </m:e>
                </m:d>
              </m:oMath>
            </m:oMathPara>
          </w:p>
        </w:tc>
        <w:tc>
          <w:tcPr>
            <w:tcW w:w="1668" w:type="dxa"/>
          </w:tcPr>
          <w:p w14:paraId="42BA1EE3" w14:textId="77777777" w:rsidR="004334D2" w:rsidRPr="000C5FD6" w:rsidRDefault="004334D2" w:rsidP="00247E9F">
            <w:pPr>
              <w:pStyle w:val="SDMMethEquationNr"/>
              <w:numPr>
                <w:ilvl w:val="0"/>
                <w:numId w:val="7"/>
              </w:numPr>
            </w:pPr>
          </w:p>
        </w:tc>
      </w:tr>
    </w:tbl>
    <w:p w14:paraId="1E88B3F1"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C5FD6" w14:paraId="399487DE" w14:textId="77777777" w:rsidTr="007E5A9B">
        <w:tc>
          <w:tcPr>
            <w:tcW w:w="1701" w:type="dxa"/>
            <w:vAlign w:val="top"/>
          </w:tcPr>
          <w:p w14:paraId="7D6BE283" w14:textId="77777777"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4, y</m:t>
                    </m:r>
                  </m:sub>
                </m:sSub>
              </m:oMath>
            </m:oMathPara>
          </w:p>
        </w:tc>
        <w:tc>
          <w:tcPr>
            <w:tcW w:w="345" w:type="dxa"/>
            <w:vAlign w:val="top"/>
          </w:tcPr>
          <w:p w14:paraId="2EDDC41C" w14:textId="77777777" w:rsidR="004334D2" w:rsidRPr="000C5FD6" w:rsidRDefault="004334D2" w:rsidP="00081FD4">
            <w:pPr>
              <w:pStyle w:val="SDMTableBoxParaNotNumbered"/>
            </w:pPr>
            <w:r w:rsidRPr="000C5FD6">
              <w:t>=</w:t>
            </w:r>
          </w:p>
        </w:tc>
        <w:tc>
          <w:tcPr>
            <w:tcW w:w="0" w:type="auto"/>
            <w:vAlign w:val="top"/>
          </w:tcPr>
          <w:p w14:paraId="0CB93E37" w14:textId="3C8F6B11" w:rsidR="004334D2" w:rsidRPr="000C5FD6" w:rsidRDefault="004334D2" w:rsidP="00081FD4">
            <w:pPr>
              <w:jc w:val="left"/>
              <w:rPr>
                <w:i/>
                <w:iCs/>
                <w:sz w:val="20"/>
              </w:rPr>
            </w:pPr>
            <w:r w:rsidRPr="00617578">
              <w:rPr>
                <w:sz w:val="20"/>
              </w:rPr>
              <w:t>Amount of methane in the LFG that would be destroyed in the baseline scenario in year</w:t>
            </w:r>
            <w:r w:rsidR="003C2DCC">
              <w:rPr>
                <w:sz w:val="20"/>
              </w:rPr>
              <w:t> </w:t>
            </w:r>
            <w:r w:rsidRPr="00617578">
              <w:rPr>
                <w:sz w:val="20"/>
              </w:rPr>
              <w:t xml:space="preserve">y as per Case </w:t>
            </w:r>
            <w:r>
              <w:rPr>
                <w:sz w:val="20"/>
              </w:rPr>
              <w:t>4</w:t>
            </w:r>
            <w:r w:rsidRPr="00617578">
              <w:rPr>
                <w:sz w:val="20"/>
              </w:rPr>
              <w:t xml:space="preserve"> (tCH</w:t>
            </w:r>
            <w:r w:rsidRPr="00617578">
              <w:rPr>
                <w:sz w:val="20"/>
                <w:vertAlign w:val="subscript"/>
              </w:rPr>
              <w:t>4</w:t>
            </w:r>
            <w:r w:rsidRPr="00617578">
              <w:rPr>
                <w:sz w:val="20"/>
              </w:rPr>
              <w:t>/year)</w:t>
            </w:r>
          </w:p>
        </w:tc>
      </w:tr>
      <w:tr w:rsidR="004334D2" w:rsidRPr="000C5FD6" w14:paraId="2B522607" w14:textId="77777777" w:rsidTr="007E5A9B">
        <w:tc>
          <w:tcPr>
            <w:tcW w:w="1701" w:type="dxa"/>
            <w:vAlign w:val="top"/>
          </w:tcPr>
          <w:p w14:paraId="122D18DB" w14:textId="77777777"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2, y</m:t>
                    </m:r>
                  </m:sub>
                </m:sSub>
              </m:oMath>
            </m:oMathPara>
          </w:p>
        </w:tc>
        <w:tc>
          <w:tcPr>
            <w:tcW w:w="345" w:type="dxa"/>
            <w:vAlign w:val="top"/>
          </w:tcPr>
          <w:p w14:paraId="671F4ECA" w14:textId="77777777" w:rsidR="004334D2" w:rsidRPr="000C5FD6" w:rsidRDefault="004334D2" w:rsidP="00081FD4">
            <w:pPr>
              <w:pStyle w:val="SDMTableBoxParaNotNumbered"/>
            </w:pPr>
            <w:r w:rsidRPr="000C5FD6">
              <w:t>=</w:t>
            </w:r>
          </w:p>
        </w:tc>
        <w:tc>
          <w:tcPr>
            <w:tcW w:w="0" w:type="auto"/>
            <w:vAlign w:val="top"/>
          </w:tcPr>
          <w:p w14:paraId="371E954B" w14:textId="30C7147F" w:rsidR="004334D2" w:rsidRPr="000C5FD6" w:rsidRDefault="004334D2" w:rsidP="00081FD4">
            <w:pPr>
              <w:jc w:val="left"/>
              <w:rPr>
                <w:i/>
                <w:iCs/>
                <w:sz w:val="20"/>
              </w:rPr>
            </w:pPr>
            <w:r w:rsidRPr="00617578">
              <w:rPr>
                <w:sz w:val="20"/>
              </w:rPr>
              <w:t>Amount of methane in the LFG that would be destroyed in the baseline scenario in year</w:t>
            </w:r>
            <w:r w:rsidR="003C2DCC">
              <w:rPr>
                <w:sz w:val="20"/>
              </w:rPr>
              <w:t> </w:t>
            </w:r>
            <w:r w:rsidRPr="00617578">
              <w:rPr>
                <w:sz w:val="20"/>
              </w:rPr>
              <w:t xml:space="preserve">y as per Case </w:t>
            </w:r>
            <w:r>
              <w:rPr>
                <w:sz w:val="20"/>
              </w:rPr>
              <w:t>2</w:t>
            </w:r>
            <w:r w:rsidRPr="00617578">
              <w:rPr>
                <w:sz w:val="20"/>
              </w:rPr>
              <w:t xml:space="preserve"> (tCH</w:t>
            </w:r>
            <w:r w:rsidRPr="00617578">
              <w:rPr>
                <w:sz w:val="20"/>
                <w:vertAlign w:val="subscript"/>
              </w:rPr>
              <w:t>4</w:t>
            </w:r>
            <w:r w:rsidRPr="00617578">
              <w:rPr>
                <w:sz w:val="20"/>
              </w:rPr>
              <w:t>/year)</w:t>
            </w:r>
            <w:r>
              <w:rPr>
                <w:sz w:val="20"/>
              </w:rPr>
              <w:t xml:space="preserve">, as per paragraphs </w:t>
            </w:r>
            <w:r>
              <w:rPr>
                <w:sz w:val="20"/>
              </w:rPr>
              <w:fldChar w:fldCharType="begin"/>
            </w:r>
            <w:r>
              <w:rPr>
                <w:sz w:val="20"/>
              </w:rPr>
              <w:instrText xml:space="preserve"> REF _Ref203472209 \w \h </w:instrText>
            </w:r>
            <w:r w:rsidR="00081FD4">
              <w:rPr>
                <w:sz w:val="20"/>
              </w:rPr>
              <w:instrText xml:space="preserve"> \* MERGEFORMAT </w:instrText>
            </w:r>
            <w:r>
              <w:rPr>
                <w:sz w:val="20"/>
              </w:rPr>
            </w:r>
            <w:r>
              <w:rPr>
                <w:sz w:val="20"/>
              </w:rPr>
              <w:fldChar w:fldCharType="separate"/>
            </w:r>
            <w:r w:rsidR="00302468">
              <w:rPr>
                <w:sz w:val="20"/>
                <w:cs/>
              </w:rPr>
              <w:t>‎</w:t>
            </w:r>
            <w:r w:rsidR="00302468">
              <w:rPr>
                <w:sz w:val="20"/>
              </w:rPr>
              <w:t>90</w:t>
            </w:r>
            <w:r>
              <w:rPr>
                <w:sz w:val="20"/>
              </w:rPr>
              <w:fldChar w:fldCharType="end"/>
            </w:r>
            <w:r>
              <w:rPr>
                <w:sz w:val="20"/>
              </w:rPr>
              <w:t>–</w:t>
            </w:r>
            <w:r>
              <w:rPr>
                <w:sz w:val="20"/>
              </w:rPr>
              <w:fldChar w:fldCharType="begin"/>
            </w:r>
            <w:r>
              <w:rPr>
                <w:sz w:val="20"/>
              </w:rPr>
              <w:instrText xml:space="preserve"> REF _Ref203472219 \w \p \h </w:instrText>
            </w:r>
            <w:r w:rsidR="00081FD4">
              <w:rPr>
                <w:sz w:val="20"/>
              </w:rPr>
              <w:instrText xml:space="preserve"> \* MERGEFORMAT </w:instrText>
            </w:r>
            <w:r>
              <w:rPr>
                <w:sz w:val="20"/>
              </w:rPr>
            </w:r>
            <w:r>
              <w:rPr>
                <w:sz w:val="20"/>
              </w:rPr>
              <w:fldChar w:fldCharType="separate"/>
            </w:r>
            <w:r w:rsidR="00302468">
              <w:rPr>
                <w:sz w:val="20"/>
                <w:cs/>
              </w:rPr>
              <w:t>‎</w:t>
            </w:r>
            <w:r w:rsidR="00302468">
              <w:rPr>
                <w:sz w:val="20"/>
              </w:rPr>
              <w:t>91 above</w:t>
            </w:r>
            <w:r>
              <w:rPr>
                <w:sz w:val="20"/>
              </w:rPr>
              <w:fldChar w:fldCharType="end"/>
            </w:r>
          </w:p>
        </w:tc>
      </w:tr>
      <w:tr w:rsidR="004334D2" w:rsidRPr="000C5FD6" w14:paraId="735A32BB" w14:textId="77777777" w:rsidTr="007E5A9B">
        <w:tc>
          <w:tcPr>
            <w:tcW w:w="1701" w:type="dxa"/>
            <w:vAlign w:val="top"/>
          </w:tcPr>
          <w:p w14:paraId="0989B4D6" w14:textId="77777777"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CH4,BL-case 3, y</m:t>
                    </m:r>
                  </m:sub>
                </m:sSub>
              </m:oMath>
            </m:oMathPara>
          </w:p>
        </w:tc>
        <w:tc>
          <w:tcPr>
            <w:tcW w:w="345" w:type="dxa"/>
            <w:vAlign w:val="top"/>
          </w:tcPr>
          <w:p w14:paraId="02EB2480" w14:textId="77777777" w:rsidR="004334D2" w:rsidRPr="000C5FD6" w:rsidRDefault="004334D2" w:rsidP="00081FD4">
            <w:pPr>
              <w:pStyle w:val="SDMTableBoxParaNotNumbered"/>
            </w:pPr>
            <w:r w:rsidRPr="000C5FD6">
              <w:t>=</w:t>
            </w:r>
          </w:p>
        </w:tc>
        <w:tc>
          <w:tcPr>
            <w:tcW w:w="0" w:type="auto"/>
            <w:vAlign w:val="top"/>
          </w:tcPr>
          <w:p w14:paraId="11E4032B" w14:textId="2C64F1F7" w:rsidR="004334D2" w:rsidRPr="000C5FD6" w:rsidRDefault="004334D2" w:rsidP="00081FD4">
            <w:pPr>
              <w:jc w:val="left"/>
              <w:rPr>
                <w:i/>
                <w:iCs/>
                <w:sz w:val="20"/>
              </w:rPr>
            </w:pPr>
            <w:r w:rsidRPr="00617578">
              <w:rPr>
                <w:sz w:val="20"/>
              </w:rPr>
              <w:t>Amount of methane in the LFG that would be destroyed in the baseline scenario in year</w:t>
            </w:r>
            <w:r w:rsidR="003C2DCC">
              <w:rPr>
                <w:sz w:val="20"/>
              </w:rPr>
              <w:t> </w:t>
            </w:r>
            <w:r w:rsidRPr="00617578">
              <w:rPr>
                <w:sz w:val="20"/>
              </w:rPr>
              <w:t xml:space="preserve">y as per Case </w:t>
            </w:r>
            <w:r>
              <w:rPr>
                <w:sz w:val="20"/>
              </w:rPr>
              <w:t>3</w:t>
            </w:r>
            <w:r w:rsidRPr="00617578">
              <w:rPr>
                <w:sz w:val="20"/>
              </w:rPr>
              <w:t xml:space="preserve"> (tCH</w:t>
            </w:r>
            <w:r w:rsidRPr="00617578">
              <w:rPr>
                <w:sz w:val="20"/>
                <w:vertAlign w:val="subscript"/>
              </w:rPr>
              <w:t>4</w:t>
            </w:r>
            <w:r w:rsidRPr="00617578">
              <w:rPr>
                <w:sz w:val="20"/>
              </w:rPr>
              <w:t>/year)</w:t>
            </w:r>
            <w:r>
              <w:rPr>
                <w:sz w:val="20"/>
              </w:rPr>
              <w:t xml:space="preserve">, as per paragraphs </w:t>
            </w:r>
            <w:r>
              <w:rPr>
                <w:sz w:val="20"/>
              </w:rPr>
              <w:fldChar w:fldCharType="begin"/>
            </w:r>
            <w:r>
              <w:rPr>
                <w:sz w:val="20"/>
              </w:rPr>
              <w:instrText xml:space="preserve"> REF _Ref203471915 \w \h </w:instrText>
            </w:r>
            <w:r w:rsidR="00081FD4">
              <w:rPr>
                <w:sz w:val="20"/>
              </w:rPr>
              <w:instrText xml:space="preserve"> \* MERGEFORMAT </w:instrText>
            </w:r>
            <w:r>
              <w:rPr>
                <w:sz w:val="20"/>
              </w:rPr>
            </w:r>
            <w:r>
              <w:rPr>
                <w:sz w:val="20"/>
              </w:rPr>
              <w:fldChar w:fldCharType="separate"/>
            </w:r>
            <w:r w:rsidR="00302468">
              <w:rPr>
                <w:sz w:val="20"/>
                <w:cs/>
              </w:rPr>
              <w:t>‎</w:t>
            </w:r>
            <w:r w:rsidR="00302468">
              <w:rPr>
                <w:sz w:val="20"/>
              </w:rPr>
              <w:t>92</w:t>
            </w:r>
            <w:r>
              <w:rPr>
                <w:sz w:val="20"/>
              </w:rPr>
              <w:fldChar w:fldCharType="end"/>
            </w:r>
            <w:r>
              <w:rPr>
                <w:sz w:val="20"/>
              </w:rPr>
              <w:t>–</w:t>
            </w:r>
            <w:r>
              <w:rPr>
                <w:sz w:val="20"/>
              </w:rPr>
              <w:fldChar w:fldCharType="begin"/>
            </w:r>
            <w:r>
              <w:rPr>
                <w:sz w:val="20"/>
              </w:rPr>
              <w:instrText xml:space="preserve"> REF _Ref203472267 \w \p \h </w:instrText>
            </w:r>
            <w:r w:rsidR="00081FD4">
              <w:rPr>
                <w:sz w:val="20"/>
              </w:rPr>
              <w:instrText xml:space="preserve"> \* MERGEFORMAT </w:instrText>
            </w:r>
            <w:r>
              <w:rPr>
                <w:sz w:val="20"/>
              </w:rPr>
            </w:r>
            <w:r>
              <w:rPr>
                <w:sz w:val="20"/>
              </w:rPr>
              <w:fldChar w:fldCharType="separate"/>
            </w:r>
            <w:r w:rsidR="00302468">
              <w:rPr>
                <w:sz w:val="20"/>
                <w:cs/>
              </w:rPr>
              <w:t>‎</w:t>
            </w:r>
            <w:r w:rsidR="00302468">
              <w:rPr>
                <w:sz w:val="20"/>
              </w:rPr>
              <w:t>93 above</w:t>
            </w:r>
            <w:r>
              <w:rPr>
                <w:sz w:val="20"/>
              </w:rPr>
              <w:fldChar w:fldCharType="end"/>
            </w:r>
          </w:p>
        </w:tc>
      </w:tr>
    </w:tbl>
    <w:p w14:paraId="665923EC" w14:textId="31E2D3B3" w:rsidR="004334D2" w:rsidRPr="005C257E" w:rsidRDefault="004334D2" w:rsidP="00E66E80">
      <w:pPr>
        <w:pStyle w:val="SDMHead5"/>
        <w:rPr>
          <w:lang w:val="es-ES"/>
        </w:rPr>
      </w:pPr>
      <w:bookmarkStart w:id="251" w:name="_Ref207799838"/>
      <w:r w:rsidRPr="005C257E">
        <w:rPr>
          <w:lang w:val="es-ES"/>
        </w:rPr>
        <w:t xml:space="preserve">Ex ante estimation of </w:t>
      </w:r>
      <w:r w:rsidRPr="005C257E">
        <w:rPr>
          <w:i/>
          <w:lang w:val="es-ES"/>
        </w:rPr>
        <w:t>F</w:t>
      </w:r>
      <w:r w:rsidRPr="005C257E">
        <w:rPr>
          <w:i/>
          <w:vertAlign w:val="subscript"/>
          <w:lang w:val="es-ES"/>
        </w:rPr>
        <w:t>CH4,</w:t>
      </w:r>
      <w:r w:rsidR="000C287E">
        <w:rPr>
          <w:i/>
          <w:vertAlign w:val="subscript"/>
          <w:lang w:val="es-ES"/>
        </w:rPr>
        <w:t>PJ</w:t>
      </w:r>
      <w:r w:rsidRPr="005C257E">
        <w:rPr>
          <w:i/>
          <w:vertAlign w:val="subscript"/>
          <w:lang w:val="es-ES"/>
        </w:rPr>
        <w:t>,</w:t>
      </w:r>
      <w:r w:rsidR="00D2259A">
        <w:rPr>
          <w:i/>
          <w:vertAlign w:val="subscript"/>
          <w:lang w:val="es-ES"/>
        </w:rPr>
        <w:t>capt,</w:t>
      </w:r>
      <w:r w:rsidRPr="005C257E">
        <w:rPr>
          <w:i/>
          <w:vertAlign w:val="subscript"/>
          <w:lang w:val="es-ES"/>
        </w:rPr>
        <w:t>y</w:t>
      </w:r>
      <w:bookmarkEnd w:id="251"/>
    </w:p>
    <w:p w14:paraId="04C3F579" w14:textId="3332904B" w:rsidR="004334D2" w:rsidRPr="000C5FD6" w:rsidRDefault="004334D2" w:rsidP="00DA05CE">
      <w:pPr>
        <w:pStyle w:val="SDMPara"/>
        <w:keepNext/>
      </w:pPr>
      <w:r>
        <w:t>An ex</w:t>
      </w:r>
      <w:r w:rsidR="00757190">
        <w:t>-</w:t>
      </w:r>
      <w:r w:rsidRPr="000C5FD6">
        <w:t xml:space="preserve">ante estimate of </w:t>
      </w:r>
      <w:r w:rsidRPr="000C5FD6">
        <w:rPr>
          <w:i/>
        </w:rPr>
        <w:t>F</w:t>
      </w:r>
      <w:r w:rsidRPr="000C5FD6">
        <w:rPr>
          <w:i/>
          <w:vertAlign w:val="subscript"/>
        </w:rPr>
        <w:t>CH4,</w:t>
      </w:r>
      <w:r w:rsidR="000C287E">
        <w:rPr>
          <w:i/>
          <w:vertAlign w:val="subscript"/>
        </w:rPr>
        <w:t>PJ</w:t>
      </w:r>
      <w:r w:rsidRPr="000C5FD6">
        <w:rPr>
          <w:i/>
          <w:vertAlign w:val="subscript"/>
        </w:rPr>
        <w:t>,</w:t>
      </w:r>
      <w:r w:rsidR="0009468D">
        <w:rPr>
          <w:i/>
          <w:vertAlign w:val="subscript"/>
        </w:rPr>
        <w:t>capt,</w:t>
      </w:r>
      <w:r w:rsidRPr="000C5FD6">
        <w:rPr>
          <w:i/>
          <w:vertAlign w:val="subscript"/>
        </w:rPr>
        <w:t>y</w:t>
      </w:r>
      <w:r w:rsidRPr="000C5FD6">
        <w:t xml:space="preserve"> is </w:t>
      </w:r>
      <w:r w:rsidR="008269A7">
        <w:t xml:space="preserve">used </w:t>
      </w:r>
      <w:r w:rsidRPr="000C5FD6">
        <w:t xml:space="preserve">to estimate baseline </w:t>
      </w:r>
      <w:r w:rsidR="002C009B">
        <w:t xml:space="preserve">methane </w:t>
      </w:r>
      <w:r w:rsidRPr="000C5FD6">
        <w:t>emission</w:t>
      </w:r>
      <w:r w:rsidR="002C009B">
        <w:t>s</w:t>
      </w:r>
      <w:r w:rsidRPr="000C5FD6">
        <w:t xml:space="preserve"> from the SWDS (according to </w:t>
      </w:r>
      <w:r w:rsidR="00245807">
        <w:t>E</w:t>
      </w:r>
      <w:r w:rsidRPr="000C5FD6">
        <w:t xml:space="preserve">quation (2)) </w:t>
      </w:r>
      <w:r w:rsidR="008269A7">
        <w:t xml:space="preserve">and calculate </w:t>
      </w:r>
      <w:r w:rsidRPr="000C5FD6">
        <w:t xml:space="preserve">the emission reductions of the proposed </w:t>
      </w:r>
      <w:r>
        <w:t xml:space="preserve">Article 6.4 activity </w:t>
      </w:r>
      <w:r w:rsidRPr="000C5FD6">
        <w:t>in the</w:t>
      </w:r>
      <w:r>
        <w:t xml:space="preserve"> </w:t>
      </w:r>
      <w:r w:rsidRPr="000C5FD6">
        <w:t>PDD. It is determined as follows:</w:t>
      </w:r>
    </w:p>
    <w:tbl>
      <w:tblPr>
        <w:tblStyle w:val="SDMMethTableEquation"/>
        <w:tblW w:w="8760" w:type="dxa"/>
        <w:tblLook w:val="0600" w:firstRow="0" w:lastRow="0" w:firstColumn="0" w:lastColumn="0" w:noHBand="1" w:noVBand="1"/>
      </w:tblPr>
      <w:tblGrid>
        <w:gridCol w:w="7094"/>
        <w:gridCol w:w="1666"/>
      </w:tblGrid>
      <w:tr w:rsidR="004334D2" w:rsidRPr="000C5FD6" w14:paraId="36F98F34" w14:textId="77777777" w:rsidTr="007E5A9B">
        <w:tc>
          <w:tcPr>
            <w:tcW w:w="7224" w:type="dxa"/>
          </w:tcPr>
          <w:p w14:paraId="6CACC32C" w14:textId="3CED4735" w:rsidR="004334D2" w:rsidRPr="000C5FD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CH4,PJ,capt,y</m:t>
                    </m:r>
                  </m:sub>
                </m:sSub>
                <m:r>
                  <w:rPr>
                    <w:rFonts w:ascii="Cambria Math" w:hAnsi="Cambria Math"/>
                  </w:rPr>
                  <m:t>=</m:t>
                </m:r>
                <m:sSub>
                  <m:sSubPr>
                    <m:ctrlPr>
                      <w:rPr>
                        <w:rFonts w:ascii="Cambria Math" w:hAnsi="Cambria Math"/>
                        <w:i/>
                      </w:rPr>
                    </m:ctrlPr>
                  </m:sSubPr>
                  <m:e>
                    <m:r>
                      <w:rPr>
                        <w:rFonts w:ascii="Cambria Math" w:hAnsi="Cambria Math"/>
                      </w:rPr>
                      <m:t>η</m:t>
                    </m:r>
                  </m:e>
                  <m:sub>
                    <m:r>
                      <w:rPr>
                        <w:rFonts w:ascii="Cambria Math" w:hAnsi="Cambria Math"/>
                      </w:rPr>
                      <m:t>PJ</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CH4, SWDS,y</m:t>
                    </m:r>
                  </m:sub>
                </m:sSub>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hAnsi="Cambria Math"/>
                      </w:rPr>
                      <m:t>CH4</m:t>
                    </m:r>
                  </m:sub>
                </m:sSub>
              </m:oMath>
            </m:oMathPara>
          </w:p>
        </w:tc>
        <w:tc>
          <w:tcPr>
            <w:tcW w:w="1701" w:type="dxa"/>
          </w:tcPr>
          <w:p w14:paraId="3AC8733C" w14:textId="77777777" w:rsidR="004334D2" w:rsidRPr="000C5FD6" w:rsidRDefault="004334D2" w:rsidP="00247E9F">
            <w:pPr>
              <w:pStyle w:val="SDMMethEquationNr"/>
              <w:numPr>
                <w:ilvl w:val="0"/>
                <w:numId w:val="7"/>
              </w:numPr>
            </w:pPr>
          </w:p>
        </w:tc>
      </w:tr>
    </w:tbl>
    <w:p w14:paraId="1EF77F88"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C5FD6" w14:paraId="0673AF2F" w14:textId="77777777" w:rsidTr="007E5A9B">
        <w:tc>
          <w:tcPr>
            <w:tcW w:w="1701" w:type="dxa"/>
            <w:vAlign w:val="top"/>
          </w:tcPr>
          <w:p w14:paraId="17E43C61" w14:textId="7190093E"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CH4,PJ,capt,y</m:t>
                    </m:r>
                  </m:sub>
                </m:sSub>
              </m:oMath>
            </m:oMathPara>
          </w:p>
        </w:tc>
        <w:tc>
          <w:tcPr>
            <w:tcW w:w="345" w:type="dxa"/>
            <w:vAlign w:val="top"/>
          </w:tcPr>
          <w:p w14:paraId="29ED2304" w14:textId="77777777" w:rsidR="004334D2" w:rsidRPr="000C5FD6" w:rsidRDefault="004334D2" w:rsidP="00081FD4">
            <w:pPr>
              <w:pStyle w:val="SDMTableBoxParaNotNumbered"/>
            </w:pPr>
            <w:r w:rsidRPr="000C5FD6">
              <w:t>=</w:t>
            </w:r>
          </w:p>
        </w:tc>
        <w:tc>
          <w:tcPr>
            <w:tcW w:w="0" w:type="auto"/>
            <w:vAlign w:val="top"/>
          </w:tcPr>
          <w:p w14:paraId="096518C3" w14:textId="0C1C56B6" w:rsidR="004334D2" w:rsidRPr="00866142" w:rsidRDefault="009A4122" w:rsidP="00081FD4">
            <w:pPr>
              <w:pStyle w:val="SDMTableBoxParaNotNumbered"/>
            </w:pPr>
            <w:r w:rsidRPr="00866142">
              <w:t>Ex-ante estimation of the a</w:t>
            </w:r>
            <w:r w:rsidR="004334D2" w:rsidRPr="00866142">
              <w:t xml:space="preserve">mount of methane in the LFG which </w:t>
            </w:r>
            <w:r w:rsidR="000B7BF2">
              <w:t xml:space="preserve">collected and sent to </w:t>
            </w:r>
            <w:r w:rsidR="000B7BF2" w:rsidRPr="000C5FD6">
              <w:t>flare</w:t>
            </w:r>
            <w:r w:rsidR="000B7BF2">
              <w:t>s</w:t>
            </w:r>
            <w:r w:rsidR="000B7BF2" w:rsidRPr="000C5FD6">
              <w:t xml:space="preserve"> and/or use </w:t>
            </w:r>
            <w:r w:rsidR="000B7BF2">
              <w:t>under</w:t>
            </w:r>
            <w:r w:rsidR="000B7BF2" w:rsidRPr="000C5FD6">
              <w:t xml:space="preserve"> the </w:t>
            </w:r>
            <w:r w:rsidR="000B7BF2">
              <w:t xml:space="preserve">project scenario </w:t>
            </w:r>
            <w:r w:rsidR="000B7BF2" w:rsidRPr="000C5FD6">
              <w:t>in year</w:t>
            </w:r>
            <w:r w:rsidR="003C2DCC">
              <w:t> </w:t>
            </w:r>
            <w:r w:rsidR="004334D2" w:rsidRPr="00866142">
              <w:rPr>
                <w:i/>
              </w:rPr>
              <w:t xml:space="preserve">y </w:t>
            </w:r>
            <w:r w:rsidR="004334D2" w:rsidRPr="00866142">
              <w:t>(t CH</w:t>
            </w:r>
            <w:r w:rsidR="004334D2" w:rsidRPr="00866142">
              <w:rPr>
                <w:vertAlign w:val="subscript"/>
              </w:rPr>
              <w:t>4</w:t>
            </w:r>
            <w:r w:rsidR="004334D2" w:rsidRPr="00866142">
              <w:t>/year)</w:t>
            </w:r>
          </w:p>
        </w:tc>
      </w:tr>
      <w:tr w:rsidR="004334D2" w:rsidRPr="000C5FD6" w14:paraId="77940854" w14:textId="77777777" w:rsidTr="007E5A9B">
        <w:tc>
          <w:tcPr>
            <w:tcW w:w="1701" w:type="dxa"/>
            <w:vAlign w:val="top"/>
          </w:tcPr>
          <w:p w14:paraId="1F145659" w14:textId="77777777"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BE</m:t>
                    </m:r>
                  </m:e>
                  <m:sub>
                    <m:r>
                      <w:rPr>
                        <w:rFonts w:ascii="Cambria Math" w:hAnsi="Cambria Math"/>
                      </w:rPr>
                      <m:t>CH4, SWDS,y</m:t>
                    </m:r>
                  </m:sub>
                </m:sSub>
              </m:oMath>
            </m:oMathPara>
          </w:p>
        </w:tc>
        <w:tc>
          <w:tcPr>
            <w:tcW w:w="345" w:type="dxa"/>
            <w:vAlign w:val="top"/>
          </w:tcPr>
          <w:p w14:paraId="6A41579E" w14:textId="77777777" w:rsidR="004334D2" w:rsidRPr="000C5FD6" w:rsidRDefault="004334D2" w:rsidP="00081FD4">
            <w:pPr>
              <w:pStyle w:val="SDMTableBoxParaNotNumbered"/>
            </w:pPr>
            <w:r w:rsidRPr="000C5FD6">
              <w:t>=</w:t>
            </w:r>
          </w:p>
        </w:tc>
        <w:tc>
          <w:tcPr>
            <w:tcW w:w="0" w:type="auto"/>
            <w:vAlign w:val="top"/>
          </w:tcPr>
          <w:p w14:paraId="67CB2695" w14:textId="77777777" w:rsidR="004334D2" w:rsidRPr="000C5FD6" w:rsidRDefault="004334D2" w:rsidP="00081FD4">
            <w:pPr>
              <w:pStyle w:val="SDMTableBoxParaNotNumbered"/>
            </w:pPr>
            <w:bookmarkStart w:id="252" w:name="OLE_LINK2"/>
            <w:bookmarkStart w:id="253" w:name="OLE_LINK3"/>
            <w:r w:rsidRPr="000C5FD6">
              <w:t>Amount of methane in the LFG that is generated from the SWDS in the baseline scenario in year </w:t>
            </w:r>
            <w:r w:rsidRPr="000C5FD6">
              <w:rPr>
                <w:i/>
              </w:rPr>
              <w:t>y</w:t>
            </w:r>
            <w:bookmarkEnd w:id="252"/>
            <w:bookmarkEnd w:id="253"/>
            <w:r w:rsidRPr="000C5FD6">
              <w:rPr>
                <w:i/>
                <w:iCs/>
              </w:rPr>
              <w:t xml:space="preserve"> </w:t>
            </w:r>
            <w:r w:rsidRPr="000C5FD6">
              <w:t>(t CO</w:t>
            </w:r>
            <w:r w:rsidRPr="000C5FD6">
              <w:rPr>
                <w:vertAlign w:val="subscript"/>
              </w:rPr>
              <w:t>2</w:t>
            </w:r>
            <w:r w:rsidRPr="000C5FD6">
              <w:t>e/y</w:t>
            </w:r>
            <w:r>
              <w:t>ea</w:t>
            </w:r>
            <w:r w:rsidRPr="000C5FD6">
              <w:t>r)</w:t>
            </w:r>
          </w:p>
        </w:tc>
      </w:tr>
      <w:tr w:rsidR="004334D2" w:rsidRPr="000C5FD6" w14:paraId="397705F1" w14:textId="77777777" w:rsidTr="007E5A9B">
        <w:tc>
          <w:tcPr>
            <w:tcW w:w="1701" w:type="dxa"/>
            <w:vAlign w:val="top"/>
          </w:tcPr>
          <w:p w14:paraId="0510756E" w14:textId="73BFCB64" w:rsidR="004334D2" w:rsidRPr="000C5FD6" w:rsidRDefault="00302468" w:rsidP="00081FD4">
            <w:pPr>
              <w:pStyle w:val="SDMTableBoxParaNotNumbered"/>
              <w:rPr>
                <w:i/>
              </w:rPr>
            </w:pPr>
            <m:oMathPara>
              <m:oMathParaPr>
                <m:jc m:val="left"/>
              </m:oMathParaPr>
              <m:oMath>
                <m:sSub>
                  <m:sSubPr>
                    <m:ctrlPr>
                      <w:rPr>
                        <w:rFonts w:ascii="Cambria Math" w:hAnsi="Cambria Math" w:cs="Arial"/>
                        <w:i/>
                      </w:rPr>
                    </m:ctrlPr>
                  </m:sSubPr>
                  <m:e>
                    <m:r>
                      <w:rPr>
                        <w:rFonts w:ascii="Cambria Math" w:hAnsi="Cambria Math"/>
                      </w:rPr>
                      <m:t>η</m:t>
                    </m:r>
                  </m:e>
                  <m:sub>
                    <m:r>
                      <w:rPr>
                        <w:rFonts w:ascii="Cambria Math" w:hAnsi="Cambria Math" w:cs="Arial"/>
                      </w:rPr>
                      <m:t>PJ</m:t>
                    </m:r>
                  </m:sub>
                </m:sSub>
              </m:oMath>
            </m:oMathPara>
          </w:p>
        </w:tc>
        <w:tc>
          <w:tcPr>
            <w:tcW w:w="345" w:type="dxa"/>
            <w:vAlign w:val="top"/>
          </w:tcPr>
          <w:p w14:paraId="6375BAA0" w14:textId="77777777" w:rsidR="004334D2" w:rsidRPr="000C5FD6" w:rsidRDefault="004334D2" w:rsidP="00081FD4">
            <w:pPr>
              <w:pStyle w:val="SDMTableBoxParaNotNumbered"/>
            </w:pPr>
            <w:r w:rsidRPr="000C5FD6">
              <w:t>=</w:t>
            </w:r>
          </w:p>
        </w:tc>
        <w:tc>
          <w:tcPr>
            <w:tcW w:w="0" w:type="auto"/>
            <w:vAlign w:val="top"/>
          </w:tcPr>
          <w:p w14:paraId="368578C6" w14:textId="4FC5E451" w:rsidR="004334D2" w:rsidRPr="000C5FD6" w:rsidRDefault="004334D2" w:rsidP="00081FD4">
            <w:pPr>
              <w:pStyle w:val="SDMTableBoxParaNotNumbered"/>
            </w:pPr>
            <w:r w:rsidRPr="000C5FD6">
              <w:t xml:space="preserve">Efficiency of the </w:t>
            </w:r>
            <w:r w:rsidR="00FB0E03">
              <w:t xml:space="preserve">Article 6.4 activity’s </w:t>
            </w:r>
            <w:r w:rsidRPr="000C5FD6">
              <w:t>LFG capture system</w:t>
            </w:r>
          </w:p>
        </w:tc>
      </w:tr>
      <w:tr w:rsidR="004334D2" w:rsidRPr="000C5FD6" w14:paraId="4EE25857" w14:textId="77777777" w:rsidTr="007E5A9B">
        <w:tc>
          <w:tcPr>
            <w:tcW w:w="1701" w:type="dxa"/>
            <w:vAlign w:val="top"/>
          </w:tcPr>
          <w:p w14:paraId="262BC95E" w14:textId="77777777"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GWP</m:t>
                    </m:r>
                  </m:e>
                  <m:sub>
                    <m:r>
                      <w:rPr>
                        <w:rFonts w:ascii="Cambria Math" w:hAnsi="Cambria Math"/>
                      </w:rPr>
                      <m:t>CH4</m:t>
                    </m:r>
                  </m:sub>
                </m:sSub>
              </m:oMath>
            </m:oMathPara>
          </w:p>
        </w:tc>
        <w:tc>
          <w:tcPr>
            <w:tcW w:w="345" w:type="dxa"/>
            <w:vAlign w:val="top"/>
          </w:tcPr>
          <w:p w14:paraId="78D8D451" w14:textId="77777777" w:rsidR="004334D2" w:rsidRPr="000C5FD6" w:rsidRDefault="004334D2" w:rsidP="00081FD4">
            <w:pPr>
              <w:pStyle w:val="SDMTableBoxParaNotNumbered"/>
            </w:pPr>
            <w:r w:rsidRPr="000C5FD6">
              <w:t>=</w:t>
            </w:r>
          </w:p>
        </w:tc>
        <w:tc>
          <w:tcPr>
            <w:tcW w:w="0" w:type="auto"/>
            <w:vAlign w:val="top"/>
          </w:tcPr>
          <w:p w14:paraId="315617F8" w14:textId="77777777" w:rsidR="004334D2" w:rsidRPr="000C5FD6" w:rsidRDefault="004334D2" w:rsidP="00081FD4">
            <w:pPr>
              <w:pStyle w:val="SDMTableBoxParaNotNumbered"/>
            </w:pPr>
            <w:r w:rsidRPr="000C5FD6">
              <w:rPr>
                <w:lang w:eastAsia="zh-CN"/>
              </w:rPr>
              <w:t>Global warming potential of CH</w:t>
            </w:r>
            <w:r w:rsidRPr="000C5FD6">
              <w:rPr>
                <w:vertAlign w:val="subscript"/>
                <w:lang w:eastAsia="zh-CN"/>
              </w:rPr>
              <w:t xml:space="preserve">4 </w:t>
            </w:r>
            <w:r w:rsidRPr="000C5FD6">
              <w:rPr>
                <w:lang w:eastAsia="zh-CN"/>
              </w:rPr>
              <w:t>(</w:t>
            </w:r>
            <w:r w:rsidRPr="000C5FD6">
              <w:t>t CO</w:t>
            </w:r>
            <w:r w:rsidRPr="000C5FD6">
              <w:rPr>
                <w:vertAlign w:val="subscript"/>
              </w:rPr>
              <w:t>2</w:t>
            </w:r>
            <w:r w:rsidRPr="000C5FD6">
              <w:t>e/t CH</w:t>
            </w:r>
            <w:r w:rsidRPr="000C5FD6">
              <w:rPr>
                <w:vertAlign w:val="subscript"/>
              </w:rPr>
              <w:t>4</w:t>
            </w:r>
            <w:r w:rsidRPr="000C5FD6">
              <w:t>)</w:t>
            </w:r>
          </w:p>
        </w:tc>
      </w:tr>
    </w:tbl>
    <w:p w14:paraId="5C63D3E0" w14:textId="6BF0F4D3" w:rsidR="004334D2" w:rsidRPr="000C5FD6" w:rsidRDefault="004334D2" w:rsidP="00DA05CE">
      <w:pPr>
        <w:pStyle w:val="SDMPara"/>
        <w:keepNext/>
        <w:rPr>
          <w:iCs/>
        </w:rPr>
      </w:pPr>
      <w:bookmarkStart w:id="254" w:name="_Ref210744726"/>
      <w:r w:rsidRPr="000C5FD6">
        <w:rPr>
          <w:i/>
        </w:rPr>
        <w:t>BE</w:t>
      </w:r>
      <w:r w:rsidRPr="000C5FD6">
        <w:rPr>
          <w:i/>
          <w:vertAlign w:val="subscript"/>
        </w:rPr>
        <w:t>CH4,SWDS,y</w:t>
      </w:r>
      <w:r w:rsidRPr="000C5FD6">
        <w:t xml:space="preserve"> is determined using the </w:t>
      </w:r>
      <w:r>
        <w:t>solid waste tool</w:t>
      </w:r>
      <w:r w:rsidRPr="000C5FD6">
        <w:t xml:space="preserve">. The following guidance </w:t>
      </w:r>
      <w:r w:rsidR="00FB0E03">
        <w:t xml:space="preserve">applies to the use of </w:t>
      </w:r>
      <w:r w:rsidRPr="000C5FD6">
        <w:t>the tool:</w:t>
      </w:r>
      <w:bookmarkEnd w:id="254"/>
    </w:p>
    <w:p w14:paraId="7CC42325" w14:textId="31C13961" w:rsidR="004334D2" w:rsidRPr="000C5FD6" w:rsidRDefault="004334D2" w:rsidP="00E66E80">
      <w:pPr>
        <w:pStyle w:val="SDMSubPara1"/>
      </w:pPr>
      <w:r w:rsidRPr="000C5FD6">
        <w:rPr>
          <w:i/>
        </w:rPr>
        <w:t>f</w:t>
      </w:r>
      <w:r w:rsidRPr="000C5FD6">
        <w:rPr>
          <w:i/>
          <w:vertAlign w:val="subscript"/>
        </w:rPr>
        <w:t>y</w:t>
      </w:r>
      <w:r w:rsidRPr="000C5FD6">
        <w:t xml:space="preserve"> in the tool shall be assigned a value of 0 because the amount of LFG that would have been captured and destroyed is already accounted for in </w:t>
      </w:r>
      <w:r w:rsidR="00C036D3">
        <w:t>E</w:t>
      </w:r>
      <w:r w:rsidRPr="000C5FD6">
        <w:t xml:space="preserve">quation (2) of this </w:t>
      </w:r>
      <w:r w:rsidR="008A0B90">
        <w:t>mechanism methodology</w:t>
      </w:r>
      <w:r w:rsidRPr="000C5FD6">
        <w:t>;</w:t>
      </w:r>
    </w:p>
    <w:p w14:paraId="0B853C6E" w14:textId="77777777" w:rsidR="004334D2" w:rsidRDefault="004334D2" w:rsidP="00E66E80">
      <w:pPr>
        <w:pStyle w:val="SDMSubPara1"/>
      </w:pPr>
      <w:r w:rsidRPr="000C5FD6">
        <w:t xml:space="preserve">In the tool, </w:t>
      </w:r>
      <w:r w:rsidRPr="000C5FD6">
        <w:rPr>
          <w:i/>
        </w:rPr>
        <w:t xml:space="preserve">x </w:t>
      </w:r>
      <w:r w:rsidRPr="000C5FD6">
        <w:t>begins with the year that the SWDS started receiving waste (e.g. the first year of SWDS operation);</w:t>
      </w:r>
    </w:p>
    <w:p w14:paraId="116BF05A" w14:textId="3DB32CC5" w:rsidR="004334D2" w:rsidRPr="000C5FD6" w:rsidRDefault="00AD0891" w:rsidP="00E66E80">
      <w:pPr>
        <w:pStyle w:val="SDMSubPara1"/>
      </w:pPr>
      <w:r w:rsidRPr="00AD0891">
        <w:t>U</w:t>
      </w:r>
      <w:r w:rsidR="004334D2">
        <w:t xml:space="preserve">se the default values from the table </w:t>
      </w:r>
      <w:r w:rsidR="000B7BF2">
        <w:t>“</w:t>
      </w:r>
      <w:r w:rsidR="004334D2">
        <w:t xml:space="preserve">Data / Parameter </w:t>
      </w:r>
      <w:r w:rsidR="000B7BF2">
        <w:t xml:space="preserve">table </w:t>
      </w:r>
      <w:r>
        <w:t>2</w:t>
      </w:r>
      <w:r w:rsidR="000B7BF2">
        <w:t>”</w:t>
      </w:r>
      <w:r w:rsidR="004334D2">
        <w:t xml:space="preserve"> </w:t>
      </w:r>
      <w:r>
        <w:t xml:space="preserve">of the solid waste too for </w:t>
      </w:r>
      <w:r w:rsidRPr="00AD0891">
        <w:rPr>
          <w:i/>
          <w:iCs/>
        </w:rPr>
        <w:t>OX</w:t>
      </w:r>
      <w:r w:rsidRPr="00AD0891">
        <w:rPr>
          <w:i/>
          <w:iCs/>
          <w:vertAlign w:val="subscript"/>
        </w:rPr>
        <w:t>y</w:t>
      </w:r>
      <w:r w:rsidR="004334D2">
        <w:t>; and</w:t>
      </w:r>
    </w:p>
    <w:p w14:paraId="74F05C7F" w14:textId="77777777" w:rsidR="004334D2" w:rsidRDefault="004334D2" w:rsidP="00E66E80">
      <w:pPr>
        <w:pStyle w:val="SDMSubPara1"/>
      </w:pPr>
      <w:r w:rsidRPr="000C5FD6">
        <w:t>Sampling to determine the fractions of different waste types is not necessary because the waste composition can be obtained from previous studies.</w:t>
      </w:r>
    </w:p>
    <w:p w14:paraId="44196FFE" w14:textId="53525238" w:rsidR="004334D2" w:rsidRPr="000C5FD6" w:rsidRDefault="004334D2" w:rsidP="007D034D">
      <w:pPr>
        <w:pStyle w:val="SDMHead4"/>
        <w:keepNext w:val="0"/>
      </w:pPr>
      <w:bookmarkStart w:id="255" w:name="_Toc430009255"/>
      <w:bookmarkStart w:id="256" w:name="_Toc478726892"/>
      <w:bookmarkStart w:id="257" w:name="_Toc478995710"/>
      <w:bookmarkStart w:id="258" w:name="_Toc2875273"/>
      <w:bookmarkStart w:id="259" w:name="_Ref207379579"/>
      <w:bookmarkStart w:id="260" w:name="_Ref209698865"/>
      <w:bookmarkStart w:id="261" w:name="_Ref210999073"/>
      <w:r w:rsidRPr="000C5FD6">
        <w:t>Baseline emissions associated with electricity generation (</w:t>
      </w:r>
      <w:r w:rsidRPr="000C5FD6">
        <w:rPr>
          <w:i/>
        </w:rPr>
        <w:t>BE</w:t>
      </w:r>
      <w:r w:rsidRPr="000C5FD6">
        <w:rPr>
          <w:i/>
          <w:vertAlign w:val="subscript"/>
        </w:rPr>
        <w:t>E</w:t>
      </w:r>
      <w:r>
        <w:rPr>
          <w:i/>
          <w:vertAlign w:val="subscript"/>
        </w:rPr>
        <w:t>G</w:t>
      </w:r>
      <w:r w:rsidRPr="000C5FD6">
        <w:rPr>
          <w:i/>
          <w:vertAlign w:val="subscript"/>
        </w:rPr>
        <w:t>,y</w:t>
      </w:r>
      <w:r w:rsidRPr="000C5FD6">
        <w:t>)</w:t>
      </w:r>
      <w:bookmarkEnd w:id="255"/>
      <w:bookmarkEnd w:id="256"/>
      <w:bookmarkEnd w:id="257"/>
      <w:bookmarkEnd w:id="258"/>
      <w:bookmarkEnd w:id="259"/>
      <w:bookmarkEnd w:id="260"/>
      <w:bookmarkEnd w:id="261"/>
    </w:p>
    <w:p w14:paraId="1EEA46DB" w14:textId="77777777" w:rsidR="004334D2" w:rsidRDefault="004334D2" w:rsidP="00E66E80">
      <w:pPr>
        <w:pStyle w:val="SDMHead5"/>
      </w:pPr>
      <w:r>
        <w:t>Electricity generated and supplied to the electric grid</w:t>
      </w:r>
    </w:p>
    <w:p w14:paraId="1CAD0266" w14:textId="752DBC56" w:rsidR="004334D2" w:rsidRPr="0022141D" w:rsidRDefault="004334D2" w:rsidP="00DA05CE">
      <w:pPr>
        <w:pStyle w:val="SDMPara"/>
        <w:keepNext/>
      </w:pPr>
      <w:r w:rsidRPr="0022141D">
        <w:t>Baseline emissions from electricity generated and supplied to the electric grid are calculated as follows:</w:t>
      </w:r>
    </w:p>
    <w:tbl>
      <w:tblPr>
        <w:tblStyle w:val="SDMMethTableEquation"/>
        <w:tblW w:w="8760" w:type="dxa"/>
        <w:tblLook w:val="0600" w:firstRow="0" w:lastRow="0" w:firstColumn="0" w:lastColumn="0" w:noHBand="1" w:noVBand="1"/>
      </w:tblPr>
      <w:tblGrid>
        <w:gridCol w:w="7093"/>
        <w:gridCol w:w="1667"/>
      </w:tblGrid>
      <w:tr w:rsidR="004334D2" w:rsidRPr="0022141D" w14:paraId="63F43C57" w14:textId="77777777" w:rsidTr="007E5A9B">
        <w:tc>
          <w:tcPr>
            <w:tcW w:w="7224" w:type="dxa"/>
          </w:tcPr>
          <w:p w14:paraId="3441B76E" w14:textId="5785B26B" w:rsidR="004334D2" w:rsidRPr="0022141D"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EG,y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EG,grid,y</m:t>
                    </m:r>
                  </m:sub>
                </m:sSub>
                <m:r>
                  <w:rPr>
                    <w:rFonts w:ascii="Cambria Math" w:hAnsi="Cambria Math"/>
                  </w:rPr>
                  <m:t>=</m:t>
                </m:r>
                <m:sSub>
                  <m:sSubPr>
                    <m:ctrlPr>
                      <w:rPr>
                        <w:rFonts w:ascii="Cambria Math" w:hAnsi="Cambria Math"/>
                        <w:i/>
                      </w:rPr>
                    </m:ctrlPr>
                  </m:sSubPr>
                  <m:e>
                    <m:r>
                      <w:rPr>
                        <w:rFonts w:ascii="Cambria Math" w:hAnsi="Cambria Math"/>
                      </w:rPr>
                      <m:t>EG</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grid,y</m:t>
                    </m:r>
                  </m:sub>
                </m:sSub>
              </m:oMath>
            </m:oMathPara>
          </w:p>
        </w:tc>
        <w:tc>
          <w:tcPr>
            <w:tcW w:w="1701" w:type="dxa"/>
          </w:tcPr>
          <w:p w14:paraId="5826CF86" w14:textId="77777777" w:rsidR="004334D2" w:rsidRPr="0022141D" w:rsidRDefault="004334D2" w:rsidP="00247E9F">
            <w:pPr>
              <w:pStyle w:val="SDMMethEquationNr"/>
              <w:numPr>
                <w:ilvl w:val="0"/>
                <w:numId w:val="4"/>
              </w:numPr>
            </w:pPr>
          </w:p>
        </w:tc>
      </w:tr>
    </w:tbl>
    <w:p w14:paraId="2BBBCEB1" w14:textId="77777777" w:rsidR="004334D2" w:rsidRPr="0022141D" w:rsidRDefault="004334D2" w:rsidP="00DA05CE">
      <w:pPr>
        <w:pStyle w:val="SDMMethCaptionEquationParametersTable"/>
      </w:pPr>
      <w:r w:rsidRPr="0022141D">
        <w:t>Where:</w:t>
      </w:r>
    </w:p>
    <w:tbl>
      <w:tblPr>
        <w:tblStyle w:val="SDMMethTableEquationParameters"/>
        <w:tblW w:w="8760" w:type="dxa"/>
        <w:tblLook w:val="04A0" w:firstRow="1" w:lastRow="0" w:firstColumn="1" w:lastColumn="0" w:noHBand="0" w:noVBand="1"/>
      </w:tblPr>
      <w:tblGrid>
        <w:gridCol w:w="1701"/>
        <w:gridCol w:w="345"/>
        <w:gridCol w:w="6714"/>
      </w:tblGrid>
      <w:tr w:rsidR="008477E1" w:rsidRPr="0022141D" w14:paraId="19E05B8D" w14:textId="77777777" w:rsidTr="007E5A9B">
        <w:tc>
          <w:tcPr>
            <w:tcW w:w="1701" w:type="dxa"/>
            <w:vAlign w:val="top"/>
          </w:tcPr>
          <w:p w14:paraId="06361B2B" w14:textId="77777777" w:rsidR="008477E1" w:rsidRPr="00825529"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EG,y</m:t>
                    </m:r>
                  </m:sub>
                </m:sSub>
              </m:oMath>
            </m:oMathPara>
          </w:p>
        </w:tc>
        <w:tc>
          <w:tcPr>
            <w:tcW w:w="345" w:type="dxa"/>
            <w:vAlign w:val="top"/>
          </w:tcPr>
          <w:p w14:paraId="64BCF153" w14:textId="77777777" w:rsidR="008477E1" w:rsidRPr="0022141D" w:rsidRDefault="008477E1" w:rsidP="00081FD4">
            <w:pPr>
              <w:pStyle w:val="SDMTableBoxParaNotNumbered"/>
            </w:pPr>
            <w:r>
              <w:t>=</w:t>
            </w:r>
          </w:p>
        </w:tc>
        <w:tc>
          <w:tcPr>
            <w:tcW w:w="0" w:type="auto"/>
            <w:vAlign w:val="top"/>
          </w:tcPr>
          <w:p w14:paraId="3F82D98A" w14:textId="77777777" w:rsidR="008477E1" w:rsidRPr="0022141D" w:rsidRDefault="008477E1" w:rsidP="00081FD4">
            <w:pPr>
              <w:pStyle w:val="SDMTableBoxParaNotNumbered"/>
            </w:pPr>
            <w:r>
              <w:t xml:space="preserve">Baseline emissions from electricity generation in year </w:t>
            </w:r>
            <w:r>
              <w:rPr>
                <w:i/>
                <w:iCs/>
              </w:rPr>
              <w:t>y</w:t>
            </w:r>
            <w:r>
              <w:t xml:space="preserve"> (t CO</w:t>
            </w:r>
            <w:r>
              <w:rPr>
                <w:vertAlign w:val="subscript"/>
              </w:rPr>
              <w:t>2</w:t>
            </w:r>
            <w:r>
              <w:t xml:space="preserve">/year) </w:t>
            </w:r>
          </w:p>
        </w:tc>
      </w:tr>
      <w:tr w:rsidR="004334D2" w:rsidRPr="0022141D" w14:paraId="7B6439B6" w14:textId="77777777" w:rsidTr="007E5A9B">
        <w:tc>
          <w:tcPr>
            <w:tcW w:w="1701" w:type="dxa"/>
            <w:vAlign w:val="top"/>
          </w:tcPr>
          <w:p w14:paraId="5EF52428" w14:textId="5B3B2803" w:rsidR="004334D2" w:rsidRPr="0022141D" w:rsidRDefault="004334D2" w:rsidP="00081FD4">
            <w:pPr>
              <w:pStyle w:val="SDMTableBoxParaNotNumbered"/>
            </w:pPr>
            <m:oMathPara>
              <m:oMathParaPr>
                <m:jc m:val="left"/>
              </m:oMathParaPr>
              <m:oMath>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EG,grid,y</m:t>
                    </m:r>
                  </m:sub>
                </m:sSub>
              </m:oMath>
            </m:oMathPara>
          </w:p>
        </w:tc>
        <w:tc>
          <w:tcPr>
            <w:tcW w:w="345" w:type="dxa"/>
            <w:vAlign w:val="top"/>
          </w:tcPr>
          <w:p w14:paraId="7D78F3C9" w14:textId="77777777" w:rsidR="004334D2" w:rsidRPr="0022141D" w:rsidRDefault="004334D2" w:rsidP="00081FD4">
            <w:pPr>
              <w:pStyle w:val="SDMTableBoxParaNotNumbered"/>
            </w:pPr>
            <w:r w:rsidRPr="0022141D">
              <w:t>=</w:t>
            </w:r>
          </w:p>
        </w:tc>
        <w:tc>
          <w:tcPr>
            <w:tcW w:w="0" w:type="auto"/>
            <w:vAlign w:val="top"/>
          </w:tcPr>
          <w:p w14:paraId="242D5D62" w14:textId="12ED8A98" w:rsidR="004334D2" w:rsidRPr="0022141D" w:rsidRDefault="004334D2" w:rsidP="00081FD4">
            <w:pPr>
              <w:pStyle w:val="SDMTableBoxParaNotNumbered"/>
            </w:pPr>
            <w:r w:rsidRPr="0022141D">
              <w:t>Baseline emissions from electricity generated and supplied to the electric grid in year</w:t>
            </w:r>
            <w:r w:rsidRPr="0022141D">
              <w:rPr>
                <w:i/>
              </w:rPr>
              <w:t xml:space="preserve"> y </w:t>
            </w:r>
            <w:r w:rsidRPr="0022141D">
              <w:t>(tCO</w:t>
            </w:r>
            <w:r w:rsidRPr="0022141D">
              <w:rPr>
                <w:vertAlign w:val="subscript"/>
              </w:rPr>
              <w:t>2</w:t>
            </w:r>
            <w:r w:rsidRPr="0022141D">
              <w:t>/year)</w:t>
            </w:r>
          </w:p>
        </w:tc>
      </w:tr>
      <w:tr w:rsidR="004334D2" w:rsidRPr="0022141D" w14:paraId="4DB1742F" w14:textId="77777777" w:rsidTr="007E5A9B">
        <w:tc>
          <w:tcPr>
            <w:tcW w:w="1701" w:type="dxa"/>
            <w:vAlign w:val="top"/>
          </w:tcPr>
          <w:p w14:paraId="4F06F566" w14:textId="77777777" w:rsidR="004334D2" w:rsidRPr="0022141D"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EG</m:t>
                    </m:r>
                  </m:e>
                  <m:sub>
                    <m:r>
                      <w:rPr>
                        <w:rFonts w:ascii="Cambria Math" w:hAnsi="Cambria Math"/>
                      </w:rPr>
                      <m:t>y</m:t>
                    </m:r>
                  </m:sub>
                </m:sSub>
              </m:oMath>
            </m:oMathPara>
          </w:p>
        </w:tc>
        <w:tc>
          <w:tcPr>
            <w:tcW w:w="345" w:type="dxa"/>
            <w:vAlign w:val="top"/>
          </w:tcPr>
          <w:p w14:paraId="590134AD" w14:textId="77777777" w:rsidR="004334D2" w:rsidRPr="0022141D" w:rsidRDefault="004334D2" w:rsidP="00081FD4">
            <w:pPr>
              <w:pStyle w:val="SDMTableBoxParaNotNumbered"/>
            </w:pPr>
            <w:r w:rsidRPr="0022141D">
              <w:t>=</w:t>
            </w:r>
          </w:p>
        </w:tc>
        <w:tc>
          <w:tcPr>
            <w:tcW w:w="0" w:type="auto"/>
            <w:vAlign w:val="top"/>
          </w:tcPr>
          <w:p w14:paraId="1E4EBCE6" w14:textId="77777777" w:rsidR="004334D2" w:rsidRPr="0022141D" w:rsidRDefault="004334D2" w:rsidP="00081FD4">
            <w:pPr>
              <w:pStyle w:val="SDMTableBoxParaNotNumbered"/>
            </w:pPr>
            <w:r w:rsidRPr="0022141D">
              <w:t>Quantity of electricity generated by the power plant in the activity scenario in year</w:t>
            </w:r>
            <w:r w:rsidRPr="0022141D">
              <w:rPr>
                <w:i/>
              </w:rPr>
              <w:t xml:space="preserve"> y </w:t>
            </w:r>
            <w:r w:rsidRPr="0022141D">
              <w:t>(MWh/year)</w:t>
            </w:r>
          </w:p>
        </w:tc>
      </w:tr>
      <w:tr w:rsidR="004334D2" w:rsidRPr="0022141D" w14:paraId="1E3ABC5C" w14:textId="77777777" w:rsidTr="007E5A9B">
        <w:tc>
          <w:tcPr>
            <w:tcW w:w="1701" w:type="dxa"/>
            <w:vAlign w:val="top"/>
          </w:tcPr>
          <w:p w14:paraId="2BC3047E" w14:textId="77777777" w:rsidR="004334D2" w:rsidRPr="0022141D"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grid,y</m:t>
                    </m:r>
                  </m:sub>
                </m:sSub>
              </m:oMath>
            </m:oMathPara>
          </w:p>
        </w:tc>
        <w:tc>
          <w:tcPr>
            <w:tcW w:w="345" w:type="dxa"/>
            <w:vAlign w:val="top"/>
          </w:tcPr>
          <w:p w14:paraId="7390324F" w14:textId="77777777" w:rsidR="004334D2" w:rsidRPr="0022141D" w:rsidRDefault="004334D2" w:rsidP="00081FD4">
            <w:pPr>
              <w:pStyle w:val="SDMTableBoxParaNotNumbered"/>
            </w:pPr>
            <w:r w:rsidRPr="0022141D">
              <w:t>=</w:t>
            </w:r>
          </w:p>
        </w:tc>
        <w:tc>
          <w:tcPr>
            <w:tcW w:w="0" w:type="auto"/>
            <w:vAlign w:val="top"/>
          </w:tcPr>
          <w:p w14:paraId="7DE6E70C" w14:textId="77777777" w:rsidR="004334D2" w:rsidRPr="0022141D" w:rsidRDefault="004334D2" w:rsidP="00081FD4">
            <w:pPr>
              <w:pStyle w:val="SDMTableBoxParaNotNumbered"/>
            </w:pPr>
            <w:r w:rsidRPr="0022141D">
              <w:t>Emission factor of the electric grid in year</w:t>
            </w:r>
            <w:r w:rsidRPr="0022141D">
              <w:rPr>
                <w:i/>
              </w:rPr>
              <w:t xml:space="preserve"> y </w:t>
            </w:r>
            <w:r w:rsidRPr="0022141D">
              <w:t>(tCO</w:t>
            </w:r>
            <w:r w:rsidRPr="0022141D">
              <w:rPr>
                <w:vertAlign w:val="subscript"/>
              </w:rPr>
              <w:t>2</w:t>
            </w:r>
            <w:r w:rsidRPr="0022141D">
              <w:t>/MWh)</w:t>
            </w:r>
          </w:p>
        </w:tc>
      </w:tr>
    </w:tbl>
    <w:p w14:paraId="4E58D8C8" w14:textId="78C76A8A" w:rsidR="004334D2" w:rsidRPr="0022141D" w:rsidRDefault="004334D2" w:rsidP="00DA05CE">
      <w:pPr>
        <w:pStyle w:val="SDMPara"/>
        <w:keepNext/>
        <w:rPr>
          <w:iCs/>
        </w:rPr>
      </w:pPr>
      <w:r w:rsidRPr="0022141D">
        <w:rPr>
          <w:iCs/>
        </w:rPr>
        <w:t xml:space="preserve">Apply one of the following default values for </w:t>
      </w:r>
      <w:r w:rsidRPr="0022141D">
        <w:rPr>
          <w:i/>
        </w:rPr>
        <w:t>EF</w:t>
      </w:r>
      <w:r w:rsidRPr="0022141D">
        <w:rPr>
          <w:i/>
          <w:vertAlign w:val="subscript"/>
        </w:rPr>
        <w:t>grid</w:t>
      </w:r>
      <w:r w:rsidRPr="009C7C3B">
        <w:rPr>
          <w:i/>
          <w:vertAlign w:val="subscript"/>
        </w:rPr>
        <w:t>,y</w:t>
      </w:r>
      <w:r w:rsidRPr="009C7C3B">
        <w:rPr>
          <w:iCs/>
        </w:rPr>
        <w:t>:</w:t>
      </w:r>
      <w:r w:rsidR="00BD7A5F" w:rsidRPr="009C7C3B">
        <w:rPr>
          <w:rStyle w:val="FootnoteReference"/>
          <w:iCs/>
        </w:rPr>
        <w:t xml:space="preserve"> </w:t>
      </w:r>
      <w:r w:rsidR="00BD7A5F" w:rsidRPr="009C7C3B">
        <w:rPr>
          <w:rStyle w:val="FootnoteReference"/>
          <w:iCs/>
        </w:rPr>
        <w:footnoteReference w:id="14"/>
      </w:r>
    </w:p>
    <w:p w14:paraId="418155CF" w14:textId="347FDF4F" w:rsidR="004334D2" w:rsidRPr="0022141D" w:rsidRDefault="004334D2" w:rsidP="00E66E80">
      <w:pPr>
        <w:pStyle w:val="SDMSubPara1"/>
      </w:pPr>
      <w:r w:rsidRPr="0022141D">
        <w:t>0.2 tCO</w:t>
      </w:r>
      <w:r w:rsidRPr="0022141D">
        <w:rPr>
          <w:vertAlign w:val="subscript"/>
        </w:rPr>
        <w:t>2</w:t>
      </w:r>
      <w:r w:rsidRPr="0022141D">
        <w:t>/MWh for electricity supplied to the electric grid where the proportion of renewable energy (including solar and wind) and nuclear energy in the annual electricity generation in the electric grid is 33</w:t>
      </w:r>
      <w:r w:rsidR="001963A8">
        <w:t xml:space="preserve"> per cent</w:t>
      </w:r>
      <w:r w:rsidRPr="0022141D">
        <w:t xml:space="preserve"> or less for the latest year which data is available;</w:t>
      </w:r>
    </w:p>
    <w:p w14:paraId="19C5C848" w14:textId="0A402859" w:rsidR="004334D2" w:rsidRPr="0022141D" w:rsidRDefault="004334D2" w:rsidP="00E66E80">
      <w:pPr>
        <w:pStyle w:val="SDMSubPara1"/>
      </w:pPr>
      <w:r w:rsidRPr="0022141D">
        <w:t>0.1 tCO</w:t>
      </w:r>
      <w:r w:rsidRPr="0022141D">
        <w:rPr>
          <w:vertAlign w:val="subscript"/>
        </w:rPr>
        <w:t>2</w:t>
      </w:r>
      <w:r w:rsidRPr="0022141D">
        <w:t>/MWh for electricity supplied to the electric grid where the proportion of renewable energy (including solar and wind) and nuclear energy in the annual electricity generation in the electric grid exceeds 33</w:t>
      </w:r>
      <w:r w:rsidR="001963A8">
        <w:t xml:space="preserve"> per cent</w:t>
      </w:r>
      <w:r w:rsidRPr="0022141D">
        <w:t xml:space="preserve"> but is less than 67</w:t>
      </w:r>
      <w:r w:rsidR="001963A8">
        <w:t xml:space="preserve"> per cent</w:t>
      </w:r>
      <w:r w:rsidRPr="0022141D">
        <w:t xml:space="preserve"> for the latest year which data is available;</w:t>
      </w:r>
    </w:p>
    <w:p w14:paraId="53A14314" w14:textId="6B749A6F" w:rsidR="004334D2" w:rsidRPr="0022141D" w:rsidRDefault="004334D2" w:rsidP="00E66E80">
      <w:pPr>
        <w:pStyle w:val="SDMSubPara1"/>
      </w:pPr>
      <w:r w:rsidRPr="0022141D">
        <w:t>0.03 CO</w:t>
      </w:r>
      <w:r w:rsidRPr="004B6E23">
        <w:rPr>
          <w:vertAlign w:val="subscript"/>
        </w:rPr>
        <w:t>2</w:t>
      </w:r>
      <w:r w:rsidRPr="0022141D">
        <w:t>/MWh for electricity supplied to the electric grid where the proportion of renewable energy (including solar and wind) and nuclear energy in the annual electricity generation in the electric grid exceeds 67</w:t>
      </w:r>
      <w:r w:rsidR="001963A8">
        <w:t xml:space="preserve"> per cent</w:t>
      </w:r>
      <w:r w:rsidRPr="0022141D">
        <w:t xml:space="preserve"> for the latest year which data is available, or where its proportion is uncertain.</w:t>
      </w:r>
    </w:p>
    <w:p w14:paraId="6C9736B2" w14:textId="77777777" w:rsidR="004334D2" w:rsidRDefault="004334D2" w:rsidP="00E66E80">
      <w:pPr>
        <w:pStyle w:val="SDMHead5"/>
      </w:pPr>
      <w:r>
        <w:t>Electricity generation replacing electricity generated in an existing captive fossil fuel fired power plant</w:t>
      </w:r>
    </w:p>
    <w:p w14:paraId="001A421B" w14:textId="6F810831" w:rsidR="004334D2" w:rsidRPr="00E64883" w:rsidRDefault="004334D2" w:rsidP="00DA05CE">
      <w:pPr>
        <w:pStyle w:val="SDMPara"/>
        <w:keepNext/>
      </w:pPr>
      <w:r w:rsidRPr="00E64883">
        <w:t>Baseline emissions from electricity generation replacing electricity generated in an existing captive fossil fuel fired power plant are calculated as follows:</w:t>
      </w:r>
    </w:p>
    <w:tbl>
      <w:tblPr>
        <w:tblStyle w:val="SDMMethTableEquation"/>
        <w:tblW w:w="8760" w:type="dxa"/>
        <w:tblLook w:val="0600" w:firstRow="0" w:lastRow="0" w:firstColumn="0" w:lastColumn="0" w:noHBand="1" w:noVBand="1"/>
      </w:tblPr>
      <w:tblGrid>
        <w:gridCol w:w="7098"/>
        <w:gridCol w:w="1662"/>
      </w:tblGrid>
      <w:tr w:rsidR="004334D2" w:rsidRPr="00E64883" w14:paraId="58D45C5F" w14:textId="77777777" w:rsidTr="007E5A9B">
        <w:tc>
          <w:tcPr>
            <w:tcW w:w="7224" w:type="dxa"/>
          </w:tcPr>
          <w:p w14:paraId="0A66A79B" w14:textId="7D51C77C" w:rsidR="004334D2" w:rsidRPr="00E64883"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EG,y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EG,captive-existing,y</m:t>
                    </m:r>
                  </m:sub>
                </m:sSub>
                <m:r>
                  <w:rPr>
                    <w:rFonts w:ascii="Cambria Math" w:hAnsi="Cambria Math"/>
                  </w:rPr>
                  <m:t>=</m:t>
                </m:r>
                <m:sSub>
                  <m:sSubPr>
                    <m:ctrlPr>
                      <w:rPr>
                        <w:rFonts w:ascii="Cambria Math" w:hAnsi="Cambria Math"/>
                        <w:i/>
                      </w:rPr>
                    </m:ctrlPr>
                  </m:sSubPr>
                  <m:e>
                    <m:r>
                      <w:rPr>
                        <w:rFonts w:ascii="Cambria Math" w:hAnsi="Cambria Math"/>
                      </w:rPr>
                      <m:t>EG</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captive,y</m:t>
                    </m:r>
                  </m:sub>
                </m:sSub>
              </m:oMath>
            </m:oMathPara>
          </w:p>
        </w:tc>
        <w:tc>
          <w:tcPr>
            <w:tcW w:w="1701" w:type="dxa"/>
          </w:tcPr>
          <w:p w14:paraId="1F3895B7" w14:textId="77777777" w:rsidR="004334D2" w:rsidRPr="00E64883" w:rsidRDefault="004334D2" w:rsidP="00247E9F">
            <w:pPr>
              <w:pStyle w:val="SDMMethEquationNr"/>
              <w:numPr>
                <w:ilvl w:val="0"/>
                <w:numId w:val="4"/>
              </w:numPr>
            </w:pPr>
          </w:p>
        </w:tc>
      </w:tr>
    </w:tbl>
    <w:p w14:paraId="65E87D5E" w14:textId="77777777" w:rsidR="004334D2" w:rsidRPr="00E64883" w:rsidRDefault="004334D2" w:rsidP="00DA05CE">
      <w:pPr>
        <w:pStyle w:val="SDMMethCaptionEquationParametersTable"/>
      </w:pPr>
      <w:r w:rsidRPr="00E64883">
        <w:t>Where:</w:t>
      </w:r>
    </w:p>
    <w:tbl>
      <w:tblPr>
        <w:tblStyle w:val="SDMMethTableEquationParameters"/>
        <w:tblW w:w="8760" w:type="dxa"/>
        <w:tblLook w:val="04A0" w:firstRow="1" w:lastRow="0" w:firstColumn="1" w:lastColumn="0" w:noHBand="0" w:noVBand="1"/>
      </w:tblPr>
      <w:tblGrid>
        <w:gridCol w:w="2002"/>
        <w:gridCol w:w="345"/>
        <w:gridCol w:w="6413"/>
      </w:tblGrid>
      <w:tr w:rsidR="008269A7" w:rsidRPr="00E64883" w14:paraId="49B121D2" w14:textId="77777777" w:rsidTr="007E5A9B">
        <w:tc>
          <w:tcPr>
            <w:tcW w:w="2002" w:type="dxa"/>
            <w:vAlign w:val="top"/>
          </w:tcPr>
          <w:p w14:paraId="67CE74A2" w14:textId="69F91901" w:rsidR="008269A7" w:rsidRPr="008269A7"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EG,y</m:t>
                    </m:r>
                  </m:sub>
                </m:sSub>
              </m:oMath>
            </m:oMathPara>
          </w:p>
        </w:tc>
        <w:tc>
          <w:tcPr>
            <w:tcW w:w="345" w:type="dxa"/>
            <w:vAlign w:val="top"/>
          </w:tcPr>
          <w:p w14:paraId="765D51BA" w14:textId="0C498174" w:rsidR="008269A7" w:rsidRPr="00E64883" w:rsidRDefault="008269A7" w:rsidP="00081FD4">
            <w:pPr>
              <w:pStyle w:val="SDMTableBoxParaNotNumbered"/>
            </w:pPr>
            <w:r>
              <w:t>=</w:t>
            </w:r>
          </w:p>
        </w:tc>
        <w:tc>
          <w:tcPr>
            <w:tcW w:w="0" w:type="auto"/>
            <w:vAlign w:val="top"/>
          </w:tcPr>
          <w:p w14:paraId="75153578" w14:textId="03929637" w:rsidR="008269A7" w:rsidRPr="008269A7" w:rsidRDefault="008269A7" w:rsidP="00081FD4">
            <w:pPr>
              <w:pStyle w:val="SDMTableBoxParaNotNumbered"/>
            </w:pPr>
            <w:r>
              <w:t>Baseline emissions from electricity generation in year</w:t>
            </w:r>
            <w:r w:rsidR="003C2DCC">
              <w:t> </w:t>
            </w:r>
            <w:r>
              <w:rPr>
                <w:i/>
                <w:iCs/>
              </w:rPr>
              <w:t>y</w:t>
            </w:r>
            <w:r>
              <w:t xml:space="preserve"> </w:t>
            </w:r>
            <w:r w:rsidRPr="00E64883">
              <w:t>(t CO</w:t>
            </w:r>
            <w:r w:rsidRPr="00E64883">
              <w:rPr>
                <w:vertAlign w:val="subscript"/>
              </w:rPr>
              <w:t>2</w:t>
            </w:r>
            <w:r w:rsidRPr="00E64883">
              <w:t>/year)</w:t>
            </w:r>
          </w:p>
        </w:tc>
      </w:tr>
      <w:tr w:rsidR="004334D2" w:rsidRPr="00E64883" w14:paraId="50B7263D" w14:textId="77777777" w:rsidTr="007E5A9B">
        <w:tc>
          <w:tcPr>
            <w:tcW w:w="2002" w:type="dxa"/>
            <w:vAlign w:val="top"/>
          </w:tcPr>
          <w:p w14:paraId="231E6102" w14:textId="77777777" w:rsidR="004334D2" w:rsidRPr="00E64883" w:rsidRDefault="004334D2" w:rsidP="00081FD4">
            <w:pPr>
              <w:pStyle w:val="SDMTableBoxParaNotNumbered"/>
            </w:pPr>
            <m:oMathPara>
              <m:oMathParaPr>
                <m:jc m:val="left"/>
              </m:oMathParaPr>
              <m:oMath>
                <m:r>
                  <w:rPr>
                    <w:rFonts w:ascii="Cambria Math" w:hAnsi="Cambria Math"/>
                  </w:rPr>
                  <m:t>B</m:t>
                </m:r>
                <m:sSub>
                  <m:sSubPr>
                    <m:ctrlPr>
                      <w:rPr>
                        <w:rFonts w:ascii="Cambria Math" w:hAnsi="Cambria Math"/>
                        <w:i/>
                      </w:rPr>
                    </m:ctrlPr>
                  </m:sSubPr>
                  <m:e>
                    <m:r>
                      <w:rPr>
                        <w:rFonts w:ascii="Cambria Math" w:hAnsi="Cambria Math"/>
                      </w:rPr>
                      <m:t>E</m:t>
                    </m:r>
                  </m:e>
                  <m:sub>
                    <m:r>
                      <w:rPr>
                        <w:rFonts w:ascii="Cambria Math" w:hAnsi="Cambria Math"/>
                      </w:rPr>
                      <m:t>EG,captive-existing,y</m:t>
                    </m:r>
                  </m:sub>
                </m:sSub>
              </m:oMath>
            </m:oMathPara>
          </w:p>
        </w:tc>
        <w:tc>
          <w:tcPr>
            <w:tcW w:w="345" w:type="dxa"/>
            <w:vAlign w:val="top"/>
          </w:tcPr>
          <w:p w14:paraId="5F7C45BE" w14:textId="77777777" w:rsidR="004334D2" w:rsidRPr="00E64883" w:rsidRDefault="004334D2" w:rsidP="00081FD4">
            <w:pPr>
              <w:pStyle w:val="SDMTableBoxParaNotNumbered"/>
            </w:pPr>
            <w:r w:rsidRPr="00E64883">
              <w:t>=</w:t>
            </w:r>
          </w:p>
        </w:tc>
        <w:tc>
          <w:tcPr>
            <w:tcW w:w="0" w:type="auto"/>
            <w:vAlign w:val="top"/>
          </w:tcPr>
          <w:p w14:paraId="3D8C76D2" w14:textId="455926FC" w:rsidR="004334D2" w:rsidRPr="00E64883" w:rsidRDefault="004334D2" w:rsidP="00081FD4">
            <w:pPr>
              <w:pStyle w:val="SDMTableBoxParaNotNumbered"/>
            </w:pPr>
            <w:r w:rsidRPr="00E64883">
              <w:t>Baseline emissions from electricity generated replacing electricity generated in an existing captive fossil fuel fired power plant in year</w:t>
            </w:r>
            <w:r w:rsidRPr="00E64883">
              <w:rPr>
                <w:i/>
              </w:rPr>
              <w:t xml:space="preserve"> y </w:t>
            </w:r>
            <w:r w:rsidRPr="00E64883">
              <w:t>(t CO</w:t>
            </w:r>
            <w:r w:rsidRPr="00E64883">
              <w:rPr>
                <w:vertAlign w:val="subscript"/>
              </w:rPr>
              <w:t>2</w:t>
            </w:r>
            <w:r w:rsidRPr="00E64883">
              <w:t>/year)</w:t>
            </w:r>
          </w:p>
        </w:tc>
      </w:tr>
      <w:tr w:rsidR="004334D2" w:rsidRPr="00E64883" w14:paraId="7BF0D3EE" w14:textId="77777777" w:rsidTr="007E5A9B">
        <w:tc>
          <w:tcPr>
            <w:tcW w:w="2002" w:type="dxa"/>
            <w:vAlign w:val="top"/>
          </w:tcPr>
          <w:p w14:paraId="1D42C4BC" w14:textId="77777777" w:rsidR="004334D2" w:rsidRPr="00E64883"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EG</m:t>
                    </m:r>
                  </m:e>
                  <m:sub>
                    <m:r>
                      <w:rPr>
                        <w:rFonts w:ascii="Cambria Math" w:hAnsi="Cambria Math"/>
                      </w:rPr>
                      <m:t>y</m:t>
                    </m:r>
                  </m:sub>
                </m:sSub>
              </m:oMath>
            </m:oMathPara>
          </w:p>
        </w:tc>
        <w:tc>
          <w:tcPr>
            <w:tcW w:w="345" w:type="dxa"/>
            <w:vAlign w:val="top"/>
          </w:tcPr>
          <w:p w14:paraId="25821A38" w14:textId="77777777" w:rsidR="004334D2" w:rsidRPr="00E64883" w:rsidRDefault="004334D2" w:rsidP="00081FD4">
            <w:pPr>
              <w:pStyle w:val="SDMTableBoxParaNotNumbered"/>
            </w:pPr>
            <w:r w:rsidRPr="00E64883">
              <w:t>=</w:t>
            </w:r>
          </w:p>
        </w:tc>
        <w:tc>
          <w:tcPr>
            <w:tcW w:w="0" w:type="auto"/>
            <w:vAlign w:val="top"/>
          </w:tcPr>
          <w:p w14:paraId="0B34997C" w14:textId="77777777" w:rsidR="004334D2" w:rsidRPr="00E64883" w:rsidRDefault="004334D2" w:rsidP="00081FD4">
            <w:pPr>
              <w:pStyle w:val="SDMTableBoxParaNotNumbered"/>
            </w:pPr>
            <w:r w:rsidRPr="00E64883">
              <w:t>Electricity generated by the power plant in the activity scenario in year</w:t>
            </w:r>
            <w:r w:rsidRPr="00E64883">
              <w:rPr>
                <w:i/>
              </w:rPr>
              <w:t xml:space="preserve"> y </w:t>
            </w:r>
            <w:r w:rsidRPr="00E64883">
              <w:t>(MWh/year)</w:t>
            </w:r>
          </w:p>
        </w:tc>
      </w:tr>
      <w:tr w:rsidR="004334D2" w:rsidRPr="00E64883" w14:paraId="48FB37A5" w14:textId="77777777" w:rsidTr="007E5A9B">
        <w:tc>
          <w:tcPr>
            <w:tcW w:w="2002" w:type="dxa"/>
            <w:vAlign w:val="top"/>
          </w:tcPr>
          <w:p w14:paraId="60FF3FE7" w14:textId="77777777" w:rsidR="004334D2" w:rsidRPr="00E64883"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captive,y</m:t>
                    </m:r>
                  </m:sub>
                </m:sSub>
              </m:oMath>
            </m:oMathPara>
          </w:p>
        </w:tc>
        <w:tc>
          <w:tcPr>
            <w:tcW w:w="345" w:type="dxa"/>
            <w:vAlign w:val="top"/>
          </w:tcPr>
          <w:p w14:paraId="3B43773B" w14:textId="77777777" w:rsidR="004334D2" w:rsidRPr="00E64883" w:rsidRDefault="004334D2" w:rsidP="00081FD4">
            <w:pPr>
              <w:pStyle w:val="SDMTableBoxParaNotNumbered"/>
            </w:pPr>
            <w:r w:rsidRPr="00E64883">
              <w:t>=</w:t>
            </w:r>
          </w:p>
        </w:tc>
        <w:tc>
          <w:tcPr>
            <w:tcW w:w="0" w:type="auto"/>
            <w:vAlign w:val="top"/>
          </w:tcPr>
          <w:p w14:paraId="2641E502" w14:textId="77777777" w:rsidR="004334D2" w:rsidRPr="00E64883" w:rsidRDefault="004334D2" w:rsidP="00081FD4">
            <w:pPr>
              <w:pStyle w:val="SDMTableBoxParaNotNumbered"/>
            </w:pPr>
            <w:r w:rsidRPr="00E64883">
              <w:t>Emission factor of the replaced captive fossil fuel fired power plant in year y (MWh/year)</w:t>
            </w:r>
          </w:p>
        </w:tc>
      </w:tr>
    </w:tbl>
    <w:p w14:paraId="68929E70" w14:textId="2D7D07C6" w:rsidR="004334D2" w:rsidRPr="00E64883" w:rsidRDefault="004334D2" w:rsidP="00E66E80">
      <w:pPr>
        <w:pStyle w:val="SDMPara"/>
        <w:keepNext/>
        <w:rPr>
          <w:iCs/>
        </w:rPr>
      </w:pPr>
      <w:r w:rsidRPr="00E64883">
        <w:rPr>
          <w:iCs/>
        </w:rPr>
        <w:t>Apply a default value equal to 0.3 tCO</w:t>
      </w:r>
      <w:r w:rsidRPr="00E64883">
        <w:rPr>
          <w:iCs/>
          <w:vertAlign w:val="subscript"/>
        </w:rPr>
        <w:t>2</w:t>
      </w:r>
      <w:r w:rsidRPr="00E64883">
        <w:rPr>
          <w:iCs/>
        </w:rPr>
        <w:t xml:space="preserve">/MWh for </w:t>
      </w:r>
      <w:r w:rsidRPr="00E64883">
        <w:rPr>
          <w:i/>
        </w:rPr>
        <w:t>EF</w:t>
      </w:r>
      <w:r w:rsidRPr="00E64883">
        <w:rPr>
          <w:i/>
          <w:vertAlign w:val="subscript"/>
        </w:rPr>
        <w:t>captive,y</w:t>
      </w:r>
      <w:r w:rsidRPr="00E64883">
        <w:rPr>
          <w:iCs/>
        </w:rPr>
        <w:t>.</w:t>
      </w:r>
    </w:p>
    <w:p w14:paraId="5BD5254C" w14:textId="77777777" w:rsidR="004334D2" w:rsidRDefault="004334D2" w:rsidP="00E66E80">
      <w:pPr>
        <w:pStyle w:val="SDMHead5"/>
      </w:pPr>
      <w:r>
        <w:t>Electricity generation replacing electricity generated in a new captive fossil fuel fired power plant</w:t>
      </w:r>
    </w:p>
    <w:p w14:paraId="1B04C30E" w14:textId="1E552114" w:rsidR="004334D2" w:rsidRDefault="004334D2" w:rsidP="00DA05CE">
      <w:pPr>
        <w:pStyle w:val="SDMPara"/>
        <w:keepNext/>
      </w:pPr>
      <w:r>
        <w:t>B</w:t>
      </w:r>
      <w:r w:rsidRPr="007D447E">
        <w:t xml:space="preserve">aseline emissions from </w:t>
      </w:r>
      <w:r>
        <w:t xml:space="preserve">electricity </w:t>
      </w:r>
      <w:r w:rsidRPr="007D447E">
        <w:t xml:space="preserve">generation </w:t>
      </w:r>
      <w:r w:rsidRPr="00EF6B38">
        <w:t xml:space="preserve">replacing electricity generated in </w:t>
      </w:r>
      <w:r>
        <w:t>a new c</w:t>
      </w:r>
      <w:r w:rsidRPr="00EF6B38">
        <w:t xml:space="preserve">aptive fossil fuel fired power plant </w:t>
      </w:r>
      <w:r w:rsidRPr="007D447E">
        <w:t xml:space="preserve">are calculated </w:t>
      </w:r>
      <w:r>
        <w:t>as follows:</w:t>
      </w:r>
    </w:p>
    <w:tbl>
      <w:tblPr>
        <w:tblStyle w:val="SDMMethTableEquation"/>
        <w:tblW w:w="8760" w:type="dxa"/>
        <w:tblLook w:val="0600" w:firstRow="0" w:lastRow="0" w:firstColumn="0" w:lastColumn="0" w:noHBand="1" w:noVBand="1"/>
      </w:tblPr>
      <w:tblGrid>
        <w:gridCol w:w="7096"/>
        <w:gridCol w:w="1664"/>
      </w:tblGrid>
      <w:tr w:rsidR="004334D2" w:rsidRPr="00E32F75" w14:paraId="3D51A39C" w14:textId="77777777" w:rsidTr="007E5A9B">
        <w:tc>
          <w:tcPr>
            <w:tcW w:w="7224" w:type="dxa"/>
          </w:tcPr>
          <w:p w14:paraId="20BBBFE3" w14:textId="14C86553"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EG,y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EG,captive-new,y</m:t>
                    </m:r>
                  </m:sub>
                </m:sSub>
                <m:r>
                  <w:rPr>
                    <w:rFonts w:ascii="Cambria Math" w:hAnsi="Cambria Math"/>
                  </w:rPr>
                  <m:t>=</m:t>
                </m:r>
                <m:sSub>
                  <m:sSubPr>
                    <m:ctrlPr>
                      <w:rPr>
                        <w:rFonts w:ascii="Cambria Math" w:hAnsi="Cambria Math"/>
                        <w:i/>
                      </w:rPr>
                    </m:ctrlPr>
                  </m:sSubPr>
                  <m:e>
                    <m:r>
                      <w:rPr>
                        <w:rFonts w:ascii="Cambria Math" w:hAnsi="Cambria Math"/>
                      </w:rPr>
                      <m:t>EG</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CO2,EG,BAT</m:t>
                    </m:r>
                  </m:sub>
                </m:sSub>
              </m:oMath>
            </m:oMathPara>
          </w:p>
        </w:tc>
        <w:tc>
          <w:tcPr>
            <w:tcW w:w="1701" w:type="dxa"/>
          </w:tcPr>
          <w:p w14:paraId="5DBD2C19" w14:textId="77777777" w:rsidR="004334D2" w:rsidRPr="002B6960" w:rsidRDefault="004334D2" w:rsidP="00247E9F">
            <w:pPr>
              <w:pStyle w:val="SDMMethEquationNr"/>
              <w:numPr>
                <w:ilvl w:val="0"/>
                <w:numId w:val="4"/>
              </w:numPr>
            </w:pPr>
          </w:p>
        </w:tc>
      </w:tr>
    </w:tbl>
    <w:p w14:paraId="7FFE5A0E"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10"/>
        <w:gridCol w:w="345"/>
        <w:gridCol w:w="6705"/>
      </w:tblGrid>
      <w:tr w:rsidR="008269A7" w14:paraId="4E729A05" w14:textId="77777777" w:rsidTr="007E5A9B">
        <w:tc>
          <w:tcPr>
            <w:tcW w:w="1710" w:type="dxa"/>
            <w:vAlign w:val="top"/>
          </w:tcPr>
          <w:p w14:paraId="4A10A78C" w14:textId="478BF0E9" w:rsidR="008269A7" w:rsidRPr="008269A7"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EG,y</m:t>
                    </m:r>
                  </m:sub>
                </m:sSub>
              </m:oMath>
            </m:oMathPara>
          </w:p>
        </w:tc>
        <w:tc>
          <w:tcPr>
            <w:tcW w:w="345" w:type="dxa"/>
            <w:vAlign w:val="top"/>
          </w:tcPr>
          <w:p w14:paraId="7BF87C06" w14:textId="5EA5F202" w:rsidR="008269A7" w:rsidRPr="000C5FD6" w:rsidRDefault="008269A7" w:rsidP="00081FD4">
            <w:pPr>
              <w:pStyle w:val="SDMTableBoxParaNotNumbered"/>
            </w:pPr>
            <w:r>
              <w:t>=</w:t>
            </w:r>
          </w:p>
        </w:tc>
        <w:tc>
          <w:tcPr>
            <w:tcW w:w="0" w:type="auto"/>
            <w:vAlign w:val="top"/>
          </w:tcPr>
          <w:p w14:paraId="06BAFC6D" w14:textId="7EF6BCEC" w:rsidR="008269A7" w:rsidRPr="007F050F" w:rsidRDefault="008269A7" w:rsidP="00081FD4">
            <w:pPr>
              <w:pStyle w:val="SDMTableBoxParaNotNumbered"/>
            </w:pPr>
            <w:r>
              <w:t>Baseline emissions from electricity generation in year</w:t>
            </w:r>
            <w:r w:rsidR="003C2DCC">
              <w:t> </w:t>
            </w:r>
            <w:r>
              <w:rPr>
                <w:i/>
                <w:iCs/>
              </w:rPr>
              <w:t>y</w:t>
            </w:r>
            <w:r>
              <w:t xml:space="preserve"> </w:t>
            </w:r>
            <w:r w:rsidRPr="00E64883">
              <w:t>(t CO</w:t>
            </w:r>
            <w:r w:rsidRPr="00E64883">
              <w:rPr>
                <w:vertAlign w:val="subscript"/>
              </w:rPr>
              <w:t>2</w:t>
            </w:r>
            <w:r w:rsidRPr="00E64883">
              <w:t>/year)</w:t>
            </w:r>
            <w:r>
              <w:t xml:space="preserve"> </w:t>
            </w:r>
          </w:p>
        </w:tc>
      </w:tr>
      <w:tr w:rsidR="008269A7" w14:paraId="0C39C70C" w14:textId="77777777" w:rsidTr="007E5A9B">
        <w:tc>
          <w:tcPr>
            <w:tcW w:w="1710" w:type="dxa"/>
            <w:vAlign w:val="top"/>
          </w:tcPr>
          <w:p w14:paraId="5BD1C8BD" w14:textId="77777777" w:rsidR="008269A7" w:rsidRPr="00DA37A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EG, captive-new,y</m:t>
                    </m:r>
                  </m:sub>
                </m:sSub>
              </m:oMath>
            </m:oMathPara>
          </w:p>
        </w:tc>
        <w:tc>
          <w:tcPr>
            <w:tcW w:w="345" w:type="dxa"/>
            <w:vAlign w:val="top"/>
          </w:tcPr>
          <w:p w14:paraId="1A0EEC08" w14:textId="77777777" w:rsidR="008269A7" w:rsidRDefault="008269A7" w:rsidP="00081FD4">
            <w:pPr>
              <w:pStyle w:val="SDMTableBoxParaNotNumbered"/>
            </w:pPr>
            <w:r w:rsidRPr="000C5FD6">
              <w:t>=</w:t>
            </w:r>
          </w:p>
        </w:tc>
        <w:tc>
          <w:tcPr>
            <w:tcW w:w="0" w:type="auto"/>
            <w:vAlign w:val="top"/>
          </w:tcPr>
          <w:p w14:paraId="49819B90" w14:textId="6ED850A2" w:rsidR="008269A7" w:rsidRDefault="008269A7" w:rsidP="00081FD4">
            <w:pPr>
              <w:pStyle w:val="SDMTableBoxParaNotNumbered"/>
            </w:pPr>
            <w:r w:rsidRPr="007F050F">
              <w:t>Baseline emissions from electricity generated replacing electricity generated in a new captive fossil fuel fired power plant</w:t>
            </w:r>
            <w:r>
              <w:t xml:space="preserve"> i</w:t>
            </w:r>
            <w:r w:rsidRPr="007F050F">
              <w:t>n year</w:t>
            </w:r>
            <w:r w:rsidRPr="007F050F">
              <w:rPr>
                <w:i/>
              </w:rPr>
              <w:t xml:space="preserve"> y </w:t>
            </w:r>
            <w:r w:rsidRPr="007F050F">
              <w:t>(tCO</w:t>
            </w:r>
            <w:r w:rsidRPr="007F050F">
              <w:rPr>
                <w:vertAlign w:val="subscript"/>
              </w:rPr>
              <w:t>2</w:t>
            </w:r>
            <w:r w:rsidRPr="007F050F">
              <w:t>/year)</w:t>
            </w:r>
          </w:p>
        </w:tc>
      </w:tr>
      <w:tr w:rsidR="008269A7" w14:paraId="21E1793F" w14:textId="77777777" w:rsidTr="007E5A9B">
        <w:tc>
          <w:tcPr>
            <w:tcW w:w="1710" w:type="dxa"/>
          </w:tcPr>
          <w:p w14:paraId="1F95C1C5" w14:textId="77777777" w:rsidR="008269A7" w:rsidRPr="00DA37A6"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cs="Arial"/>
                        <w:sz w:val="22"/>
                        <w:szCs w:val="22"/>
                      </w:rPr>
                      <m:t>EG</m:t>
                    </m:r>
                  </m:e>
                  <m:sub>
                    <m:r>
                      <w:rPr>
                        <w:rFonts w:ascii="Cambria Math" w:hAnsi="Cambria Math"/>
                      </w:rPr>
                      <m:t>y</m:t>
                    </m:r>
                  </m:sub>
                </m:sSub>
              </m:oMath>
            </m:oMathPara>
          </w:p>
        </w:tc>
        <w:tc>
          <w:tcPr>
            <w:tcW w:w="345" w:type="dxa"/>
          </w:tcPr>
          <w:p w14:paraId="4F377510" w14:textId="77777777" w:rsidR="008269A7" w:rsidRDefault="008269A7" w:rsidP="00081FD4">
            <w:pPr>
              <w:pStyle w:val="SDMTableBoxParaNotNumbered"/>
            </w:pPr>
            <w:r>
              <w:t>=</w:t>
            </w:r>
          </w:p>
        </w:tc>
        <w:tc>
          <w:tcPr>
            <w:tcW w:w="0" w:type="auto"/>
          </w:tcPr>
          <w:p w14:paraId="1D92C021" w14:textId="77777777" w:rsidR="008269A7" w:rsidRDefault="008269A7" w:rsidP="00081FD4">
            <w:pPr>
              <w:pStyle w:val="SDMTableBoxParaNotNumbered"/>
            </w:pPr>
            <w:r w:rsidRPr="001A6322">
              <w:t>Electricity generated by the power plant in the activity scenario in year</w:t>
            </w:r>
            <w:r w:rsidRPr="001A6322">
              <w:rPr>
                <w:i/>
              </w:rPr>
              <w:t xml:space="preserve"> y </w:t>
            </w:r>
            <w:r w:rsidRPr="001A6322">
              <w:t>(MWh/year)</w:t>
            </w:r>
          </w:p>
        </w:tc>
      </w:tr>
      <w:tr w:rsidR="008269A7" w14:paraId="61691F43" w14:textId="77777777" w:rsidTr="007E5A9B">
        <w:tc>
          <w:tcPr>
            <w:tcW w:w="1710" w:type="dxa"/>
          </w:tcPr>
          <w:p w14:paraId="61F535C2" w14:textId="77777777" w:rsidR="008269A7" w:rsidRPr="002660BF"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EF</m:t>
                    </m:r>
                  </m:e>
                  <m:sub>
                    <m:r>
                      <w:rPr>
                        <w:rFonts w:ascii="Cambria Math" w:hAnsi="Cambria Math"/>
                      </w:rPr>
                      <m:t>CO2,EG,BAT</m:t>
                    </m:r>
                  </m:sub>
                </m:sSub>
              </m:oMath>
            </m:oMathPara>
          </w:p>
        </w:tc>
        <w:tc>
          <w:tcPr>
            <w:tcW w:w="345" w:type="dxa"/>
          </w:tcPr>
          <w:p w14:paraId="171C4572" w14:textId="77777777" w:rsidR="008269A7" w:rsidRDefault="008269A7" w:rsidP="00081FD4">
            <w:pPr>
              <w:pStyle w:val="SDMTableBoxParaNotNumbered"/>
            </w:pPr>
            <w:r>
              <w:t>=</w:t>
            </w:r>
          </w:p>
        </w:tc>
        <w:tc>
          <w:tcPr>
            <w:tcW w:w="0" w:type="auto"/>
            <w:vAlign w:val="top"/>
          </w:tcPr>
          <w:p w14:paraId="32A0E475" w14:textId="0F1A644E" w:rsidR="008269A7" w:rsidRDefault="008269A7" w:rsidP="00081FD4">
            <w:pPr>
              <w:pStyle w:val="SDMTableBoxParaNotNumbered"/>
            </w:pPr>
            <w:r>
              <w:t>CO</w:t>
            </w:r>
            <w:r w:rsidRPr="005F2718">
              <w:rPr>
                <w:vertAlign w:val="subscript"/>
              </w:rPr>
              <w:t>2</w:t>
            </w:r>
            <w:r>
              <w:t xml:space="preserve"> emissions intensity of the best-available technology (tCO</w:t>
            </w:r>
            <w:r w:rsidRPr="001A6322">
              <w:rPr>
                <w:vertAlign w:val="subscript"/>
              </w:rPr>
              <w:t>2</w:t>
            </w:r>
            <w:r>
              <w:t xml:space="preserve">e/MWh) identified in section </w:t>
            </w:r>
            <w:r>
              <w:fldChar w:fldCharType="begin"/>
            </w:r>
            <w:r>
              <w:instrText xml:space="preserve"> REF _Ref207404259 \w \p \h </w:instrText>
            </w:r>
            <w:r w:rsidR="00081FD4">
              <w:instrText xml:space="preserve"> \* MERGEFORMAT </w:instrText>
            </w:r>
            <w:r>
              <w:fldChar w:fldCharType="separate"/>
            </w:r>
            <w:r w:rsidR="00302468">
              <w:rPr>
                <w:cs/>
              </w:rPr>
              <w:t>‎</w:t>
            </w:r>
            <w:r w:rsidR="00302468">
              <w:t>7.3.1.3 above</w:t>
            </w:r>
            <w:r>
              <w:fldChar w:fldCharType="end"/>
            </w:r>
          </w:p>
        </w:tc>
      </w:tr>
    </w:tbl>
    <w:p w14:paraId="18E1477A" w14:textId="66EE752A" w:rsidR="004334D2" w:rsidRPr="000C5FD6" w:rsidRDefault="004334D2" w:rsidP="00E66E80">
      <w:pPr>
        <w:pStyle w:val="SDMHead4"/>
      </w:pPr>
      <w:bookmarkStart w:id="262" w:name="_Toc430009256"/>
      <w:bookmarkStart w:id="263" w:name="_Toc478726893"/>
      <w:bookmarkStart w:id="264" w:name="_Toc478995711"/>
      <w:bookmarkStart w:id="265" w:name="_Toc2875274"/>
      <w:bookmarkStart w:id="266" w:name="_Ref207380852"/>
      <w:bookmarkStart w:id="267" w:name="_Ref209698906"/>
      <w:r w:rsidRPr="000C5FD6">
        <w:t>Baseline emissions associated with heat generation (</w:t>
      </w:r>
      <w:r w:rsidRPr="000C5FD6">
        <w:rPr>
          <w:i/>
        </w:rPr>
        <w:t>BE</w:t>
      </w:r>
      <w:r w:rsidRPr="000C5FD6">
        <w:rPr>
          <w:i/>
          <w:vertAlign w:val="subscript"/>
        </w:rPr>
        <w:t>HG,y</w:t>
      </w:r>
      <w:r w:rsidRPr="000C5FD6">
        <w:t>)</w:t>
      </w:r>
      <w:bookmarkEnd w:id="262"/>
      <w:bookmarkEnd w:id="263"/>
      <w:bookmarkEnd w:id="264"/>
      <w:bookmarkEnd w:id="265"/>
      <w:bookmarkEnd w:id="266"/>
      <w:bookmarkEnd w:id="267"/>
    </w:p>
    <w:p w14:paraId="157FC9A5" w14:textId="309FF74B" w:rsidR="004334D2" w:rsidRDefault="004334D2" w:rsidP="00E66E80">
      <w:pPr>
        <w:pStyle w:val="SDMHead5"/>
      </w:pPr>
      <w:r>
        <w:t>Heat generation replacing heat generated in an existing equipment</w:t>
      </w:r>
    </w:p>
    <w:p w14:paraId="62678CDD" w14:textId="1B79ED90" w:rsidR="004334D2" w:rsidRPr="000C5FD6" w:rsidRDefault="004334D2" w:rsidP="00DA05CE">
      <w:pPr>
        <w:pStyle w:val="SDMPara"/>
        <w:keepNext/>
      </w:pPr>
      <w:r w:rsidRPr="000C5FD6">
        <w:t xml:space="preserve">The baseline emissions associated with </w:t>
      </w:r>
      <w:r>
        <w:t>replacing heat generated in an equipment</w:t>
      </w:r>
      <w:r w:rsidRPr="000C5FD6">
        <w:t xml:space="preserve"> in year </w:t>
      </w:r>
      <w:r w:rsidRPr="000C5FD6">
        <w:rPr>
          <w:i/>
        </w:rPr>
        <w:t>y</w:t>
      </w:r>
      <w:r w:rsidRPr="000C5FD6">
        <w:rPr>
          <w:iCs/>
        </w:rPr>
        <w:t xml:space="preserve"> (</w:t>
      </w:r>
      <w:r w:rsidRPr="000C5FD6">
        <w:rPr>
          <w:i/>
          <w:iCs/>
        </w:rPr>
        <w:t>BE</w:t>
      </w:r>
      <w:r w:rsidRPr="000C5FD6">
        <w:rPr>
          <w:i/>
          <w:iCs/>
          <w:vertAlign w:val="subscript"/>
        </w:rPr>
        <w:t>HG,y</w:t>
      </w:r>
      <w:r w:rsidRPr="000C5FD6">
        <w:rPr>
          <w:iCs/>
        </w:rPr>
        <w:t>)</w:t>
      </w:r>
      <w:r w:rsidRPr="000C5FD6">
        <w:t xml:space="preserve"> are determined based on the amount of methane in the LFG</w:t>
      </w:r>
      <w:r>
        <w:t xml:space="preserve"> or the biomethane</w:t>
      </w:r>
      <w:r w:rsidRPr="000C5FD6">
        <w:t xml:space="preserve"> which is sent to the heat generation equipment in the </w:t>
      </w:r>
      <w:r>
        <w:t xml:space="preserve">Article 6.4 </w:t>
      </w:r>
      <w:r w:rsidRPr="000C5FD6">
        <w:t>activity (boiler, air heater, glass melting furnace(s) and/or kiln), as follows:</w:t>
      </w:r>
    </w:p>
    <w:tbl>
      <w:tblPr>
        <w:tblStyle w:val="SDMMethTableEquation"/>
        <w:tblW w:w="8760" w:type="dxa"/>
        <w:tblLook w:val="0600" w:firstRow="0" w:lastRow="0" w:firstColumn="0" w:lastColumn="0" w:noHBand="1" w:noVBand="1"/>
      </w:tblPr>
      <w:tblGrid>
        <w:gridCol w:w="7096"/>
        <w:gridCol w:w="1664"/>
      </w:tblGrid>
      <w:tr w:rsidR="004334D2" w:rsidRPr="000C5FD6" w14:paraId="7201A744" w14:textId="77777777" w:rsidTr="007E5A9B">
        <w:tc>
          <w:tcPr>
            <w:tcW w:w="7096" w:type="dxa"/>
          </w:tcPr>
          <w:p w14:paraId="3993F6E4" w14:textId="7A37041F" w:rsidR="004334D2" w:rsidRPr="000C5FD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HG, y</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rPr>
                      <m:t>CH4</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nary>
                      <m:naryPr>
                        <m:chr m:val="∑"/>
                        <m:limLoc m:val="undOvr"/>
                        <m:supHide m:val="1"/>
                        <m:ctrlPr>
                          <w:rPr>
                            <w:rFonts w:ascii="Cambria Math" w:hAnsi="Cambria Math"/>
                            <w:i/>
                          </w:rPr>
                        </m:ctrlPr>
                      </m:naryPr>
                      <m:sub>
                        <m:r>
                          <w:rPr>
                            <w:rFonts w:ascii="Cambria Math" w:hAnsi="Cambria Math"/>
                          </w:rPr>
                          <m:t>n</m:t>
                        </m:r>
                      </m:sub>
                      <m:sup/>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efficiency, n,j,y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 HG, dest,n,j,y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 BL, HG,n, j</m:t>
                                </m:r>
                              </m:sub>
                            </m:sSub>
                          </m:e>
                        </m:d>
                      </m:e>
                    </m:nary>
                  </m:e>
                </m:nary>
              </m:oMath>
            </m:oMathPara>
          </w:p>
        </w:tc>
        <w:tc>
          <w:tcPr>
            <w:tcW w:w="1664" w:type="dxa"/>
            <w:vAlign w:val="center"/>
          </w:tcPr>
          <w:p w14:paraId="7C736549" w14:textId="77777777" w:rsidR="004334D2" w:rsidRPr="000C5FD6" w:rsidRDefault="004334D2" w:rsidP="00247E9F">
            <w:pPr>
              <w:pStyle w:val="SDMMethEquationNr"/>
              <w:numPr>
                <w:ilvl w:val="0"/>
                <w:numId w:val="7"/>
              </w:numPr>
            </w:pPr>
          </w:p>
        </w:tc>
      </w:tr>
    </w:tbl>
    <w:p w14:paraId="447ABE62"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C5FD6" w14:paraId="77DD07EB" w14:textId="77777777" w:rsidTr="007E5A9B">
        <w:tc>
          <w:tcPr>
            <w:tcW w:w="1701" w:type="dxa"/>
            <w:vAlign w:val="top"/>
          </w:tcPr>
          <w:p w14:paraId="33E697FC" w14:textId="42EE031F"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HG, y</m:t>
                    </m:r>
                  </m:sub>
                </m:sSub>
              </m:oMath>
            </m:oMathPara>
          </w:p>
        </w:tc>
        <w:tc>
          <w:tcPr>
            <w:tcW w:w="345" w:type="dxa"/>
            <w:vAlign w:val="top"/>
          </w:tcPr>
          <w:p w14:paraId="306164FB" w14:textId="77777777" w:rsidR="004334D2" w:rsidRPr="000C5FD6" w:rsidRDefault="004334D2" w:rsidP="00081FD4">
            <w:pPr>
              <w:pStyle w:val="SDMTableBoxParaNotNumbered"/>
            </w:pPr>
            <w:r w:rsidRPr="000C5FD6">
              <w:t>=</w:t>
            </w:r>
          </w:p>
        </w:tc>
        <w:tc>
          <w:tcPr>
            <w:tcW w:w="0" w:type="auto"/>
            <w:vAlign w:val="top"/>
          </w:tcPr>
          <w:p w14:paraId="236BC122" w14:textId="77777777" w:rsidR="004334D2" w:rsidRPr="000C5FD6" w:rsidRDefault="004334D2" w:rsidP="00081FD4">
            <w:pPr>
              <w:pStyle w:val="SDMTableBoxParaNotNumbered"/>
            </w:pPr>
            <w:r w:rsidRPr="000C5FD6">
              <w:t>Baseline emissions associated with heat generation in year </w:t>
            </w:r>
            <w:r w:rsidRPr="000C5FD6">
              <w:rPr>
                <w:i/>
              </w:rPr>
              <w:t>y</w:t>
            </w:r>
            <w:r w:rsidRPr="000C5FD6">
              <w:t xml:space="preserve"> (tCO</w:t>
            </w:r>
            <w:r w:rsidRPr="000C5FD6">
              <w:rPr>
                <w:vertAlign w:val="subscript"/>
              </w:rPr>
              <w:t>2</w:t>
            </w:r>
            <w:r w:rsidRPr="000C5FD6">
              <w:t>/y</w:t>
            </w:r>
            <w:r>
              <w:t>ea</w:t>
            </w:r>
            <w:r w:rsidRPr="000C5FD6">
              <w:t>r)</w:t>
            </w:r>
          </w:p>
        </w:tc>
      </w:tr>
      <w:tr w:rsidR="004334D2" w:rsidRPr="000C5FD6" w14:paraId="6EE21BAB" w14:textId="77777777" w:rsidTr="007E5A9B">
        <w:tc>
          <w:tcPr>
            <w:tcW w:w="1701" w:type="dxa"/>
            <w:vAlign w:val="top"/>
          </w:tcPr>
          <w:p w14:paraId="7585C904" w14:textId="77777777"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NCV</m:t>
                    </m:r>
                  </m:e>
                  <m:sub>
                    <m:r>
                      <w:rPr>
                        <w:rFonts w:ascii="Cambria Math" w:hAnsi="Cambria Math"/>
                      </w:rPr>
                      <m:t>CH4</m:t>
                    </m:r>
                  </m:sub>
                </m:sSub>
              </m:oMath>
            </m:oMathPara>
          </w:p>
        </w:tc>
        <w:tc>
          <w:tcPr>
            <w:tcW w:w="345" w:type="dxa"/>
            <w:vAlign w:val="top"/>
          </w:tcPr>
          <w:p w14:paraId="287D8807" w14:textId="77777777" w:rsidR="004334D2" w:rsidRPr="000C5FD6" w:rsidRDefault="004334D2" w:rsidP="00081FD4">
            <w:pPr>
              <w:pStyle w:val="SDMTableBoxParaNotNumbered"/>
            </w:pPr>
            <w:r w:rsidRPr="000C5FD6">
              <w:t>=</w:t>
            </w:r>
          </w:p>
        </w:tc>
        <w:tc>
          <w:tcPr>
            <w:tcW w:w="0" w:type="auto"/>
            <w:vAlign w:val="top"/>
          </w:tcPr>
          <w:p w14:paraId="72D84BD5" w14:textId="77777777" w:rsidR="004334D2" w:rsidRPr="000C5FD6" w:rsidRDefault="004334D2" w:rsidP="00081FD4">
            <w:pPr>
              <w:pStyle w:val="SDMTableBoxParaNotNumbered"/>
            </w:pPr>
            <w:r w:rsidRPr="000C5FD6">
              <w:t>Net calorific value of methane at reference conditions (TJ/tCH</w:t>
            </w:r>
            <w:r w:rsidRPr="000C5FD6">
              <w:rPr>
                <w:vertAlign w:val="subscript"/>
              </w:rPr>
              <w:t>4</w:t>
            </w:r>
            <w:r w:rsidRPr="000C5FD6">
              <w:t>)</w:t>
            </w:r>
          </w:p>
        </w:tc>
      </w:tr>
      <w:tr w:rsidR="004334D2" w:rsidRPr="000C5FD6" w14:paraId="027CE4AD" w14:textId="77777777" w:rsidTr="007E5A9B">
        <w:tc>
          <w:tcPr>
            <w:tcW w:w="1701" w:type="dxa"/>
            <w:vAlign w:val="top"/>
          </w:tcPr>
          <w:p w14:paraId="734C6189" w14:textId="059EFA5F"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R</m:t>
                    </m:r>
                  </m:e>
                  <m:sub>
                    <m:r>
                      <w:rPr>
                        <w:rFonts w:ascii="Cambria Math" w:hAnsi="Cambria Math"/>
                      </w:rPr>
                      <m:t>efficiency, n,j,y</m:t>
                    </m:r>
                  </m:sub>
                </m:sSub>
              </m:oMath>
            </m:oMathPara>
          </w:p>
        </w:tc>
        <w:tc>
          <w:tcPr>
            <w:tcW w:w="345" w:type="dxa"/>
            <w:vAlign w:val="top"/>
          </w:tcPr>
          <w:p w14:paraId="5446ACB2" w14:textId="77777777" w:rsidR="004334D2" w:rsidRPr="000C5FD6" w:rsidRDefault="004334D2" w:rsidP="00081FD4">
            <w:pPr>
              <w:pStyle w:val="SDMTableBoxParaNotNumbered"/>
            </w:pPr>
            <w:r w:rsidRPr="000C5FD6">
              <w:t>=</w:t>
            </w:r>
          </w:p>
        </w:tc>
        <w:tc>
          <w:tcPr>
            <w:tcW w:w="0" w:type="auto"/>
            <w:vAlign w:val="top"/>
          </w:tcPr>
          <w:p w14:paraId="365C001B" w14:textId="4C8BF1B4" w:rsidR="004334D2" w:rsidRPr="008269A7" w:rsidRDefault="004334D2" w:rsidP="00081FD4">
            <w:pPr>
              <w:pStyle w:val="SDMTableBoxParaNotNumbered"/>
              <w:rPr>
                <w:iCs/>
              </w:rPr>
            </w:pPr>
            <w:r w:rsidRPr="000C5FD6">
              <w:t xml:space="preserve">Ratio of the project and baseline efficiency of heat equipment </w:t>
            </w:r>
            <w:r w:rsidR="009432E2">
              <w:t xml:space="preserve">unit </w:t>
            </w:r>
            <w:r w:rsidR="009432E2" w:rsidRPr="009432E2">
              <w:rPr>
                <w:i/>
                <w:iCs/>
              </w:rPr>
              <w:t>n</w:t>
            </w:r>
            <w:r w:rsidR="009432E2">
              <w:t xml:space="preserve"> of </w:t>
            </w:r>
            <w:r w:rsidRPr="000C5FD6">
              <w:t>type </w:t>
            </w:r>
            <w:r w:rsidRPr="000C5FD6">
              <w:rPr>
                <w:i/>
              </w:rPr>
              <w:t>j</w:t>
            </w:r>
            <w:r w:rsidRPr="000C5FD6">
              <w:t xml:space="preserve"> in year </w:t>
            </w:r>
            <w:r w:rsidRPr="000C5FD6">
              <w:rPr>
                <w:i/>
              </w:rPr>
              <w:t>y</w:t>
            </w:r>
            <w:r w:rsidR="008269A7">
              <w:rPr>
                <w:i/>
              </w:rPr>
              <w:t xml:space="preserve"> </w:t>
            </w:r>
            <w:r w:rsidR="008269A7">
              <w:rPr>
                <w:iCs/>
              </w:rPr>
              <w:t>(unitless parameter)</w:t>
            </w:r>
          </w:p>
        </w:tc>
      </w:tr>
      <w:tr w:rsidR="004334D2" w:rsidRPr="000C5FD6" w14:paraId="2DB8C1DC" w14:textId="77777777" w:rsidTr="007E5A9B">
        <w:tc>
          <w:tcPr>
            <w:tcW w:w="1701" w:type="dxa"/>
            <w:vAlign w:val="top"/>
          </w:tcPr>
          <w:p w14:paraId="0C5D84A9" w14:textId="68327B17"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CH4, HG, dest,n,j,y</m:t>
                    </m:r>
                  </m:sub>
                </m:sSub>
              </m:oMath>
            </m:oMathPara>
          </w:p>
        </w:tc>
        <w:tc>
          <w:tcPr>
            <w:tcW w:w="345" w:type="dxa"/>
            <w:vAlign w:val="top"/>
          </w:tcPr>
          <w:p w14:paraId="7AB709A1" w14:textId="77777777" w:rsidR="004334D2" w:rsidRPr="000C5FD6" w:rsidRDefault="004334D2" w:rsidP="00081FD4">
            <w:pPr>
              <w:pStyle w:val="SDMTableBoxParaNotNumbered"/>
            </w:pPr>
            <w:r w:rsidRPr="000C5FD6">
              <w:t>=</w:t>
            </w:r>
          </w:p>
        </w:tc>
        <w:tc>
          <w:tcPr>
            <w:tcW w:w="0" w:type="auto"/>
            <w:vAlign w:val="top"/>
          </w:tcPr>
          <w:p w14:paraId="5AF96C33" w14:textId="6308074D" w:rsidR="004334D2" w:rsidRPr="000C5FD6" w:rsidRDefault="004334D2" w:rsidP="00081FD4">
            <w:pPr>
              <w:pStyle w:val="SDMTableBoxParaNotNumbered"/>
            </w:pPr>
            <w:r w:rsidRPr="000C5FD6">
              <w:t>Amount of methane in the LFG</w:t>
            </w:r>
            <w:r>
              <w:t xml:space="preserve"> or the biomethane</w:t>
            </w:r>
            <w:r w:rsidRPr="000C5FD6">
              <w:t xml:space="preserve"> which is destroyed for heat generation by equipment </w:t>
            </w:r>
            <w:r w:rsidR="009432E2">
              <w:t>unit</w:t>
            </w:r>
            <w:r w:rsidR="003C2DCC">
              <w:t> </w:t>
            </w:r>
            <w:r w:rsidR="009432E2" w:rsidRPr="009432E2">
              <w:rPr>
                <w:i/>
                <w:iCs/>
              </w:rPr>
              <w:t>n</w:t>
            </w:r>
            <w:r w:rsidR="009432E2">
              <w:t xml:space="preserve"> of </w:t>
            </w:r>
            <w:r w:rsidRPr="000C5FD6">
              <w:t>type</w:t>
            </w:r>
            <w:r w:rsidR="003C2DCC">
              <w:t> </w:t>
            </w:r>
            <w:r w:rsidRPr="000C5FD6">
              <w:rPr>
                <w:i/>
              </w:rPr>
              <w:t xml:space="preserve">j </w:t>
            </w:r>
            <w:r w:rsidRPr="000C5FD6">
              <w:rPr>
                <w:iCs/>
              </w:rPr>
              <w:t>in year </w:t>
            </w:r>
            <w:r w:rsidRPr="000C5FD6">
              <w:rPr>
                <w:i/>
                <w:iCs/>
              </w:rPr>
              <w:t>y</w:t>
            </w:r>
            <w:r w:rsidRPr="000C5FD6">
              <w:t xml:space="preserve"> (tCH</w:t>
            </w:r>
            <w:r w:rsidRPr="000C5FD6">
              <w:rPr>
                <w:vertAlign w:val="subscript"/>
              </w:rPr>
              <w:t>4</w:t>
            </w:r>
            <w:r w:rsidRPr="000C5FD6">
              <w:t>/y</w:t>
            </w:r>
            <w:r>
              <w:t>ea</w:t>
            </w:r>
            <w:r w:rsidRPr="000C5FD6">
              <w:t>r)</w:t>
            </w:r>
          </w:p>
        </w:tc>
      </w:tr>
      <w:tr w:rsidR="004334D2" w:rsidRPr="000C5FD6" w14:paraId="28B46857" w14:textId="77777777" w:rsidTr="007E5A9B">
        <w:tc>
          <w:tcPr>
            <w:tcW w:w="1701" w:type="dxa"/>
            <w:vAlign w:val="top"/>
          </w:tcPr>
          <w:p w14:paraId="23F1ECE4" w14:textId="351D9F88"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EF</m:t>
                    </m:r>
                  </m:e>
                  <m:sub>
                    <m:r>
                      <w:rPr>
                        <w:rFonts w:ascii="Cambria Math" w:hAnsi="Cambria Math"/>
                      </w:rPr>
                      <m:t>CO2, BL, HG, n,j</m:t>
                    </m:r>
                  </m:sub>
                </m:sSub>
              </m:oMath>
            </m:oMathPara>
          </w:p>
        </w:tc>
        <w:tc>
          <w:tcPr>
            <w:tcW w:w="345" w:type="dxa"/>
            <w:vAlign w:val="top"/>
          </w:tcPr>
          <w:p w14:paraId="1319A3BF" w14:textId="77777777" w:rsidR="004334D2" w:rsidRPr="000C5FD6" w:rsidRDefault="004334D2" w:rsidP="00081FD4">
            <w:pPr>
              <w:pStyle w:val="SDMTableBoxParaNotNumbered"/>
            </w:pPr>
            <w:r w:rsidRPr="000C5FD6">
              <w:t>=</w:t>
            </w:r>
          </w:p>
        </w:tc>
        <w:tc>
          <w:tcPr>
            <w:tcW w:w="0" w:type="auto"/>
            <w:vAlign w:val="top"/>
          </w:tcPr>
          <w:p w14:paraId="59ABA3B6" w14:textId="257000A3" w:rsidR="004334D2" w:rsidRPr="000C5FD6" w:rsidRDefault="004334D2" w:rsidP="00081FD4">
            <w:pPr>
              <w:pStyle w:val="SDMTableBoxParaNotNumbered"/>
            </w:pPr>
            <w:r w:rsidRPr="000C5FD6">
              <w:t>CO</w:t>
            </w:r>
            <w:r w:rsidRPr="000C5FD6">
              <w:rPr>
                <w:vertAlign w:val="subscript"/>
              </w:rPr>
              <w:t>2</w:t>
            </w:r>
            <w:r w:rsidRPr="000C5FD6">
              <w:t xml:space="preserve"> emission factor of the fossil fuel type used for heat generation by equipment </w:t>
            </w:r>
            <w:r w:rsidR="009432E2">
              <w:t>unit</w:t>
            </w:r>
            <w:r w:rsidR="003C2DCC">
              <w:t> </w:t>
            </w:r>
            <w:r w:rsidR="009432E2" w:rsidRPr="009432E2">
              <w:rPr>
                <w:i/>
                <w:iCs/>
              </w:rPr>
              <w:t>n</w:t>
            </w:r>
            <w:r w:rsidR="009432E2">
              <w:t xml:space="preserve"> </w:t>
            </w:r>
            <w:r w:rsidR="00AC61D7">
              <w:t xml:space="preserve">of </w:t>
            </w:r>
            <w:r w:rsidRPr="000C5FD6">
              <w:t>type</w:t>
            </w:r>
            <w:r w:rsidR="003C2DCC">
              <w:t> </w:t>
            </w:r>
            <w:r w:rsidRPr="000C5FD6">
              <w:rPr>
                <w:i/>
              </w:rPr>
              <w:t>j</w:t>
            </w:r>
            <w:r w:rsidRPr="000C5FD6">
              <w:t xml:space="preserve"> in the baseline</w:t>
            </w:r>
            <w:r w:rsidRPr="000C5FD6">
              <w:rPr>
                <w:i/>
              </w:rPr>
              <w:t xml:space="preserve"> </w:t>
            </w:r>
            <w:r w:rsidRPr="000C5FD6">
              <w:rPr>
                <w:iCs/>
              </w:rPr>
              <w:t>(tCO</w:t>
            </w:r>
            <w:r w:rsidRPr="000C5FD6">
              <w:rPr>
                <w:iCs/>
                <w:vertAlign w:val="subscript"/>
              </w:rPr>
              <w:t>2</w:t>
            </w:r>
            <w:r w:rsidRPr="000C5FD6">
              <w:rPr>
                <w:iCs/>
              </w:rPr>
              <w:t>/TJ)</w:t>
            </w:r>
          </w:p>
        </w:tc>
      </w:tr>
      <w:tr w:rsidR="004334D2" w:rsidRPr="000C5FD6" w14:paraId="3D6F0D53" w14:textId="77777777" w:rsidTr="007E5A9B">
        <w:tc>
          <w:tcPr>
            <w:tcW w:w="1701" w:type="dxa"/>
            <w:vAlign w:val="top"/>
          </w:tcPr>
          <w:p w14:paraId="2C13A8AC" w14:textId="77777777" w:rsidR="004334D2" w:rsidRPr="006D4E2F" w:rsidRDefault="004334D2" w:rsidP="00081FD4">
            <w:pPr>
              <w:pStyle w:val="SDMTableBoxParaNotNumbered"/>
              <w:keepNext/>
              <w:rPr>
                <w:i/>
              </w:rPr>
            </w:pPr>
            <m:oMathPara>
              <m:oMathParaPr>
                <m:jc m:val="left"/>
              </m:oMathParaPr>
              <m:oMath>
                <m:r>
                  <w:rPr>
                    <w:rFonts w:ascii="Cambria Math" w:hAnsi="Cambria Math" w:cs="Arial"/>
                  </w:rPr>
                  <m:t>j</m:t>
                </m:r>
              </m:oMath>
            </m:oMathPara>
          </w:p>
        </w:tc>
        <w:tc>
          <w:tcPr>
            <w:tcW w:w="345" w:type="dxa"/>
            <w:vAlign w:val="top"/>
          </w:tcPr>
          <w:p w14:paraId="093AAAE0" w14:textId="77777777" w:rsidR="004334D2" w:rsidRPr="000C5FD6" w:rsidRDefault="004334D2" w:rsidP="00081FD4">
            <w:pPr>
              <w:pStyle w:val="SDMTableBoxParaNotNumbered"/>
              <w:keepNext/>
            </w:pPr>
            <w:r w:rsidRPr="000C5FD6">
              <w:t>=</w:t>
            </w:r>
          </w:p>
        </w:tc>
        <w:tc>
          <w:tcPr>
            <w:tcW w:w="0" w:type="auto"/>
            <w:vAlign w:val="top"/>
          </w:tcPr>
          <w:p w14:paraId="2ABA056E" w14:textId="01C57BC6" w:rsidR="004334D2" w:rsidRPr="000C5FD6" w:rsidRDefault="008C5085" w:rsidP="00081FD4">
            <w:pPr>
              <w:pStyle w:val="SDMTableBoxParaNotNumbered"/>
              <w:keepNext/>
            </w:pPr>
            <w:r>
              <w:t>Type of</w:t>
            </w:r>
            <w:r w:rsidR="008269A7">
              <w:t xml:space="preserve"> h</w:t>
            </w:r>
            <w:r w:rsidR="008269A7" w:rsidRPr="000C5FD6">
              <w:t xml:space="preserve">eat </w:t>
            </w:r>
            <w:r w:rsidR="004334D2" w:rsidRPr="000C5FD6">
              <w:t>generation equipment (</w:t>
            </w:r>
            <w:r w:rsidR="008269A7">
              <w:t xml:space="preserve">e.g., an individual </w:t>
            </w:r>
            <w:r w:rsidR="004334D2" w:rsidRPr="000C5FD6">
              <w:t>boiler, air heater, glass melting furnace(s) or kiln)</w:t>
            </w:r>
          </w:p>
        </w:tc>
      </w:tr>
      <w:tr w:rsidR="004334D2" w:rsidRPr="000C5FD6" w14:paraId="2B316D9B" w14:textId="77777777" w:rsidTr="007E5A9B">
        <w:trPr>
          <w:trHeight w:val="286"/>
        </w:trPr>
        <w:tc>
          <w:tcPr>
            <w:tcW w:w="1701" w:type="dxa"/>
            <w:vAlign w:val="top"/>
          </w:tcPr>
          <w:p w14:paraId="685F041D" w14:textId="77777777" w:rsidR="004334D2" w:rsidRPr="006D4E2F" w:rsidRDefault="004334D2" w:rsidP="00081FD4">
            <w:pPr>
              <w:pStyle w:val="SDMTableBoxParaNotNumbered"/>
              <w:rPr>
                <w:i/>
              </w:rPr>
            </w:pPr>
            <m:oMathPara>
              <m:oMathParaPr>
                <m:jc m:val="left"/>
              </m:oMathParaPr>
              <m:oMath>
                <m:r>
                  <w:rPr>
                    <w:rFonts w:ascii="Cambria Math" w:hAnsi="Cambria Math" w:cs="Arial"/>
                  </w:rPr>
                  <m:t>n</m:t>
                </m:r>
              </m:oMath>
            </m:oMathPara>
          </w:p>
        </w:tc>
        <w:tc>
          <w:tcPr>
            <w:tcW w:w="345" w:type="dxa"/>
            <w:vAlign w:val="top"/>
          </w:tcPr>
          <w:p w14:paraId="202DBA02" w14:textId="77777777" w:rsidR="004334D2" w:rsidRPr="000C5FD6" w:rsidRDefault="004334D2" w:rsidP="00081FD4">
            <w:pPr>
              <w:pStyle w:val="SDMTableBoxParaNotNumbered"/>
            </w:pPr>
            <w:r w:rsidRPr="000C5FD6">
              <w:t>=</w:t>
            </w:r>
          </w:p>
        </w:tc>
        <w:tc>
          <w:tcPr>
            <w:tcW w:w="0" w:type="auto"/>
            <w:vAlign w:val="top"/>
          </w:tcPr>
          <w:p w14:paraId="1545A0AB" w14:textId="7B4A18BC" w:rsidR="004334D2" w:rsidRPr="000C5FD6" w:rsidRDefault="004334D2" w:rsidP="00081FD4">
            <w:pPr>
              <w:pStyle w:val="SDMTableBoxParaNotNumbered"/>
            </w:pPr>
            <w:r w:rsidRPr="000C5FD6">
              <w:t xml:space="preserve">Number of different </w:t>
            </w:r>
            <w:r w:rsidR="008269A7">
              <w:t xml:space="preserve">pieces of </w:t>
            </w:r>
            <w:r w:rsidRPr="000C5FD6">
              <w:t xml:space="preserve">equipment </w:t>
            </w:r>
            <w:r w:rsidR="008C5085">
              <w:t>per type</w:t>
            </w:r>
            <w:r w:rsidRPr="000C5FD6">
              <w:t xml:space="preserve"> used </w:t>
            </w:r>
            <w:r w:rsidR="008269A7">
              <w:t xml:space="preserve">for heat generation </w:t>
            </w:r>
            <w:r w:rsidRPr="000C5FD6">
              <w:t xml:space="preserve">in the </w:t>
            </w:r>
            <w:r w:rsidR="005704AC">
              <w:t>Article 6.4 activity</w:t>
            </w:r>
          </w:p>
        </w:tc>
      </w:tr>
    </w:tbl>
    <w:p w14:paraId="2246909A" w14:textId="22EBCB54" w:rsidR="004334D2" w:rsidRPr="000C5FD6" w:rsidRDefault="004334D2" w:rsidP="00DA05CE">
      <w:pPr>
        <w:pStyle w:val="SDMPara"/>
        <w:keepNext/>
      </w:pPr>
      <w:r w:rsidRPr="000C5FD6">
        <w:t>The ratio of the project and baseline efficiency of an air heater, boiler, glass melting furnace or kiln</w:t>
      </w:r>
      <w:r>
        <w:t xml:space="preserve"> (</w:t>
      </w:r>
      <m:oMath>
        <m:sSub>
          <m:sSubPr>
            <m:ctrlPr>
              <w:rPr>
                <w:rFonts w:ascii="Cambria Math" w:hAnsi="Cambria Math"/>
                <w:i/>
              </w:rPr>
            </m:ctrlPr>
          </m:sSubPr>
          <m:e>
            <m:r>
              <w:rPr>
                <w:rFonts w:ascii="Cambria Math" w:hAnsi="Cambria Math"/>
              </w:rPr>
              <m:t>R</m:t>
            </m:r>
          </m:e>
          <m:sub>
            <m:r>
              <w:rPr>
                <w:rFonts w:ascii="Cambria Math" w:hAnsi="Cambria Math"/>
              </w:rPr>
              <m:t>efficiency, j,n,y</m:t>
            </m:r>
          </m:sub>
        </m:sSub>
      </m:oMath>
      <w:r>
        <w:t>)</w:t>
      </w:r>
      <w:r w:rsidRPr="000C5FD6">
        <w:t xml:space="preserve"> is determined as follows:</w:t>
      </w:r>
    </w:p>
    <w:tbl>
      <w:tblPr>
        <w:tblStyle w:val="SDMMethTableEquation"/>
        <w:tblW w:w="8760" w:type="dxa"/>
        <w:tblLook w:val="0600" w:firstRow="0" w:lastRow="0" w:firstColumn="0" w:lastColumn="0" w:noHBand="1" w:noVBand="1"/>
      </w:tblPr>
      <w:tblGrid>
        <w:gridCol w:w="7097"/>
        <w:gridCol w:w="1663"/>
      </w:tblGrid>
      <w:tr w:rsidR="004334D2" w:rsidRPr="000C5FD6" w14:paraId="4E92F016" w14:textId="77777777" w:rsidTr="007E5A9B">
        <w:tc>
          <w:tcPr>
            <w:tcW w:w="7224" w:type="dxa"/>
          </w:tcPr>
          <w:p w14:paraId="08262DC1" w14:textId="717FCB01" w:rsidR="004334D2" w:rsidRPr="00081DCE" w:rsidRDefault="00302468" w:rsidP="00E06D0C">
            <w:pPr>
              <w:pStyle w:val="SDMMethEquation"/>
              <w:rPr>
                <w:i/>
              </w:rPr>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efficiency, j,n,y</m:t>
                    </m:r>
                  </m:sub>
                </m:sSub>
                <m:r>
                  <w:rPr>
                    <w:rFonts w:ascii="Cambria Math" w:hAnsi="Cambria Math"/>
                  </w:rPr>
                  <m:t>=min</m:t>
                </m:r>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η</m:t>
                            </m:r>
                          </m:e>
                          <m:sub>
                            <m:r>
                              <w:rPr>
                                <w:rFonts w:ascii="Cambria Math" w:hAnsi="Cambria Math"/>
                              </w:rPr>
                              <m:t>HG,PJ,n, j,y</m:t>
                            </m:r>
                          </m:sub>
                        </m:sSub>
                      </m:num>
                      <m:den>
                        <m:sSub>
                          <m:sSubPr>
                            <m:ctrlPr>
                              <w:rPr>
                                <w:rFonts w:ascii="Cambria Math" w:hAnsi="Cambria Math"/>
                                <w:i/>
                              </w:rPr>
                            </m:ctrlPr>
                          </m:sSubPr>
                          <m:e>
                            <m:r>
                              <w:rPr>
                                <w:rFonts w:ascii="Cambria Math" w:hAnsi="Cambria Math"/>
                              </w:rPr>
                              <m:t>η</m:t>
                            </m:r>
                          </m:e>
                          <m:sub>
                            <m:r>
                              <w:rPr>
                                <w:rFonts w:ascii="Cambria Math" w:hAnsi="Cambria Math"/>
                              </w:rPr>
                              <m:t>HG, BL, n,j</m:t>
                            </m:r>
                          </m:sub>
                        </m:sSub>
                      </m:den>
                    </m:f>
                  </m:e>
                </m:d>
              </m:oMath>
            </m:oMathPara>
          </w:p>
        </w:tc>
        <w:tc>
          <w:tcPr>
            <w:tcW w:w="1701" w:type="dxa"/>
          </w:tcPr>
          <w:p w14:paraId="3BB5F55E" w14:textId="77777777" w:rsidR="004334D2" w:rsidRPr="000C5FD6" w:rsidRDefault="004334D2" w:rsidP="00247E9F">
            <w:pPr>
              <w:pStyle w:val="SDMMethEquationNr"/>
              <w:numPr>
                <w:ilvl w:val="0"/>
                <w:numId w:val="7"/>
              </w:numPr>
            </w:pPr>
          </w:p>
        </w:tc>
      </w:tr>
    </w:tbl>
    <w:p w14:paraId="76116D22"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C5FD6" w14:paraId="16D0223F" w14:textId="77777777" w:rsidTr="007E5A9B">
        <w:tc>
          <w:tcPr>
            <w:tcW w:w="1701" w:type="dxa"/>
            <w:vAlign w:val="top"/>
          </w:tcPr>
          <w:p w14:paraId="159495D5" w14:textId="3ED8C8D2"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R</m:t>
                    </m:r>
                  </m:e>
                  <m:sub>
                    <m:r>
                      <w:rPr>
                        <w:rFonts w:ascii="Cambria Math" w:hAnsi="Cambria Math"/>
                      </w:rPr>
                      <m:t>efficiency, n,j,y</m:t>
                    </m:r>
                  </m:sub>
                </m:sSub>
              </m:oMath>
            </m:oMathPara>
          </w:p>
        </w:tc>
        <w:tc>
          <w:tcPr>
            <w:tcW w:w="345" w:type="dxa"/>
            <w:vAlign w:val="top"/>
          </w:tcPr>
          <w:p w14:paraId="0044D630" w14:textId="77777777" w:rsidR="004334D2" w:rsidRPr="000C5FD6" w:rsidRDefault="004334D2" w:rsidP="00081FD4">
            <w:pPr>
              <w:pStyle w:val="SDMTableBoxParaNotNumbered"/>
            </w:pPr>
            <w:r w:rsidRPr="000C5FD6">
              <w:t>=</w:t>
            </w:r>
          </w:p>
        </w:tc>
        <w:tc>
          <w:tcPr>
            <w:tcW w:w="0" w:type="auto"/>
            <w:vAlign w:val="top"/>
          </w:tcPr>
          <w:p w14:paraId="6BD99FB0" w14:textId="10090FD4" w:rsidR="004334D2" w:rsidRPr="000C5FD6" w:rsidRDefault="004334D2" w:rsidP="00081FD4">
            <w:pPr>
              <w:pStyle w:val="SDMTableBoxParaNotNumbered"/>
            </w:pPr>
            <w:r w:rsidRPr="000C5FD6">
              <w:t xml:space="preserve">Ratio of the project and baseline efficiency of equipment </w:t>
            </w:r>
            <w:r w:rsidR="002878C4">
              <w:t>unit</w:t>
            </w:r>
            <w:r w:rsidR="003C2DCC">
              <w:t> </w:t>
            </w:r>
            <w:r w:rsidR="002878C4" w:rsidRPr="002878C4">
              <w:rPr>
                <w:i/>
                <w:iCs/>
              </w:rPr>
              <w:t>n</w:t>
            </w:r>
            <w:r w:rsidR="002878C4">
              <w:t xml:space="preserve"> of </w:t>
            </w:r>
            <w:r w:rsidRPr="000C5FD6">
              <w:t>type </w:t>
            </w:r>
            <w:r w:rsidRPr="000C5FD6">
              <w:rPr>
                <w:i/>
              </w:rPr>
              <w:t>j</w:t>
            </w:r>
            <w:r w:rsidRPr="000C5FD6">
              <w:t xml:space="preserve"> in year </w:t>
            </w:r>
            <w:r w:rsidRPr="000C5FD6">
              <w:rPr>
                <w:i/>
              </w:rPr>
              <w:t>y</w:t>
            </w:r>
          </w:p>
        </w:tc>
      </w:tr>
      <w:tr w:rsidR="004334D2" w:rsidRPr="000C5FD6" w14:paraId="01E2D9CC" w14:textId="77777777" w:rsidTr="007E5A9B">
        <w:tc>
          <w:tcPr>
            <w:tcW w:w="1701" w:type="dxa"/>
            <w:vAlign w:val="top"/>
          </w:tcPr>
          <w:p w14:paraId="49BE7DC3" w14:textId="28ECC1D7" w:rsidR="004334D2" w:rsidRPr="00446D22"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HG, BL,n, j</m:t>
                    </m:r>
                  </m:sub>
                </m:sSub>
              </m:oMath>
            </m:oMathPara>
          </w:p>
        </w:tc>
        <w:tc>
          <w:tcPr>
            <w:tcW w:w="345" w:type="dxa"/>
            <w:vAlign w:val="top"/>
          </w:tcPr>
          <w:p w14:paraId="2BEB887E" w14:textId="77777777" w:rsidR="004334D2" w:rsidRPr="000C5FD6" w:rsidRDefault="004334D2" w:rsidP="00081FD4">
            <w:pPr>
              <w:pStyle w:val="SDMTableBoxParaNotNumbered"/>
            </w:pPr>
            <w:r w:rsidRPr="000C5FD6">
              <w:t>=</w:t>
            </w:r>
          </w:p>
        </w:tc>
        <w:tc>
          <w:tcPr>
            <w:tcW w:w="0" w:type="auto"/>
            <w:vAlign w:val="top"/>
          </w:tcPr>
          <w:p w14:paraId="05E01DC6" w14:textId="6525ABF9" w:rsidR="004334D2" w:rsidRPr="000C5FD6" w:rsidRDefault="004334D2" w:rsidP="00081FD4">
            <w:pPr>
              <w:pStyle w:val="SDMTableBoxParaNotNumbered"/>
            </w:pPr>
            <w:r w:rsidRPr="000C5FD6">
              <w:t>Efficiency of the heat generation equipment</w:t>
            </w:r>
            <w:r w:rsidR="00597151">
              <w:t xml:space="preserve"> unit</w:t>
            </w:r>
            <w:r w:rsidR="003C2DCC">
              <w:t> </w:t>
            </w:r>
            <w:r w:rsidR="00F151C5" w:rsidRPr="00F151C5">
              <w:rPr>
                <w:i/>
                <w:iCs/>
              </w:rPr>
              <w:t>n</w:t>
            </w:r>
            <w:r w:rsidR="00F151C5">
              <w:t xml:space="preserve"> </w:t>
            </w:r>
            <w:r w:rsidR="002878C4">
              <w:t>of</w:t>
            </w:r>
            <w:r w:rsidR="00F151C5">
              <w:t xml:space="preserve"> </w:t>
            </w:r>
            <w:r w:rsidRPr="000C5FD6">
              <w:t>type</w:t>
            </w:r>
            <w:r w:rsidR="003C2DCC">
              <w:t> </w:t>
            </w:r>
            <w:r w:rsidRPr="000C5FD6">
              <w:rPr>
                <w:i/>
              </w:rPr>
              <w:t>j</w:t>
            </w:r>
            <w:r w:rsidRPr="000C5FD6">
              <w:t xml:space="preserve"> used in the baseline</w:t>
            </w:r>
          </w:p>
        </w:tc>
      </w:tr>
      <w:tr w:rsidR="004334D2" w:rsidRPr="000C5FD6" w14:paraId="6E072ED1" w14:textId="77777777" w:rsidTr="007E5A9B">
        <w:tc>
          <w:tcPr>
            <w:tcW w:w="1701" w:type="dxa"/>
            <w:vAlign w:val="top"/>
          </w:tcPr>
          <w:p w14:paraId="76CA28AB" w14:textId="72F56230" w:rsidR="004334D2" w:rsidRPr="00446D22"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HG,PJ, n,j,y</m:t>
                    </m:r>
                  </m:sub>
                </m:sSub>
              </m:oMath>
            </m:oMathPara>
          </w:p>
        </w:tc>
        <w:tc>
          <w:tcPr>
            <w:tcW w:w="345" w:type="dxa"/>
            <w:vAlign w:val="top"/>
          </w:tcPr>
          <w:p w14:paraId="448725DA" w14:textId="77777777" w:rsidR="004334D2" w:rsidRPr="000C5FD6" w:rsidRDefault="004334D2" w:rsidP="00081FD4">
            <w:pPr>
              <w:pStyle w:val="SDMTableBoxParaNotNumbered"/>
            </w:pPr>
            <w:r w:rsidRPr="000C5FD6">
              <w:t>=</w:t>
            </w:r>
          </w:p>
        </w:tc>
        <w:tc>
          <w:tcPr>
            <w:tcW w:w="0" w:type="auto"/>
            <w:vAlign w:val="top"/>
          </w:tcPr>
          <w:p w14:paraId="0FC4052C" w14:textId="4E0D94EC" w:rsidR="004334D2" w:rsidRPr="000C5FD6" w:rsidRDefault="004334D2" w:rsidP="00081FD4">
            <w:pPr>
              <w:pStyle w:val="SDMTableBoxParaNotNumbered"/>
            </w:pPr>
            <w:r w:rsidRPr="000C5FD6">
              <w:t>Efficiency of the heat generation equipment</w:t>
            </w:r>
            <w:r w:rsidR="00BE4993">
              <w:t xml:space="preserve"> unit</w:t>
            </w:r>
            <w:r w:rsidR="003C2DCC">
              <w:rPr>
                <w:i/>
                <w:iCs/>
              </w:rPr>
              <w:t> </w:t>
            </w:r>
            <w:r w:rsidR="00F151C5" w:rsidRPr="00F151C5">
              <w:rPr>
                <w:i/>
                <w:iCs/>
              </w:rPr>
              <w:t>n</w:t>
            </w:r>
            <w:r w:rsidR="00F151C5">
              <w:t xml:space="preserve"> </w:t>
            </w:r>
            <w:r w:rsidR="002878C4">
              <w:t>of</w:t>
            </w:r>
            <w:r w:rsidRPr="000C5FD6">
              <w:t xml:space="preserve"> type</w:t>
            </w:r>
            <w:r w:rsidR="003C2DCC">
              <w:t> </w:t>
            </w:r>
            <w:r w:rsidRPr="000C5FD6">
              <w:rPr>
                <w:i/>
              </w:rPr>
              <w:t xml:space="preserve">j </w:t>
            </w:r>
            <w:r w:rsidRPr="000C5FD6">
              <w:t xml:space="preserve">used in the </w:t>
            </w:r>
            <w:r>
              <w:t xml:space="preserve">Article 6.4 activity </w:t>
            </w:r>
            <w:r w:rsidRPr="000C5FD6">
              <w:t>in year </w:t>
            </w:r>
            <w:r w:rsidRPr="000C5FD6">
              <w:rPr>
                <w:i/>
              </w:rPr>
              <w:t>y</w:t>
            </w:r>
          </w:p>
        </w:tc>
      </w:tr>
      <w:tr w:rsidR="004334D2" w:rsidRPr="000C5FD6" w14:paraId="708A8C53" w14:textId="77777777" w:rsidTr="007E5A9B">
        <w:tc>
          <w:tcPr>
            <w:tcW w:w="1701" w:type="dxa"/>
            <w:vAlign w:val="top"/>
          </w:tcPr>
          <w:p w14:paraId="249BECDB" w14:textId="77777777" w:rsidR="004334D2" w:rsidRPr="007B06AF" w:rsidRDefault="004334D2" w:rsidP="00081FD4">
            <w:pPr>
              <w:pStyle w:val="SDMTableBoxParaNotNumbered"/>
              <w:rPr>
                <w:i/>
              </w:rPr>
            </w:pPr>
            <m:oMathPara>
              <m:oMathParaPr>
                <m:jc m:val="left"/>
              </m:oMathParaPr>
              <m:oMath>
                <m:r>
                  <w:rPr>
                    <w:rFonts w:ascii="Cambria Math" w:hAnsi="Cambria Math"/>
                  </w:rPr>
                  <m:t>j</m:t>
                </m:r>
              </m:oMath>
            </m:oMathPara>
          </w:p>
        </w:tc>
        <w:tc>
          <w:tcPr>
            <w:tcW w:w="345" w:type="dxa"/>
            <w:vAlign w:val="top"/>
          </w:tcPr>
          <w:p w14:paraId="0CDA5AD0" w14:textId="77777777" w:rsidR="004334D2" w:rsidRPr="000C5FD6" w:rsidRDefault="004334D2" w:rsidP="00081FD4">
            <w:pPr>
              <w:pStyle w:val="SDMTableBoxParaNotNumbered"/>
            </w:pPr>
            <w:r w:rsidRPr="000C5FD6">
              <w:t>=</w:t>
            </w:r>
          </w:p>
        </w:tc>
        <w:tc>
          <w:tcPr>
            <w:tcW w:w="0" w:type="auto"/>
            <w:vAlign w:val="top"/>
          </w:tcPr>
          <w:p w14:paraId="2FDA9B74" w14:textId="26CDE095" w:rsidR="004334D2" w:rsidRPr="000C5FD6" w:rsidRDefault="004334D2" w:rsidP="00081FD4">
            <w:pPr>
              <w:pStyle w:val="SDMTableBoxParaNotNumbered"/>
            </w:pPr>
            <w:r w:rsidRPr="000C5FD6">
              <w:t>Heat generation equipment type (boiler, air heater, glass melting furnace(s) or kiln)</w:t>
            </w:r>
          </w:p>
        </w:tc>
      </w:tr>
      <w:tr w:rsidR="00597151" w:rsidRPr="000C5FD6" w14:paraId="52491116" w14:textId="77777777" w:rsidTr="007E5A9B">
        <w:tc>
          <w:tcPr>
            <w:tcW w:w="1701" w:type="dxa"/>
            <w:vAlign w:val="top"/>
          </w:tcPr>
          <w:p w14:paraId="34C95EB4" w14:textId="785E54AA" w:rsidR="00F151C5" w:rsidRDefault="00A57C88" w:rsidP="00081FD4">
            <w:pPr>
              <w:pStyle w:val="SDMTableBoxParaNotNumbered"/>
            </w:pPr>
            <m:oMathPara>
              <m:oMathParaPr>
                <m:jc m:val="left"/>
              </m:oMathParaPr>
              <m:oMath>
                <m:r>
                  <w:rPr>
                    <w:rFonts w:ascii="Cambria Math" w:hAnsi="Cambria Math"/>
                  </w:rPr>
                  <m:t>n</m:t>
                </m:r>
              </m:oMath>
            </m:oMathPara>
          </w:p>
        </w:tc>
        <w:tc>
          <w:tcPr>
            <w:tcW w:w="345" w:type="dxa"/>
            <w:vAlign w:val="top"/>
          </w:tcPr>
          <w:p w14:paraId="2C42E9A5" w14:textId="4913C74D" w:rsidR="00F151C5" w:rsidRPr="000C5FD6" w:rsidRDefault="00EF19E0" w:rsidP="00081FD4">
            <w:pPr>
              <w:pStyle w:val="SDMTableBoxParaNotNumbered"/>
            </w:pPr>
            <w:r w:rsidRPr="000C5FD6">
              <w:t>=</w:t>
            </w:r>
          </w:p>
        </w:tc>
        <w:tc>
          <w:tcPr>
            <w:tcW w:w="0" w:type="auto"/>
            <w:vAlign w:val="top"/>
          </w:tcPr>
          <w:p w14:paraId="1E0A3902" w14:textId="019EBE53" w:rsidR="00F151C5" w:rsidRPr="000C5FD6" w:rsidRDefault="00EF19E0" w:rsidP="00081FD4">
            <w:pPr>
              <w:pStyle w:val="SDMTableBoxParaNotNumbered"/>
            </w:pPr>
            <w:r w:rsidRPr="000C5FD6">
              <w:t>Heat generation equipment</w:t>
            </w:r>
            <w:r w:rsidR="00597151">
              <w:t xml:space="preserve"> unit</w:t>
            </w:r>
            <w:r w:rsidR="003C2DCC">
              <w:t> </w:t>
            </w:r>
            <w:r w:rsidR="00597151" w:rsidRPr="00597151">
              <w:rPr>
                <w:i/>
                <w:iCs/>
              </w:rPr>
              <w:t>n</w:t>
            </w:r>
            <w:r w:rsidR="00597151">
              <w:t xml:space="preserve"> of </w:t>
            </w:r>
            <w:r w:rsidRPr="000C5FD6">
              <w:t>type</w:t>
            </w:r>
            <w:r w:rsidR="003C2DCC">
              <w:t> </w:t>
            </w:r>
            <w:r w:rsidR="00597151" w:rsidRPr="00597151">
              <w:rPr>
                <w:i/>
                <w:iCs/>
              </w:rPr>
              <w:t>j</w:t>
            </w:r>
          </w:p>
        </w:tc>
      </w:tr>
    </w:tbl>
    <w:p w14:paraId="0E364E88" w14:textId="189107DC" w:rsidR="004334D2" w:rsidRPr="00FA147B" w:rsidRDefault="004334D2" w:rsidP="00E66E80">
      <w:pPr>
        <w:pStyle w:val="SDMPara"/>
      </w:pPr>
      <w:r>
        <w:t xml:space="preserve">Activity participants shall apply a </w:t>
      </w:r>
      <w:r w:rsidRPr="000C5FD6">
        <w:t xml:space="preserve">baseline energy efficiency </w:t>
      </w:r>
      <w:r w:rsidR="001E2241" w:rsidRPr="00910184">
        <w:t>(</w:t>
      </w:r>
      <w:r w:rsidR="001E2241" w:rsidRPr="000C5FD6">
        <w:rPr>
          <w:rFonts w:ascii="Symbol" w:eastAsia="Symbol" w:hAnsi="Symbol" w:cs="Symbol"/>
          <w:i/>
          <w:iCs/>
        </w:rPr>
        <w:t>h</w:t>
      </w:r>
      <w:r w:rsidR="001E2241" w:rsidRPr="000C5FD6">
        <w:rPr>
          <w:i/>
          <w:iCs/>
          <w:vertAlign w:val="subscript"/>
        </w:rPr>
        <w:t>HG,BL,</w:t>
      </w:r>
      <w:r w:rsidR="00BE4993">
        <w:rPr>
          <w:i/>
          <w:iCs/>
          <w:vertAlign w:val="subscript"/>
        </w:rPr>
        <w:t>n,</w:t>
      </w:r>
      <w:r w:rsidR="001E2241" w:rsidRPr="000C5FD6">
        <w:rPr>
          <w:i/>
          <w:iCs/>
          <w:vertAlign w:val="subscript"/>
        </w:rPr>
        <w:t>j</w:t>
      </w:r>
      <w:r w:rsidR="001E2241" w:rsidRPr="000C5FD6">
        <w:rPr>
          <w:iCs/>
        </w:rPr>
        <w:t>)</w:t>
      </w:r>
      <w:r w:rsidR="001E2241">
        <w:rPr>
          <w:iCs/>
        </w:rPr>
        <w:t xml:space="preserve"> </w:t>
      </w:r>
      <w:r w:rsidR="00A8003B">
        <w:t xml:space="preserve">that is </w:t>
      </w:r>
      <w:r>
        <w:t xml:space="preserve">the </w:t>
      </w:r>
      <w:r w:rsidR="001E2241">
        <w:t>higher of 90</w:t>
      </w:r>
      <w:r w:rsidR="00DA1735">
        <w:t xml:space="preserve"> per cent</w:t>
      </w:r>
      <w:r w:rsidR="001E2241">
        <w:t xml:space="preserve"> and </w:t>
      </w:r>
      <w:r>
        <w:t>the manufacturer</w:t>
      </w:r>
      <w:r w:rsidR="00A8003B">
        <w:t>’s efficiency energy rating</w:t>
      </w:r>
      <w:r>
        <w:t xml:space="preserve"> </w:t>
      </w:r>
      <w:r w:rsidR="001E2241">
        <w:t xml:space="preserve">for each </w:t>
      </w:r>
      <w:r w:rsidR="00A8003B">
        <w:t>piece of equipment</w:t>
      </w:r>
      <w:r w:rsidR="009F2801">
        <w:t xml:space="preserve"> (Vatopoulos et al, 2012)</w:t>
      </w:r>
      <w:r>
        <w:t>.</w:t>
      </w:r>
    </w:p>
    <w:p w14:paraId="546F6CFB" w14:textId="29DF9F2C" w:rsidR="004334D2" w:rsidRPr="000C5FD6" w:rsidRDefault="004334D2" w:rsidP="00E66E80">
      <w:pPr>
        <w:pStyle w:val="SDMPara"/>
      </w:pPr>
      <w:r w:rsidRPr="000C5FD6">
        <w:t>The amount of methane that is destroyed in the LFG that is sent to heat generation equipment </w:t>
      </w:r>
      <w:r w:rsidRPr="000C5FD6">
        <w:rPr>
          <w:i/>
        </w:rPr>
        <w:t>j</w:t>
      </w:r>
      <w:r w:rsidRPr="000C5FD6">
        <w:t xml:space="preserve"> </w:t>
      </w:r>
      <w:r>
        <w:t>(</w:t>
      </w:r>
      <w:r w:rsidRPr="000C5FD6">
        <w:rPr>
          <w:i/>
        </w:rPr>
        <w:t>F</w:t>
      </w:r>
      <w:r w:rsidRPr="000C5FD6">
        <w:rPr>
          <w:i/>
          <w:vertAlign w:val="subscript"/>
        </w:rPr>
        <w:t>CH4,HG,dest,</w:t>
      </w:r>
      <w:r w:rsidR="00562029">
        <w:rPr>
          <w:i/>
          <w:vertAlign w:val="subscript"/>
        </w:rPr>
        <w:t>n,</w:t>
      </w:r>
      <w:r w:rsidRPr="000C5FD6">
        <w:rPr>
          <w:i/>
          <w:vertAlign w:val="subscript"/>
        </w:rPr>
        <w:t>j,y</w:t>
      </w:r>
      <w:r>
        <w:t xml:space="preserve">) </w:t>
      </w:r>
      <w:r w:rsidRPr="000C5FD6">
        <w:t xml:space="preserve">is determined with </w:t>
      </w:r>
      <w:r w:rsidR="00245807">
        <w:t>E</w:t>
      </w:r>
      <w:r w:rsidRPr="000C5FD6">
        <w:t>quation (</w:t>
      </w:r>
      <w:r w:rsidR="007A2814">
        <w:t>20</w:t>
      </w:r>
      <w:r w:rsidRPr="000C5FD6">
        <w:t xml:space="preserve">) if </w:t>
      </w:r>
      <w:r w:rsidRPr="000C5FD6">
        <w:rPr>
          <w:i/>
        </w:rPr>
        <w:t>j</w:t>
      </w:r>
      <w:r w:rsidRPr="000C5FD6">
        <w:t xml:space="preserve"> is a boiler or air heater, or glass melting furnace, or with </w:t>
      </w:r>
      <w:r w:rsidR="00245807">
        <w:t>E</w:t>
      </w:r>
      <w:r w:rsidRPr="000C5FD6">
        <w:t>quation (</w:t>
      </w:r>
      <w:r w:rsidR="007A2814">
        <w:t>21</w:t>
      </w:r>
      <w:r w:rsidRPr="000C5FD6">
        <w:t xml:space="preserve">) if </w:t>
      </w:r>
      <w:r w:rsidRPr="000C5FD6">
        <w:rPr>
          <w:i/>
        </w:rPr>
        <w:t>j</w:t>
      </w:r>
      <w:r w:rsidRPr="000C5FD6">
        <w:t xml:space="preserve"> is a brick kiln. For the particular case of intermittent brick kilns, project participants may choose to apply either </w:t>
      </w:r>
      <w:r w:rsidR="00245807">
        <w:t>E</w:t>
      </w:r>
      <w:r w:rsidRPr="000C5FD6">
        <w:t>quation (</w:t>
      </w:r>
      <w:r w:rsidR="007A2814">
        <w:t>20</w:t>
      </w:r>
      <w:r w:rsidRPr="000C5FD6">
        <w:t>) or (2</w:t>
      </w:r>
      <w:r w:rsidR="007A2814">
        <w:t>1</w:t>
      </w:r>
      <w:r w:rsidRPr="000C5FD6">
        <w:t>).</w:t>
      </w:r>
    </w:p>
    <w:tbl>
      <w:tblPr>
        <w:tblStyle w:val="SDMMethTableEquation"/>
        <w:tblW w:w="8760" w:type="dxa"/>
        <w:tblLook w:val="0600" w:firstRow="0" w:lastRow="0" w:firstColumn="0" w:lastColumn="0" w:noHBand="1" w:noVBand="1"/>
      </w:tblPr>
      <w:tblGrid>
        <w:gridCol w:w="7096"/>
        <w:gridCol w:w="1664"/>
      </w:tblGrid>
      <w:tr w:rsidR="004334D2" w:rsidRPr="000C5FD6" w14:paraId="1479A7B2" w14:textId="77777777" w:rsidTr="007E5A9B">
        <w:tc>
          <w:tcPr>
            <w:tcW w:w="7096" w:type="dxa"/>
          </w:tcPr>
          <w:p w14:paraId="51B4AE27" w14:textId="5C7DE864" w:rsidR="004334D2" w:rsidRPr="000C5FD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HG, dest,n,j,y</m:t>
                    </m:r>
                  </m:sub>
                </m:sSub>
                <m:r>
                  <w:rPr>
                    <w:rFonts w:ascii="Cambria Math" w:hAnsi="Cambria Math"/>
                  </w:rPr>
                  <m:t>=</m:t>
                </m:r>
                <m:sSub>
                  <m:sSubPr>
                    <m:ctrlPr>
                      <w:rPr>
                        <w:rFonts w:ascii="Cambria Math" w:hAnsi="Cambria Math"/>
                        <w:i/>
                      </w:rPr>
                    </m:ctrlPr>
                  </m:sSubPr>
                  <m:e>
                    <m:r>
                      <w:rPr>
                        <w:rFonts w:ascii="Cambria Math" w:hAnsi="Cambria Math"/>
                      </w:rPr>
                      <m:t>fd</m:t>
                    </m:r>
                  </m:e>
                  <m:sub>
                    <m:r>
                      <w:rPr>
                        <w:rFonts w:ascii="Cambria Math" w:hAnsi="Cambria Math"/>
                      </w:rPr>
                      <m:t>CH4, HG, j, default</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 HG, n,j, y</m:t>
                    </m:r>
                  </m:sub>
                </m:sSub>
              </m:oMath>
            </m:oMathPara>
          </w:p>
        </w:tc>
        <w:tc>
          <w:tcPr>
            <w:tcW w:w="1664" w:type="dxa"/>
          </w:tcPr>
          <w:p w14:paraId="1B89E743" w14:textId="77777777" w:rsidR="004334D2" w:rsidRPr="000C5FD6" w:rsidRDefault="004334D2" w:rsidP="00247E9F">
            <w:pPr>
              <w:pStyle w:val="SDMMethEquationNr"/>
              <w:numPr>
                <w:ilvl w:val="0"/>
                <w:numId w:val="7"/>
              </w:numPr>
            </w:pPr>
          </w:p>
        </w:tc>
      </w:tr>
    </w:tbl>
    <w:p w14:paraId="1A230D8A"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815"/>
        <w:gridCol w:w="345"/>
        <w:gridCol w:w="6600"/>
      </w:tblGrid>
      <w:tr w:rsidR="004334D2" w:rsidRPr="000C5FD6" w14:paraId="3B06CEE6" w14:textId="77777777" w:rsidTr="007E5A9B">
        <w:tc>
          <w:tcPr>
            <w:tcW w:w="1815" w:type="dxa"/>
            <w:vAlign w:val="top"/>
          </w:tcPr>
          <w:p w14:paraId="4DCB319C" w14:textId="77777777" w:rsidR="004334D2" w:rsidRPr="000C5FD6" w:rsidRDefault="00302468" w:rsidP="00081FD4">
            <w:pPr>
              <w:pStyle w:val="SDMTableBoxParaNotNumbered"/>
              <w:keepNext/>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CH4, HG, dest,j,y</m:t>
                    </m:r>
                  </m:sub>
                </m:sSub>
              </m:oMath>
            </m:oMathPara>
          </w:p>
        </w:tc>
        <w:tc>
          <w:tcPr>
            <w:tcW w:w="345" w:type="dxa"/>
            <w:vAlign w:val="top"/>
          </w:tcPr>
          <w:p w14:paraId="073B1CA5" w14:textId="77777777" w:rsidR="004334D2" w:rsidRPr="000C5FD6" w:rsidRDefault="004334D2" w:rsidP="00081FD4">
            <w:pPr>
              <w:pStyle w:val="SDMTableBoxParaNotNumbered"/>
              <w:keepNext/>
            </w:pPr>
            <w:r w:rsidRPr="000C5FD6">
              <w:t>=</w:t>
            </w:r>
          </w:p>
        </w:tc>
        <w:tc>
          <w:tcPr>
            <w:tcW w:w="0" w:type="auto"/>
            <w:vAlign w:val="top"/>
          </w:tcPr>
          <w:p w14:paraId="01C699CC" w14:textId="4B986738" w:rsidR="004334D2" w:rsidRPr="000C5FD6" w:rsidRDefault="00B93F76" w:rsidP="00081FD4">
            <w:pPr>
              <w:pStyle w:val="SDMTableBoxParaNotNumbered"/>
              <w:keepNext/>
            </w:pPr>
            <w:r w:rsidRPr="000C5FD6">
              <w:t>Amount of methane in the LFG</w:t>
            </w:r>
            <w:r>
              <w:t xml:space="preserve"> or the biomethane</w:t>
            </w:r>
            <w:r w:rsidRPr="000C5FD6">
              <w:t xml:space="preserve"> which is destroyed for heat generation by equipment </w:t>
            </w:r>
            <w:r>
              <w:t>unit</w:t>
            </w:r>
            <w:r w:rsidR="003C2DCC">
              <w:t> </w:t>
            </w:r>
            <w:r w:rsidRPr="009432E2">
              <w:rPr>
                <w:i/>
                <w:iCs/>
              </w:rPr>
              <w:t>n</w:t>
            </w:r>
            <w:r>
              <w:t xml:space="preserve"> of </w:t>
            </w:r>
            <w:r w:rsidRPr="000C5FD6">
              <w:t>type</w:t>
            </w:r>
            <w:r w:rsidR="003C2DCC">
              <w:t> </w:t>
            </w:r>
            <w:r w:rsidRPr="000C5FD6">
              <w:rPr>
                <w:i/>
              </w:rPr>
              <w:t xml:space="preserve">j </w:t>
            </w:r>
            <w:r w:rsidRPr="000C5FD6">
              <w:rPr>
                <w:iCs/>
              </w:rPr>
              <w:t>in year </w:t>
            </w:r>
            <w:r w:rsidRPr="000C5FD6">
              <w:rPr>
                <w:i/>
                <w:iCs/>
              </w:rPr>
              <w:t>y</w:t>
            </w:r>
            <w:r w:rsidRPr="000C5FD6">
              <w:t xml:space="preserve"> (tCH</w:t>
            </w:r>
            <w:r w:rsidRPr="000C5FD6">
              <w:rPr>
                <w:vertAlign w:val="subscript"/>
              </w:rPr>
              <w:t>4</w:t>
            </w:r>
            <w:r w:rsidRPr="000C5FD6">
              <w:t>/y</w:t>
            </w:r>
            <w:r>
              <w:t>ea</w:t>
            </w:r>
            <w:r w:rsidRPr="000C5FD6">
              <w:t>r)</w:t>
            </w:r>
          </w:p>
        </w:tc>
      </w:tr>
      <w:tr w:rsidR="004334D2" w:rsidRPr="000C5FD6" w14:paraId="750CDC07" w14:textId="77777777" w:rsidTr="007E5A9B">
        <w:tc>
          <w:tcPr>
            <w:tcW w:w="1815" w:type="dxa"/>
            <w:vAlign w:val="top"/>
          </w:tcPr>
          <w:p w14:paraId="0F3C1258" w14:textId="77777777" w:rsidR="004334D2" w:rsidRPr="000C5FD6" w:rsidRDefault="00302468" w:rsidP="00081FD4">
            <w:pPr>
              <w:pStyle w:val="SDMTableBoxParaNotNumbered"/>
              <w:keepNext/>
            </w:pPr>
            <m:oMathPara>
              <m:oMathParaPr>
                <m:jc m:val="left"/>
              </m:oMathParaPr>
              <m:oMath>
                <m:sSub>
                  <m:sSubPr>
                    <m:ctrlPr>
                      <w:rPr>
                        <w:rFonts w:ascii="Cambria Math" w:hAnsi="Cambria Math" w:cs="Arial"/>
                        <w:i/>
                      </w:rPr>
                    </m:ctrlPr>
                  </m:sSubPr>
                  <m:e>
                    <m:r>
                      <w:rPr>
                        <w:rFonts w:ascii="Cambria Math" w:hAnsi="Cambria Math"/>
                      </w:rPr>
                      <m:t>fd</m:t>
                    </m:r>
                  </m:e>
                  <m:sub>
                    <m:r>
                      <w:rPr>
                        <w:rFonts w:ascii="Cambria Math" w:hAnsi="Cambria Math"/>
                      </w:rPr>
                      <m:t>CH4, HG, j, default</m:t>
                    </m:r>
                  </m:sub>
                </m:sSub>
              </m:oMath>
            </m:oMathPara>
          </w:p>
        </w:tc>
        <w:tc>
          <w:tcPr>
            <w:tcW w:w="345" w:type="dxa"/>
            <w:vAlign w:val="top"/>
          </w:tcPr>
          <w:p w14:paraId="0E987AB6" w14:textId="77777777" w:rsidR="004334D2" w:rsidRPr="000C5FD6" w:rsidRDefault="004334D2" w:rsidP="00081FD4">
            <w:pPr>
              <w:pStyle w:val="SDMTableBoxParaNotNumbered"/>
              <w:keepNext/>
            </w:pPr>
            <w:r w:rsidRPr="000C5FD6">
              <w:t>=</w:t>
            </w:r>
          </w:p>
        </w:tc>
        <w:tc>
          <w:tcPr>
            <w:tcW w:w="0" w:type="auto"/>
            <w:vAlign w:val="top"/>
          </w:tcPr>
          <w:p w14:paraId="0AA84933" w14:textId="2F6E84C2" w:rsidR="004334D2" w:rsidRPr="000C5FD6" w:rsidRDefault="004334D2" w:rsidP="00081FD4">
            <w:pPr>
              <w:pStyle w:val="SDMTableBoxParaNotNumbered"/>
              <w:keepNext/>
            </w:pPr>
            <w:r w:rsidRPr="000C5FD6">
              <w:rPr>
                <w:snapToGrid w:val="0"/>
                <w:color w:val="000000"/>
                <w:lang w:eastAsia="pt-BR"/>
              </w:rPr>
              <w:t>Default value for the fraction of methane destroyed when used for heat generation equipment type </w:t>
            </w:r>
            <w:r w:rsidRPr="000C5FD6">
              <w:rPr>
                <w:i/>
                <w:snapToGrid w:val="0"/>
                <w:color w:val="000000"/>
                <w:lang w:eastAsia="pt-BR"/>
              </w:rPr>
              <w:t>j</w:t>
            </w:r>
            <w:r w:rsidR="008502AB">
              <w:rPr>
                <w:lang w:val="en-US"/>
              </w:rPr>
              <w:t xml:space="preserve"> (dimensionless)</w:t>
            </w:r>
          </w:p>
        </w:tc>
      </w:tr>
      <w:tr w:rsidR="004334D2" w:rsidRPr="000C5FD6" w14:paraId="2D7B9D9C" w14:textId="77777777" w:rsidTr="007E5A9B">
        <w:tc>
          <w:tcPr>
            <w:tcW w:w="1815" w:type="dxa"/>
            <w:vAlign w:val="top"/>
          </w:tcPr>
          <w:p w14:paraId="0961E2B8" w14:textId="24882DF6" w:rsidR="004334D2" w:rsidRPr="000C5FD6"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CH4, HG, n,j, y</m:t>
                    </m:r>
                  </m:sub>
                </m:sSub>
              </m:oMath>
            </m:oMathPara>
          </w:p>
        </w:tc>
        <w:tc>
          <w:tcPr>
            <w:tcW w:w="345" w:type="dxa"/>
            <w:vAlign w:val="top"/>
          </w:tcPr>
          <w:p w14:paraId="0B436F29" w14:textId="77777777" w:rsidR="004334D2" w:rsidRPr="000C5FD6" w:rsidRDefault="004334D2" w:rsidP="00081FD4">
            <w:pPr>
              <w:pStyle w:val="SDMTableBoxParaNotNumbered"/>
            </w:pPr>
            <w:r w:rsidRPr="000C5FD6">
              <w:t>=</w:t>
            </w:r>
          </w:p>
        </w:tc>
        <w:tc>
          <w:tcPr>
            <w:tcW w:w="0" w:type="auto"/>
            <w:vAlign w:val="top"/>
          </w:tcPr>
          <w:p w14:paraId="350C21DB" w14:textId="52FDA75D" w:rsidR="004334D2" w:rsidRPr="000C5FD6" w:rsidRDefault="004334D2" w:rsidP="00081FD4">
            <w:pPr>
              <w:pStyle w:val="SDMTableBoxParaNotNumbered"/>
            </w:pPr>
            <w:r w:rsidRPr="000C5FD6">
              <w:t xml:space="preserve">Amount of methane in the LFG which is used for heat generation </w:t>
            </w:r>
            <w:r w:rsidR="006C1FC1">
              <w:t>in unit</w:t>
            </w:r>
            <w:r w:rsidR="003C2DCC">
              <w:t> </w:t>
            </w:r>
            <w:r w:rsidR="006C1FC1" w:rsidRPr="006C1FC1">
              <w:rPr>
                <w:i/>
                <w:iCs/>
              </w:rPr>
              <w:t>n</w:t>
            </w:r>
            <w:r w:rsidR="006C1FC1">
              <w:t xml:space="preserve"> of </w:t>
            </w:r>
            <w:r w:rsidRPr="000C5FD6">
              <w:t>equipment type </w:t>
            </w:r>
            <w:r w:rsidRPr="000C5FD6">
              <w:rPr>
                <w:i/>
              </w:rPr>
              <w:t>j</w:t>
            </w:r>
            <w:r w:rsidRPr="000C5FD6">
              <w:t xml:space="preserve"> </w:t>
            </w:r>
            <w:r w:rsidRPr="000C5FD6">
              <w:rPr>
                <w:iCs/>
              </w:rPr>
              <w:t>in year </w:t>
            </w:r>
            <w:r w:rsidRPr="000C5FD6">
              <w:rPr>
                <w:i/>
                <w:iCs/>
              </w:rPr>
              <w:t>y</w:t>
            </w:r>
            <w:r w:rsidRPr="000C5FD6">
              <w:t xml:space="preserve"> (tCH</w:t>
            </w:r>
            <w:r w:rsidRPr="000C5FD6">
              <w:rPr>
                <w:vertAlign w:val="subscript"/>
              </w:rPr>
              <w:t>4</w:t>
            </w:r>
            <w:r w:rsidRPr="000C5FD6">
              <w:t>/y</w:t>
            </w:r>
            <w:r>
              <w:t>ea</w:t>
            </w:r>
            <w:r w:rsidRPr="000C5FD6">
              <w:t>r)</w:t>
            </w:r>
          </w:p>
        </w:tc>
      </w:tr>
    </w:tbl>
    <w:p w14:paraId="7A5A3559" w14:textId="5024BF97" w:rsidR="004334D2" w:rsidRPr="000C5FD6" w:rsidRDefault="004334D2" w:rsidP="00E66E80">
      <w:pPr>
        <w:pStyle w:val="SDMPara"/>
      </w:pPr>
      <w:r w:rsidRPr="000C5FD6">
        <w:rPr>
          <w:i/>
        </w:rPr>
        <w:t>F</w:t>
      </w:r>
      <w:r w:rsidRPr="000C5FD6">
        <w:rPr>
          <w:i/>
          <w:vertAlign w:val="subscript"/>
        </w:rPr>
        <w:t>CH4,HG,</w:t>
      </w:r>
      <w:r w:rsidR="003B4665">
        <w:rPr>
          <w:i/>
          <w:vertAlign w:val="subscript"/>
        </w:rPr>
        <w:t>n,</w:t>
      </w:r>
      <w:r w:rsidRPr="000C5FD6">
        <w:rPr>
          <w:i/>
          <w:vertAlign w:val="subscript"/>
        </w:rPr>
        <w:t>j,y</w:t>
      </w:r>
      <w:r w:rsidRPr="000C5FD6">
        <w:t xml:space="preserve"> is determined according to </w:t>
      </w:r>
      <w:r w:rsidR="00FA37C4">
        <w:t xml:space="preserve">paragraphs </w:t>
      </w:r>
      <w:r w:rsidR="00FA37C4">
        <w:fldChar w:fldCharType="begin"/>
      </w:r>
      <w:r w:rsidR="00FA37C4">
        <w:instrText xml:space="preserve"> REF _Ref211523014 \w \h </w:instrText>
      </w:r>
      <w:r w:rsidR="00FA37C4">
        <w:fldChar w:fldCharType="separate"/>
      </w:r>
      <w:r w:rsidR="00302468">
        <w:rPr>
          <w:cs/>
        </w:rPr>
        <w:t>‎</w:t>
      </w:r>
      <w:r w:rsidR="00302468">
        <w:t>83</w:t>
      </w:r>
      <w:r w:rsidR="00FA37C4">
        <w:fldChar w:fldCharType="end"/>
      </w:r>
      <w:r w:rsidR="00FA37C4">
        <w:t xml:space="preserve"> and </w:t>
      </w:r>
      <w:r w:rsidR="00FA37C4">
        <w:fldChar w:fldCharType="begin"/>
      </w:r>
      <w:r w:rsidR="00FA37C4">
        <w:instrText xml:space="preserve"> REF _Ref211523023 \w \p \h </w:instrText>
      </w:r>
      <w:r w:rsidR="00FA37C4">
        <w:fldChar w:fldCharType="separate"/>
      </w:r>
      <w:r w:rsidR="00302468">
        <w:rPr>
          <w:cs/>
        </w:rPr>
        <w:t>‎</w:t>
      </w:r>
      <w:r w:rsidR="00302468">
        <w:t>84 above</w:t>
      </w:r>
      <w:r w:rsidR="00FA37C4">
        <w:fldChar w:fldCharType="end"/>
      </w:r>
      <w:r w:rsidRPr="000C5FD6">
        <w:t>, where</w:t>
      </w:r>
      <w:r w:rsidR="00FA3F36">
        <w:t xml:space="preserve"> </w:t>
      </w:r>
      <w:r w:rsidRPr="000C5FD6">
        <w:rPr>
          <w:i/>
        </w:rPr>
        <w:t>j</w:t>
      </w:r>
      <w:r w:rsidRPr="000C5FD6">
        <w:t xml:space="preserve"> is each item of heat generation equipment</w:t>
      </w:r>
      <w:r w:rsidR="00E737A3">
        <w:t xml:space="preserve">, and </w:t>
      </w:r>
      <w:r w:rsidR="00E737A3" w:rsidRPr="00E737A3">
        <w:rPr>
          <w:i/>
          <w:iCs/>
        </w:rPr>
        <w:t>n</w:t>
      </w:r>
      <w:r w:rsidR="00E737A3">
        <w:t xml:space="preserve"> is the unit of equipment type</w:t>
      </w:r>
      <w:r w:rsidR="003C2DCC">
        <w:t> </w:t>
      </w:r>
      <w:r w:rsidR="00E737A3" w:rsidRPr="00E737A3">
        <w:rPr>
          <w:i/>
          <w:iCs/>
        </w:rPr>
        <w:t>j</w:t>
      </w:r>
      <w:r w:rsidRPr="000C5FD6">
        <w:t>.</w:t>
      </w:r>
    </w:p>
    <w:tbl>
      <w:tblPr>
        <w:tblStyle w:val="SDMMethTableEquation"/>
        <w:tblW w:w="8760" w:type="dxa"/>
        <w:tblLook w:val="0600" w:firstRow="0" w:lastRow="0" w:firstColumn="0" w:lastColumn="0" w:noHBand="1" w:noVBand="1"/>
      </w:tblPr>
      <w:tblGrid>
        <w:gridCol w:w="7095"/>
        <w:gridCol w:w="1665"/>
      </w:tblGrid>
      <w:tr w:rsidR="004334D2" w:rsidRPr="000C5FD6" w14:paraId="18538EC9" w14:textId="77777777" w:rsidTr="007E5A9B">
        <w:tc>
          <w:tcPr>
            <w:tcW w:w="7095" w:type="dxa"/>
          </w:tcPr>
          <w:p w14:paraId="71BD82B4" w14:textId="24579AC7" w:rsidR="004334D2" w:rsidRPr="000C5FD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HG, dest, n,j,y</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n</m:t>
                    </m:r>
                  </m:sub>
                  <m:sup/>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8,760</m:t>
                        </m:r>
                      </m:sup>
                      <m:e>
                        <m:d>
                          <m:dPr>
                            <m:ctrlPr>
                              <w:rPr>
                                <w:rFonts w:ascii="Cambria Math" w:hAnsi="Cambria Math"/>
                                <w:i/>
                              </w:rPr>
                            </m:ctrlPr>
                          </m:dPr>
                          <m:e>
                            <m:sSub>
                              <m:sSubPr>
                                <m:ctrlPr>
                                  <w:rPr>
                                    <w:rFonts w:ascii="Cambria Math" w:hAnsi="Cambria Math"/>
                                    <w:i/>
                                  </w:rPr>
                                </m:ctrlPr>
                              </m:sSubPr>
                              <m:e>
                                <m:r>
                                  <w:rPr>
                                    <w:rFonts w:ascii="Cambria Math" w:hAnsi="Cambria Math"/>
                                  </w:rPr>
                                  <m:t>fd</m:t>
                                </m:r>
                              </m:e>
                              <m:sub>
                                <m:r>
                                  <w:rPr>
                                    <w:rFonts w:ascii="Cambria Math" w:hAnsi="Cambria Math"/>
                                  </w:rPr>
                                  <m:t>CH4, kiln,h</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 HG, kiln,n, h</m:t>
                                </m:r>
                              </m:sub>
                            </m:sSub>
                          </m:e>
                        </m:d>
                      </m:e>
                    </m:nary>
                  </m:e>
                </m:nary>
              </m:oMath>
            </m:oMathPara>
          </w:p>
        </w:tc>
        <w:tc>
          <w:tcPr>
            <w:tcW w:w="1665" w:type="dxa"/>
            <w:vAlign w:val="center"/>
          </w:tcPr>
          <w:p w14:paraId="0E4C1879" w14:textId="77777777" w:rsidR="004334D2" w:rsidRPr="000C5FD6" w:rsidRDefault="004334D2" w:rsidP="00247E9F">
            <w:pPr>
              <w:pStyle w:val="SDMMethEquationNr"/>
              <w:numPr>
                <w:ilvl w:val="0"/>
                <w:numId w:val="7"/>
              </w:numPr>
            </w:pPr>
          </w:p>
        </w:tc>
      </w:tr>
    </w:tbl>
    <w:p w14:paraId="58996AAB" w14:textId="77777777" w:rsidR="004334D2" w:rsidRPr="000C5FD6" w:rsidRDefault="004334D2" w:rsidP="00E66E80">
      <w:pPr>
        <w:pStyle w:val="SDMPara"/>
      </w:pPr>
      <w:r w:rsidRPr="000C5FD6">
        <w:rPr>
          <w:iCs/>
        </w:rPr>
        <w:t xml:space="preserve">With: </w:t>
      </w:r>
      <w:r w:rsidRPr="000C5FD6">
        <w:rPr>
          <w:i/>
          <w:iCs/>
        </w:rPr>
        <w:t>fd</w:t>
      </w:r>
      <w:r w:rsidRPr="000C5FD6">
        <w:rPr>
          <w:i/>
          <w:iCs/>
          <w:vertAlign w:val="subscript"/>
        </w:rPr>
        <w:t>CH4,kiln,h</w:t>
      </w:r>
      <w:r w:rsidRPr="000C5FD6">
        <w:rPr>
          <w:iCs/>
        </w:rPr>
        <w:t> = </w:t>
      </w:r>
      <w:r>
        <w:rPr>
          <w:iCs/>
        </w:rPr>
        <w:t>0.9 as per the table from default values</w:t>
      </w:r>
      <w:r w:rsidRPr="000C5FD6">
        <w:rPr>
          <w:iCs/>
        </w:rPr>
        <w:t xml:space="preserve"> if </w:t>
      </w:r>
      <w:r w:rsidRPr="000C5FD6">
        <w:rPr>
          <w:i/>
          <w:iCs/>
        </w:rPr>
        <w:t>Q</w:t>
      </w:r>
      <w:r w:rsidRPr="000C5FD6">
        <w:rPr>
          <w:i/>
          <w:iCs/>
          <w:vertAlign w:val="subscript"/>
        </w:rPr>
        <w:t>O2,kiln,h</w:t>
      </w:r>
      <w:r w:rsidRPr="000C5FD6">
        <w:rPr>
          <w:iCs/>
        </w:rPr>
        <w:t xml:space="preserve"> &gt; 0, and otherwise </w:t>
      </w:r>
      <w:r w:rsidRPr="000C5FD6">
        <w:rPr>
          <w:i/>
          <w:iCs/>
        </w:rPr>
        <w:t>fd</w:t>
      </w:r>
      <w:r w:rsidRPr="000C5FD6">
        <w:rPr>
          <w:i/>
          <w:iCs/>
          <w:vertAlign w:val="subscript"/>
        </w:rPr>
        <w:t>CH4,kiln,h</w:t>
      </w:r>
      <w:r w:rsidRPr="000C5FD6">
        <w:rPr>
          <w:iCs/>
        </w:rPr>
        <w:t> = 0.</w:t>
      </w:r>
    </w:p>
    <w:p w14:paraId="109DFE10"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C5FD6" w14:paraId="05068ADF" w14:textId="77777777" w:rsidTr="007E5A9B">
        <w:tc>
          <w:tcPr>
            <w:tcW w:w="1701" w:type="dxa"/>
            <w:vAlign w:val="top"/>
          </w:tcPr>
          <w:p w14:paraId="18285A6C" w14:textId="51FE3170"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HG, dest, n,j,y</m:t>
                    </m:r>
                  </m:sub>
                </m:sSub>
              </m:oMath>
            </m:oMathPara>
          </w:p>
        </w:tc>
        <w:tc>
          <w:tcPr>
            <w:tcW w:w="345" w:type="dxa"/>
            <w:vAlign w:val="top"/>
          </w:tcPr>
          <w:p w14:paraId="5F2193F6" w14:textId="77777777" w:rsidR="004334D2" w:rsidRPr="000C5FD6" w:rsidRDefault="004334D2" w:rsidP="00081FD4">
            <w:pPr>
              <w:pStyle w:val="SDMTableBoxParaNotNumbered"/>
            </w:pPr>
            <w:r w:rsidRPr="000C5FD6">
              <w:t>=</w:t>
            </w:r>
          </w:p>
        </w:tc>
        <w:tc>
          <w:tcPr>
            <w:tcW w:w="0" w:type="auto"/>
            <w:vAlign w:val="top"/>
          </w:tcPr>
          <w:p w14:paraId="26361D16" w14:textId="503E403A" w:rsidR="004334D2" w:rsidRPr="000C5FD6" w:rsidRDefault="004334D2" w:rsidP="00081FD4">
            <w:pPr>
              <w:pStyle w:val="SDMTableBoxParaNotNumbered"/>
            </w:pPr>
            <w:r w:rsidRPr="000C5FD6">
              <w:t>Amount of methane in the LFG which is destroyed for heat generation by brick kiln</w:t>
            </w:r>
            <w:r w:rsidRPr="00004332">
              <w:rPr>
                <w:iCs/>
              </w:rPr>
              <w:t xml:space="preserve"> </w:t>
            </w:r>
            <w:r w:rsidR="00004332" w:rsidRPr="00004332">
              <w:rPr>
                <w:iCs/>
              </w:rPr>
              <w:t xml:space="preserve">unit </w:t>
            </w:r>
            <w:r w:rsidR="00004332">
              <w:rPr>
                <w:i/>
              </w:rPr>
              <w:t xml:space="preserve">n </w:t>
            </w:r>
            <w:r w:rsidRPr="000C5FD6">
              <w:rPr>
                <w:iCs/>
              </w:rPr>
              <w:t>in year </w:t>
            </w:r>
            <w:r w:rsidRPr="000C5FD6">
              <w:rPr>
                <w:i/>
                <w:iCs/>
              </w:rPr>
              <w:t>y</w:t>
            </w:r>
            <w:r w:rsidRPr="000C5FD6">
              <w:t xml:space="preserve"> (tCH</w:t>
            </w:r>
            <w:r w:rsidRPr="000C5FD6">
              <w:rPr>
                <w:vertAlign w:val="subscript"/>
              </w:rPr>
              <w:t>4</w:t>
            </w:r>
            <w:r w:rsidRPr="000C5FD6">
              <w:t>/y</w:t>
            </w:r>
            <w:r>
              <w:t>ea</w:t>
            </w:r>
            <w:r w:rsidRPr="000C5FD6">
              <w:t>r)</w:t>
            </w:r>
          </w:p>
        </w:tc>
      </w:tr>
      <w:tr w:rsidR="004334D2" w:rsidRPr="000C5FD6" w14:paraId="3AACEC7A" w14:textId="77777777" w:rsidTr="007E5A9B">
        <w:tc>
          <w:tcPr>
            <w:tcW w:w="1701" w:type="dxa"/>
            <w:vAlign w:val="top"/>
          </w:tcPr>
          <w:p w14:paraId="670A3120" w14:textId="77777777"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fd</m:t>
                    </m:r>
                  </m:e>
                  <m:sub>
                    <m:r>
                      <w:rPr>
                        <w:rFonts w:ascii="Cambria Math" w:hAnsi="Cambria Math"/>
                      </w:rPr>
                      <m:t>CH4, kiln, h</m:t>
                    </m:r>
                  </m:sub>
                </m:sSub>
              </m:oMath>
            </m:oMathPara>
          </w:p>
        </w:tc>
        <w:tc>
          <w:tcPr>
            <w:tcW w:w="345" w:type="dxa"/>
            <w:vAlign w:val="top"/>
          </w:tcPr>
          <w:p w14:paraId="0D0B8799" w14:textId="77777777" w:rsidR="004334D2" w:rsidRPr="000C5FD6" w:rsidRDefault="004334D2" w:rsidP="00081FD4">
            <w:pPr>
              <w:pStyle w:val="SDMTableBoxParaNotNumbered"/>
            </w:pPr>
            <w:r w:rsidRPr="000C5FD6">
              <w:t>=</w:t>
            </w:r>
          </w:p>
        </w:tc>
        <w:tc>
          <w:tcPr>
            <w:tcW w:w="0" w:type="auto"/>
            <w:vAlign w:val="top"/>
          </w:tcPr>
          <w:p w14:paraId="0E5DAC70" w14:textId="77777777" w:rsidR="004334D2" w:rsidRPr="000C5FD6" w:rsidRDefault="004334D2" w:rsidP="00081FD4">
            <w:pPr>
              <w:pStyle w:val="SDMTableBoxParaNotNumbered"/>
            </w:pPr>
            <w:r w:rsidRPr="000C5FD6">
              <w:t xml:space="preserve">Fraction of methane destroyed </w:t>
            </w:r>
            <w:r w:rsidRPr="000C5FD6">
              <w:rPr>
                <w:snapToGrid w:val="0"/>
                <w:color w:val="000000"/>
                <w:lang w:eastAsia="pt-BR"/>
              </w:rPr>
              <w:t>when used for heat generation in a brick kiln in hour </w:t>
            </w:r>
            <w:r w:rsidRPr="000C5FD6">
              <w:rPr>
                <w:i/>
                <w:snapToGrid w:val="0"/>
                <w:color w:val="000000"/>
                <w:lang w:eastAsia="pt-BR"/>
              </w:rPr>
              <w:t>h</w:t>
            </w:r>
          </w:p>
        </w:tc>
      </w:tr>
      <w:tr w:rsidR="004334D2" w:rsidRPr="000C5FD6" w14:paraId="1FA0916D" w14:textId="77777777" w:rsidTr="007E5A9B">
        <w:tc>
          <w:tcPr>
            <w:tcW w:w="1701" w:type="dxa"/>
            <w:vAlign w:val="top"/>
          </w:tcPr>
          <w:p w14:paraId="16F8C91B" w14:textId="02AF11F4"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HG, kiln, n,h</m:t>
                    </m:r>
                  </m:sub>
                </m:sSub>
              </m:oMath>
            </m:oMathPara>
          </w:p>
        </w:tc>
        <w:tc>
          <w:tcPr>
            <w:tcW w:w="345" w:type="dxa"/>
            <w:vAlign w:val="top"/>
          </w:tcPr>
          <w:p w14:paraId="6147E0E8" w14:textId="77777777" w:rsidR="004334D2" w:rsidRPr="000C5FD6" w:rsidRDefault="004334D2" w:rsidP="00081FD4">
            <w:pPr>
              <w:pStyle w:val="SDMTableBoxParaNotNumbered"/>
            </w:pPr>
            <w:r w:rsidRPr="000C5FD6">
              <w:t>=</w:t>
            </w:r>
          </w:p>
        </w:tc>
        <w:tc>
          <w:tcPr>
            <w:tcW w:w="0" w:type="auto"/>
            <w:vAlign w:val="top"/>
          </w:tcPr>
          <w:p w14:paraId="1D8C04CB" w14:textId="1F90DE95" w:rsidR="004334D2" w:rsidRPr="000C5FD6" w:rsidRDefault="004334D2" w:rsidP="00081FD4">
            <w:pPr>
              <w:pStyle w:val="SDMTableBoxParaNotNumbered"/>
            </w:pPr>
            <w:r w:rsidRPr="000C5FD6">
              <w:t xml:space="preserve">Amount of methane in the LFG which is used for heat generation </w:t>
            </w:r>
            <w:r w:rsidRPr="000C5FD6">
              <w:rPr>
                <w:iCs/>
              </w:rPr>
              <w:t>by brick kiln</w:t>
            </w:r>
            <w:r w:rsidR="00004332">
              <w:rPr>
                <w:iCs/>
              </w:rPr>
              <w:t xml:space="preserve"> unit </w:t>
            </w:r>
            <w:r w:rsidR="00004332" w:rsidRPr="00004332">
              <w:rPr>
                <w:i/>
              </w:rPr>
              <w:t>n</w:t>
            </w:r>
            <w:r w:rsidRPr="000C5FD6">
              <w:rPr>
                <w:iCs/>
              </w:rPr>
              <w:t xml:space="preserve"> in hour </w:t>
            </w:r>
            <w:r w:rsidRPr="000C5FD6">
              <w:rPr>
                <w:i/>
                <w:iCs/>
              </w:rPr>
              <w:t>h</w:t>
            </w:r>
            <w:r w:rsidRPr="000C5FD6">
              <w:rPr>
                <w:iCs/>
              </w:rPr>
              <w:t xml:space="preserve"> </w:t>
            </w:r>
            <w:r w:rsidRPr="000C5FD6">
              <w:t>(tCH</w:t>
            </w:r>
            <w:r w:rsidRPr="000C5FD6">
              <w:rPr>
                <w:vertAlign w:val="subscript"/>
              </w:rPr>
              <w:t>4</w:t>
            </w:r>
            <w:r w:rsidRPr="000C5FD6">
              <w:t>/h</w:t>
            </w:r>
            <w:r>
              <w:t>ou</w:t>
            </w:r>
            <w:r w:rsidRPr="000C5FD6">
              <w:t>r)</w:t>
            </w:r>
          </w:p>
        </w:tc>
      </w:tr>
      <w:tr w:rsidR="004334D2" w:rsidRPr="000C5FD6" w14:paraId="4A371E3F" w14:textId="77777777" w:rsidTr="007E5A9B">
        <w:tc>
          <w:tcPr>
            <w:tcW w:w="1701" w:type="dxa"/>
            <w:vAlign w:val="top"/>
          </w:tcPr>
          <w:p w14:paraId="6DF7C67B" w14:textId="1C205734" w:rsidR="004334D2" w:rsidRPr="00154108"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Q</m:t>
                    </m:r>
                  </m:e>
                  <m:sub>
                    <m:r>
                      <w:rPr>
                        <w:rFonts w:ascii="Cambria Math" w:hAnsi="Cambria Math"/>
                      </w:rPr>
                      <m:t>O2, kiln,n, h</m:t>
                    </m:r>
                  </m:sub>
                </m:sSub>
              </m:oMath>
            </m:oMathPara>
          </w:p>
        </w:tc>
        <w:tc>
          <w:tcPr>
            <w:tcW w:w="345" w:type="dxa"/>
            <w:vAlign w:val="top"/>
          </w:tcPr>
          <w:p w14:paraId="55864C40" w14:textId="77777777" w:rsidR="004334D2" w:rsidRPr="000C5FD6" w:rsidRDefault="004334D2" w:rsidP="00081FD4">
            <w:pPr>
              <w:pStyle w:val="SDMTableBoxParaNotNumbered"/>
            </w:pPr>
            <w:r w:rsidRPr="000C5FD6">
              <w:t>=</w:t>
            </w:r>
          </w:p>
        </w:tc>
        <w:tc>
          <w:tcPr>
            <w:tcW w:w="0" w:type="auto"/>
            <w:vAlign w:val="top"/>
          </w:tcPr>
          <w:p w14:paraId="1C281EED" w14:textId="30FCCA0C" w:rsidR="004334D2" w:rsidRPr="000C5FD6" w:rsidRDefault="004334D2" w:rsidP="00081FD4">
            <w:pPr>
              <w:pStyle w:val="SDMTableBoxParaNotNumbered"/>
            </w:pPr>
            <w:r w:rsidRPr="000C5FD6">
              <w:t xml:space="preserve">Average volumetric fraction of oxygen in the exhaust gas flow of the kiln </w:t>
            </w:r>
            <w:r w:rsidR="00004332">
              <w:t xml:space="preserve">unit </w:t>
            </w:r>
            <w:r w:rsidR="00004332" w:rsidRPr="00C92386">
              <w:rPr>
                <w:i/>
                <w:iCs/>
              </w:rPr>
              <w:t>n</w:t>
            </w:r>
            <w:r w:rsidR="00004332">
              <w:t xml:space="preserve"> </w:t>
            </w:r>
            <w:r w:rsidRPr="000C5FD6">
              <w:t>in hour </w:t>
            </w:r>
            <w:r w:rsidRPr="000C5FD6">
              <w:rPr>
                <w:i/>
              </w:rPr>
              <w:t>h</w:t>
            </w:r>
            <w:r w:rsidRPr="000C5FD6">
              <w:t xml:space="preserve"> (volume of O</w:t>
            </w:r>
            <w:r w:rsidRPr="000C5FD6">
              <w:rPr>
                <w:vertAlign w:val="subscript"/>
              </w:rPr>
              <w:t>2</w:t>
            </w:r>
            <w:r w:rsidRPr="000C5FD6">
              <w:t>/volume of the gas stream)</w:t>
            </w:r>
          </w:p>
        </w:tc>
      </w:tr>
      <w:tr w:rsidR="004334D2" w:rsidRPr="000C5FD6" w14:paraId="63C12B07" w14:textId="77777777" w:rsidTr="007E5A9B">
        <w:tc>
          <w:tcPr>
            <w:tcW w:w="1701" w:type="dxa"/>
            <w:vAlign w:val="top"/>
          </w:tcPr>
          <w:p w14:paraId="3F9040E9" w14:textId="77777777" w:rsidR="004334D2" w:rsidRPr="00154108" w:rsidRDefault="004334D2" w:rsidP="00081FD4">
            <w:pPr>
              <w:pStyle w:val="SDMTableBoxParaNotNumbered"/>
              <w:rPr>
                <w:i/>
              </w:rPr>
            </w:pPr>
            <m:oMathPara>
              <m:oMathParaPr>
                <m:jc m:val="left"/>
              </m:oMathParaPr>
              <m:oMath>
                <m:r>
                  <w:rPr>
                    <w:rFonts w:ascii="Cambria Math" w:hAnsi="Cambria Math"/>
                  </w:rPr>
                  <m:t>h</m:t>
                </m:r>
              </m:oMath>
            </m:oMathPara>
          </w:p>
        </w:tc>
        <w:tc>
          <w:tcPr>
            <w:tcW w:w="345" w:type="dxa"/>
            <w:vAlign w:val="top"/>
          </w:tcPr>
          <w:p w14:paraId="1C17054F" w14:textId="77777777" w:rsidR="004334D2" w:rsidRPr="000C5FD6" w:rsidRDefault="004334D2" w:rsidP="00081FD4">
            <w:pPr>
              <w:pStyle w:val="SDMTableBoxParaNotNumbered"/>
            </w:pPr>
            <w:r w:rsidRPr="000C5FD6">
              <w:t>=</w:t>
            </w:r>
          </w:p>
        </w:tc>
        <w:tc>
          <w:tcPr>
            <w:tcW w:w="0" w:type="auto"/>
            <w:vAlign w:val="top"/>
          </w:tcPr>
          <w:p w14:paraId="3A33794C" w14:textId="77777777" w:rsidR="004334D2" w:rsidRPr="000C5FD6" w:rsidRDefault="004334D2" w:rsidP="00081FD4">
            <w:pPr>
              <w:pStyle w:val="SDMTableBoxParaNotNumbered"/>
            </w:pPr>
            <w:r w:rsidRPr="000C5FD6">
              <w:rPr>
                <w:snapToGrid w:val="0"/>
                <w:color w:val="000000"/>
                <w:lang w:eastAsia="pt-BR"/>
              </w:rPr>
              <w:t>Hours in year </w:t>
            </w:r>
            <w:r w:rsidRPr="000C5FD6">
              <w:rPr>
                <w:i/>
                <w:snapToGrid w:val="0"/>
                <w:color w:val="000000"/>
                <w:lang w:eastAsia="pt-BR"/>
              </w:rPr>
              <w:t>y</w:t>
            </w:r>
          </w:p>
        </w:tc>
      </w:tr>
    </w:tbl>
    <w:p w14:paraId="049CA442" w14:textId="719B0958" w:rsidR="004334D2" w:rsidRPr="000C5FD6" w:rsidRDefault="004334D2" w:rsidP="00E66E80">
      <w:pPr>
        <w:pStyle w:val="SDMPara"/>
        <w:rPr>
          <w:lang w:val="en-US"/>
        </w:rPr>
      </w:pPr>
      <w:r w:rsidRPr="000C5FD6">
        <w:rPr>
          <w:i/>
        </w:rPr>
        <w:t>F</w:t>
      </w:r>
      <w:r w:rsidRPr="000C5FD6">
        <w:rPr>
          <w:i/>
          <w:vertAlign w:val="subscript"/>
        </w:rPr>
        <w:t>CH4,HG,kiln,</w:t>
      </w:r>
      <w:r w:rsidR="00C92386">
        <w:rPr>
          <w:i/>
          <w:vertAlign w:val="subscript"/>
        </w:rPr>
        <w:t>n,</w:t>
      </w:r>
      <w:r w:rsidRPr="000C5FD6">
        <w:rPr>
          <w:i/>
          <w:vertAlign w:val="subscript"/>
        </w:rPr>
        <w:t>h</w:t>
      </w:r>
      <w:r w:rsidRPr="000C5FD6">
        <w:t xml:space="preserve"> is determined using the </w:t>
      </w:r>
      <w:r>
        <w:t>mass flow tool</w:t>
      </w:r>
      <w:r w:rsidRPr="000C5FD6">
        <w:t xml:space="preserve">, following the requirements given in </w:t>
      </w:r>
      <w:r w:rsidR="00FA37C4">
        <w:t xml:space="preserve">paragraphs </w:t>
      </w:r>
      <w:r w:rsidR="00FA37C4">
        <w:fldChar w:fldCharType="begin"/>
      </w:r>
      <w:r w:rsidR="00FA37C4">
        <w:instrText xml:space="preserve"> REF _Ref211523014 \w \h </w:instrText>
      </w:r>
      <w:r w:rsidR="00FA37C4">
        <w:fldChar w:fldCharType="separate"/>
      </w:r>
      <w:r w:rsidR="00302468">
        <w:rPr>
          <w:cs/>
        </w:rPr>
        <w:t>‎</w:t>
      </w:r>
      <w:r w:rsidR="00302468">
        <w:t>83</w:t>
      </w:r>
      <w:r w:rsidR="00FA37C4">
        <w:fldChar w:fldCharType="end"/>
      </w:r>
      <w:r w:rsidR="00FA37C4">
        <w:t xml:space="preserve"> and </w:t>
      </w:r>
      <w:r w:rsidR="00FA37C4">
        <w:fldChar w:fldCharType="begin"/>
      </w:r>
      <w:r w:rsidR="00FA37C4">
        <w:instrText xml:space="preserve"> REF _Ref211523023 \w \p \h </w:instrText>
      </w:r>
      <w:r w:rsidR="00FA37C4">
        <w:fldChar w:fldCharType="separate"/>
      </w:r>
      <w:r w:rsidR="00302468">
        <w:rPr>
          <w:cs/>
        </w:rPr>
        <w:t>‎</w:t>
      </w:r>
      <w:r w:rsidR="00302468">
        <w:t>84 above</w:t>
      </w:r>
      <w:r w:rsidR="00FA37C4">
        <w:fldChar w:fldCharType="end"/>
      </w:r>
      <w:r w:rsidRPr="000C5FD6">
        <w:t xml:space="preserve"> for </w:t>
      </w:r>
      <w:r w:rsidRPr="000C5FD6">
        <w:rPr>
          <w:i/>
        </w:rPr>
        <w:t xml:space="preserve">j </w:t>
      </w:r>
      <w:r w:rsidRPr="000C5FD6">
        <w:t>= kiln, except that the mass flow should be summed to an hourly (not yearly) unit basis (tCH</w:t>
      </w:r>
      <w:r w:rsidRPr="000C5FD6">
        <w:rPr>
          <w:vertAlign w:val="subscript"/>
        </w:rPr>
        <w:t>4</w:t>
      </w:r>
      <w:r w:rsidRPr="000C5FD6">
        <w:t>/h</w:t>
      </w:r>
      <w:r>
        <w:t>ou</w:t>
      </w:r>
      <w:r w:rsidRPr="000C5FD6">
        <w:t>r).</w:t>
      </w:r>
    </w:p>
    <w:p w14:paraId="08561CFF" w14:textId="77777777" w:rsidR="004334D2" w:rsidRDefault="004334D2" w:rsidP="00E66E80">
      <w:pPr>
        <w:pStyle w:val="SDMHead5"/>
      </w:pPr>
      <w:bookmarkStart w:id="268" w:name="_Toc430009257"/>
      <w:bookmarkStart w:id="269" w:name="_Toc478726894"/>
      <w:bookmarkStart w:id="270" w:name="_Toc478995712"/>
      <w:bookmarkStart w:id="271" w:name="_Toc2875275"/>
      <w:r>
        <w:t>Heat</w:t>
      </w:r>
      <w:r w:rsidDel="005A0592">
        <w:t xml:space="preserve"> </w:t>
      </w:r>
      <w:r>
        <w:t>generation replacing heat generated in new equipment</w:t>
      </w:r>
    </w:p>
    <w:p w14:paraId="6AA30BC5" w14:textId="0C1AEC96" w:rsidR="004334D2" w:rsidRDefault="004334D2" w:rsidP="00DA05CE">
      <w:pPr>
        <w:pStyle w:val="SDMPara"/>
        <w:keepNext/>
      </w:pPr>
      <w:r w:rsidRPr="000C5FD6">
        <w:t xml:space="preserve">The baseline emissions associated with heat generation </w:t>
      </w:r>
      <w:r>
        <w:t xml:space="preserve">replacing heat generated in new equipment in </w:t>
      </w:r>
      <w:r w:rsidRPr="000C5FD6">
        <w:t>year </w:t>
      </w:r>
      <w:r w:rsidRPr="000C5FD6">
        <w:rPr>
          <w:i/>
        </w:rPr>
        <w:t>y</w:t>
      </w:r>
      <w:r w:rsidRPr="000C5FD6">
        <w:rPr>
          <w:iCs/>
        </w:rPr>
        <w:t xml:space="preserve"> (</w:t>
      </w:r>
      <w:r w:rsidRPr="000C5FD6">
        <w:rPr>
          <w:i/>
          <w:iCs/>
        </w:rPr>
        <w:t>BE</w:t>
      </w:r>
      <w:r w:rsidRPr="000C5FD6">
        <w:rPr>
          <w:i/>
          <w:iCs/>
          <w:vertAlign w:val="subscript"/>
        </w:rPr>
        <w:t>HG,y</w:t>
      </w:r>
      <w:r w:rsidRPr="000C5FD6">
        <w:rPr>
          <w:iCs/>
        </w:rPr>
        <w:t>)</w:t>
      </w:r>
      <w:r w:rsidRPr="000C5FD6">
        <w:t xml:space="preserve"> are determined </w:t>
      </w:r>
      <w:r>
        <w:t>by multiplying the output of the heat generation equipment by the emissions intensity of the technology identified at the best available technology, as follows:</w:t>
      </w:r>
    </w:p>
    <w:tbl>
      <w:tblPr>
        <w:tblStyle w:val="SDMMethTableEquation"/>
        <w:tblW w:w="8760" w:type="dxa"/>
        <w:tblLook w:val="0600" w:firstRow="0" w:lastRow="0" w:firstColumn="0" w:lastColumn="0" w:noHBand="1" w:noVBand="1"/>
      </w:tblPr>
      <w:tblGrid>
        <w:gridCol w:w="7093"/>
        <w:gridCol w:w="1667"/>
      </w:tblGrid>
      <w:tr w:rsidR="004334D2" w:rsidRPr="00E32F75" w14:paraId="23671630" w14:textId="77777777" w:rsidTr="007E5A9B">
        <w:tc>
          <w:tcPr>
            <w:tcW w:w="7224" w:type="dxa"/>
          </w:tcPr>
          <w:p w14:paraId="0C077A0F" w14:textId="2471277E"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HG,y</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output,y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CO2,HG,BAT</m:t>
                    </m:r>
                  </m:sub>
                </m:sSub>
              </m:oMath>
            </m:oMathPara>
          </w:p>
        </w:tc>
        <w:tc>
          <w:tcPr>
            <w:tcW w:w="1701" w:type="dxa"/>
          </w:tcPr>
          <w:p w14:paraId="15E23DBC" w14:textId="77777777" w:rsidR="004334D2" w:rsidRPr="002B6960" w:rsidRDefault="004334D2" w:rsidP="00247E9F">
            <w:pPr>
              <w:pStyle w:val="SDMMethEquationNr"/>
              <w:numPr>
                <w:ilvl w:val="0"/>
                <w:numId w:val="4"/>
              </w:numPr>
            </w:pPr>
          </w:p>
        </w:tc>
      </w:tr>
    </w:tbl>
    <w:p w14:paraId="44CAEE74"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4334D2" w14:paraId="2A454490" w14:textId="77777777" w:rsidTr="007E5A9B">
        <w:tc>
          <w:tcPr>
            <w:tcW w:w="1701" w:type="dxa"/>
            <w:vAlign w:val="top"/>
          </w:tcPr>
          <w:p w14:paraId="382AA8C4" w14:textId="68A302A4" w:rsidR="004334D2" w:rsidRPr="00DA37A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HG, y</m:t>
                    </m:r>
                  </m:sub>
                </m:sSub>
              </m:oMath>
            </m:oMathPara>
          </w:p>
        </w:tc>
        <w:tc>
          <w:tcPr>
            <w:tcW w:w="345" w:type="dxa"/>
            <w:vAlign w:val="top"/>
          </w:tcPr>
          <w:p w14:paraId="57992BC3" w14:textId="77777777" w:rsidR="004334D2" w:rsidRDefault="004334D2" w:rsidP="00081FD4">
            <w:pPr>
              <w:pStyle w:val="SDMTableBoxParaNotNumbered"/>
            </w:pPr>
            <w:r w:rsidRPr="000C5FD6">
              <w:t>=</w:t>
            </w:r>
          </w:p>
        </w:tc>
        <w:tc>
          <w:tcPr>
            <w:tcW w:w="0" w:type="auto"/>
            <w:vAlign w:val="top"/>
          </w:tcPr>
          <w:p w14:paraId="2A30B966" w14:textId="0573B8DF" w:rsidR="004334D2" w:rsidRDefault="004334D2" w:rsidP="00081FD4">
            <w:pPr>
              <w:pStyle w:val="SDMTableBoxParaNotNumbered"/>
            </w:pPr>
            <w:r w:rsidRPr="000C5FD6">
              <w:t>Baseline emissions associated with heat generation in year </w:t>
            </w:r>
            <w:r w:rsidRPr="000C5FD6">
              <w:rPr>
                <w:i/>
              </w:rPr>
              <w:t>y</w:t>
            </w:r>
            <w:r w:rsidRPr="000C5FD6">
              <w:t xml:space="preserve"> (tCO</w:t>
            </w:r>
            <w:r w:rsidRPr="000C5FD6">
              <w:rPr>
                <w:vertAlign w:val="subscript"/>
              </w:rPr>
              <w:t>2</w:t>
            </w:r>
            <w:r w:rsidRPr="000C5FD6">
              <w:t>/y</w:t>
            </w:r>
            <w:r>
              <w:t>ea</w:t>
            </w:r>
            <w:r w:rsidRPr="000C5FD6">
              <w:t>r)</w:t>
            </w:r>
          </w:p>
        </w:tc>
      </w:tr>
      <w:tr w:rsidR="004334D2" w14:paraId="42552674" w14:textId="77777777" w:rsidTr="007E5A9B">
        <w:tc>
          <w:tcPr>
            <w:tcW w:w="1701" w:type="dxa"/>
          </w:tcPr>
          <w:p w14:paraId="3E641F3B" w14:textId="77777777" w:rsidR="004334D2" w:rsidRPr="00DA37A6"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Q</m:t>
                    </m:r>
                  </m:e>
                  <m:sub>
                    <m:r>
                      <w:rPr>
                        <w:rFonts w:ascii="Cambria Math" w:hAnsi="Cambria Math"/>
                      </w:rPr>
                      <m:t>output,y</m:t>
                    </m:r>
                  </m:sub>
                </m:sSub>
              </m:oMath>
            </m:oMathPara>
          </w:p>
        </w:tc>
        <w:tc>
          <w:tcPr>
            <w:tcW w:w="345" w:type="dxa"/>
          </w:tcPr>
          <w:p w14:paraId="220EE8E3" w14:textId="77777777" w:rsidR="004334D2" w:rsidRDefault="004334D2" w:rsidP="00081FD4">
            <w:pPr>
              <w:pStyle w:val="SDMTableBoxParaNotNumbered"/>
            </w:pPr>
            <w:r>
              <w:t>=</w:t>
            </w:r>
          </w:p>
        </w:tc>
        <w:tc>
          <w:tcPr>
            <w:tcW w:w="0" w:type="auto"/>
          </w:tcPr>
          <w:p w14:paraId="310906C3" w14:textId="77777777" w:rsidR="004334D2" w:rsidRDefault="004334D2" w:rsidP="00081FD4">
            <w:pPr>
              <w:pStyle w:val="SDMTableBoxParaNotNumbered"/>
            </w:pPr>
            <w:r>
              <w:t xml:space="preserve">Quantity of the output produced by the heat generation equipment in year </w:t>
            </w:r>
            <w:r w:rsidRPr="00011DE8">
              <w:rPr>
                <w:i/>
                <w:iCs/>
              </w:rPr>
              <w:t>y</w:t>
            </w:r>
            <w:r>
              <w:t xml:space="preserve"> (units of output/year)</w:t>
            </w:r>
          </w:p>
        </w:tc>
      </w:tr>
      <w:tr w:rsidR="004334D2" w14:paraId="41CDAB9B" w14:textId="77777777" w:rsidTr="007E5A9B">
        <w:tc>
          <w:tcPr>
            <w:tcW w:w="1701" w:type="dxa"/>
          </w:tcPr>
          <w:p w14:paraId="57B11225" w14:textId="77777777" w:rsidR="004334D2" w:rsidRPr="002660BF"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EF</m:t>
                    </m:r>
                  </m:e>
                  <m:sub>
                    <m:r>
                      <w:rPr>
                        <w:rFonts w:ascii="Cambria Math" w:hAnsi="Cambria Math"/>
                      </w:rPr>
                      <m:t>CO2,HG,BAT</m:t>
                    </m:r>
                  </m:sub>
                </m:sSub>
              </m:oMath>
            </m:oMathPara>
          </w:p>
        </w:tc>
        <w:tc>
          <w:tcPr>
            <w:tcW w:w="345" w:type="dxa"/>
          </w:tcPr>
          <w:p w14:paraId="3F1205C2" w14:textId="77777777" w:rsidR="004334D2" w:rsidRDefault="004334D2" w:rsidP="00081FD4">
            <w:pPr>
              <w:pStyle w:val="SDMTableBoxParaNotNumbered"/>
            </w:pPr>
            <w:r>
              <w:t>=</w:t>
            </w:r>
          </w:p>
        </w:tc>
        <w:tc>
          <w:tcPr>
            <w:tcW w:w="0" w:type="auto"/>
            <w:vAlign w:val="top"/>
          </w:tcPr>
          <w:p w14:paraId="3173C808" w14:textId="32391738" w:rsidR="004334D2" w:rsidRDefault="004334D2" w:rsidP="00081FD4">
            <w:pPr>
              <w:pStyle w:val="SDMTableBoxParaNotNumbered"/>
            </w:pPr>
            <w:r>
              <w:t>CO</w:t>
            </w:r>
            <w:r w:rsidRPr="005F2718">
              <w:rPr>
                <w:vertAlign w:val="subscript"/>
              </w:rPr>
              <w:t>2</w:t>
            </w:r>
            <w:r>
              <w:t xml:space="preserve"> emissions intensity of the best-available technology (tCO2e/unit of output) identified in section </w:t>
            </w:r>
            <w:r>
              <w:fldChar w:fldCharType="begin"/>
            </w:r>
            <w:r>
              <w:instrText xml:space="preserve"> REF _Ref207823260 \w \p \h </w:instrText>
            </w:r>
            <w:r w:rsidR="00081FD4">
              <w:instrText xml:space="preserve"> \* MERGEFORMAT </w:instrText>
            </w:r>
            <w:r>
              <w:fldChar w:fldCharType="separate"/>
            </w:r>
            <w:r w:rsidR="00302468">
              <w:rPr>
                <w:cs/>
              </w:rPr>
              <w:t>‎</w:t>
            </w:r>
            <w:r w:rsidR="00302468">
              <w:t>7.3.1.4 above</w:t>
            </w:r>
            <w:r>
              <w:fldChar w:fldCharType="end"/>
            </w:r>
          </w:p>
        </w:tc>
      </w:tr>
    </w:tbl>
    <w:p w14:paraId="0A3D24D7" w14:textId="25EB228E" w:rsidR="004334D2" w:rsidRPr="000C5FD6" w:rsidRDefault="004334D2" w:rsidP="00E66E80">
      <w:pPr>
        <w:pStyle w:val="SDMHead4"/>
      </w:pPr>
      <w:bookmarkStart w:id="272" w:name="_Ref207380876"/>
      <w:r w:rsidRPr="000C5FD6">
        <w:t xml:space="preserve">Baseline emissions </w:t>
      </w:r>
      <w:r w:rsidR="00DA7779">
        <w:t xml:space="preserve">associated with </w:t>
      </w:r>
      <w:r w:rsidR="000B052F" w:rsidRPr="000B052F">
        <w:t xml:space="preserve">LFG or biomethane supplied to consumers replacing natural </w:t>
      </w:r>
      <w:r w:rsidRPr="000C5FD6">
        <w:t xml:space="preserve">use </w:t>
      </w:r>
      <w:r w:rsidR="00EC78D6">
        <w:t xml:space="preserve">from a natural gas network </w:t>
      </w:r>
      <w:r w:rsidRPr="000C5FD6">
        <w:rPr>
          <w:szCs w:val="22"/>
          <w:lang w:eastAsia="zh-CN"/>
        </w:rPr>
        <w:t>(</w:t>
      </w:r>
      <w:r w:rsidRPr="000C5FD6">
        <w:rPr>
          <w:i/>
          <w:szCs w:val="22"/>
          <w:lang w:eastAsia="zh-CN"/>
        </w:rPr>
        <w:t>BE</w:t>
      </w:r>
      <w:r w:rsidRPr="000C5FD6">
        <w:rPr>
          <w:i/>
          <w:szCs w:val="22"/>
          <w:vertAlign w:val="subscript"/>
          <w:lang w:eastAsia="zh-CN"/>
        </w:rPr>
        <w:t>NG,y</w:t>
      </w:r>
      <w:r w:rsidRPr="000C5FD6">
        <w:rPr>
          <w:szCs w:val="22"/>
          <w:lang w:eastAsia="zh-CN"/>
        </w:rPr>
        <w:t>)</w:t>
      </w:r>
      <w:bookmarkEnd w:id="268"/>
      <w:bookmarkEnd w:id="269"/>
      <w:bookmarkEnd w:id="270"/>
      <w:bookmarkEnd w:id="271"/>
      <w:bookmarkEnd w:id="272"/>
    </w:p>
    <w:p w14:paraId="66BB032D" w14:textId="64DBA5F3" w:rsidR="004334D2" w:rsidRPr="000C5FD6" w:rsidRDefault="004334D2" w:rsidP="00DA05CE">
      <w:pPr>
        <w:pStyle w:val="SDMPara"/>
        <w:keepNext/>
      </w:pPr>
      <w:r w:rsidRPr="000C5FD6">
        <w:rPr>
          <w:i/>
        </w:rPr>
        <w:t>BE</w:t>
      </w:r>
      <w:r w:rsidRPr="000C5FD6">
        <w:rPr>
          <w:i/>
          <w:vertAlign w:val="subscript"/>
        </w:rPr>
        <w:t>NG,y</w:t>
      </w:r>
      <w:r w:rsidRPr="000C5FD6">
        <w:rPr>
          <w:vertAlign w:val="subscript"/>
        </w:rPr>
        <w:t xml:space="preserve"> </w:t>
      </w:r>
      <w:r w:rsidRPr="000C5FD6">
        <w:t>is estimated as follows:</w:t>
      </w:r>
    </w:p>
    <w:tbl>
      <w:tblPr>
        <w:tblStyle w:val="SDMMethTableEquation"/>
        <w:tblW w:w="8760" w:type="dxa"/>
        <w:tblLook w:val="0600" w:firstRow="0" w:lastRow="0" w:firstColumn="0" w:lastColumn="0" w:noHBand="1" w:noVBand="1"/>
      </w:tblPr>
      <w:tblGrid>
        <w:gridCol w:w="7092"/>
        <w:gridCol w:w="1668"/>
      </w:tblGrid>
      <w:tr w:rsidR="004334D2" w:rsidRPr="000C5FD6" w14:paraId="319EAB3F" w14:textId="77777777" w:rsidTr="007E5A9B">
        <w:tc>
          <w:tcPr>
            <w:tcW w:w="7224" w:type="dxa"/>
          </w:tcPr>
          <w:p w14:paraId="2F75C298" w14:textId="42401B75" w:rsidR="004334D2" w:rsidRPr="000C5FD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NG, y</m:t>
                    </m:r>
                  </m:sub>
                </m:sSub>
                <m:r>
                  <w:rPr>
                    <w:rFonts w:ascii="Cambria Math" w:hAnsi="Cambria Math"/>
                  </w:rPr>
                  <m:t>=0.0504×</m:t>
                </m:r>
                <m:sSub>
                  <m:sSubPr>
                    <m:ctrlPr>
                      <w:rPr>
                        <w:rFonts w:ascii="Cambria Math" w:hAnsi="Cambria Math"/>
                        <w:i/>
                      </w:rPr>
                    </m:ctrlPr>
                  </m:sSubPr>
                  <m:e>
                    <m:r>
                      <w:rPr>
                        <w:rFonts w:ascii="Cambria Math" w:hAnsi="Cambria Math"/>
                      </w:rPr>
                      <m:t>F</m:t>
                    </m:r>
                  </m:e>
                  <m:sub>
                    <m:r>
                      <w:rPr>
                        <w:rFonts w:ascii="Cambria Math" w:hAnsi="Cambria Math"/>
                      </w:rPr>
                      <m:t>CH4, NG,y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CO2,NG,y</m:t>
                    </m:r>
                  </m:sub>
                </m:sSub>
              </m:oMath>
            </m:oMathPara>
          </w:p>
        </w:tc>
        <w:tc>
          <w:tcPr>
            <w:tcW w:w="1701" w:type="dxa"/>
          </w:tcPr>
          <w:p w14:paraId="53B7149D" w14:textId="77777777" w:rsidR="004334D2" w:rsidRPr="000C5FD6" w:rsidRDefault="004334D2" w:rsidP="00247E9F">
            <w:pPr>
              <w:pStyle w:val="SDMMethEquationNr"/>
              <w:numPr>
                <w:ilvl w:val="0"/>
                <w:numId w:val="7"/>
              </w:numPr>
            </w:pPr>
          </w:p>
        </w:tc>
      </w:tr>
    </w:tbl>
    <w:p w14:paraId="2F1C4C0E"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C5FD6" w14:paraId="48862F4C" w14:textId="77777777" w:rsidTr="007E5A9B">
        <w:tc>
          <w:tcPr>
            <w:tcW w:w="1701" w:type="dxa"/>
            <w:vAlign w:val="top"/>
          </w:tcPr>
          <w:p w14:paraId="6B9E8974" w14:textId="72C347DB" w:rsidR="004334D2" w:rsidRPr="000C5FD6" w:rsidRDefault="00302468" w:rsidP="00081FD4">
            <w:pPr>
              <w:pStyle w:val="SDMTableBoxParaNotNumbered"/>
              <w:keepNext/>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NG, y</m:t>
                    </m:r>
                  </m:sub>
                </m:sSub>
              </m:oMath>
            </m:oMathPara>
          </w:p>
        </w:tc>
        <w:tc>
          <w:tcPr>
            <w:tcW w:w="345" w:type="dxa"/>
            <w:vAlign w:val="top"/>
          </w:tcPr>
          <w:p w14:paraId="3C0C1536" w14:textId="77777777" w:rsidR="004334D2" w:rsidRPr="000C5FD6" w:rsidRDefault="004334D2" w:rsidP="00081FD4">
            <w:pPr>
              <w:pStyle w:val="SDMTableBoxParaNotNumbered"/>
              <w:keepNext/>
            </w:pPr>
            <w:r w:rsidRPr="000C5FD6">
              <w:t>=</w:t>
            </w:r>
          </w:p>
        </w:tc>
        <w:tc>
          <w:tcPr>
            <w:tcW w:w="0" w:type="auto"/>
            <w:vAlign w:val="top"/>
          </w:tcPr>
          <w:p w14:paraId="36968C03" w14:textId="09B22E97" w:rsidR="004334D2" w:rsidRPr="000C5FD6" w:rsidRDefault="00DA7779" w:rsidP="00081FD4">
            <w:pPr>
              <w:pStyle w:val="SDMTableBoxParaNotNumbered"/>
              <w:keepNext/>
            </w:pPr>
            <w:r w:rsidRPr="00DA7779">
              <w:t>Baseline emissions associated with LFG or biomethane supplied to consumers replacing natural use from a natural gas network</w:t>
            </w:r>
            <w:r w:rsidR="004334D2" w:rsidRPr="000C5FD6">
              <w:t xml:space="preserve"> </w:t>
            </w:r>
            <w:r w:rsidR="00854333">
              <w:t xml:space="preserve">component </w:t>
            </w:r>
            <w:r w:rsidR="00831ED7">
              <w:t xml:space="preserve">in </w:t>
            </w:r>
            <w:r w:rsidR="004334D2" w:rsidRPr="000C5FD6">
              <w:t>year </w:t>
            </w:r>
            <w:r w:rsidR="004334D2" w:rsidRPr="000C5FD6">
              <w:rPr>
                <w:i/>
              </w:rPr>
              <w:t>y</w:t>
            </w:r>
            <w:r w:rsidR="004334D2" w:rsidRPr="000C5FD6">
              <w:t xml:space="preserve"> (t</w:t>
            </w:r>
            <w:r w:rsidR="00E962A5">
              <w:t> </w:t>
            </w:r>
            <w:r w:rsidR="004334D2" w:rsidRPr="000C5FD6">
              <w:t>CO</w:t>
            </w:r>
            <w:r w:rsidR="004334D2" w:rsidRPr="000C5FD6">
              <w:rPr>
                <w:vertAlign w:val="subscript"/>
              </w:rPr>
              <w:t>2</w:t>
            </w:r>
            <w:r w:rsidR="004334D2" w:rsidRPr="000C5FD6">
              <w:t>e/y</w:t>
            </w:r>
            <w:r w:rsidR="004334D2">
              <w:t>ea</w:t>
            </w:r>
            <w:r w:rsidR="004334D2" w:rsidRPr="000C5FD6">
              <w:t>r)</w:t>
            </w:r>
          </w:p>
        </w:tc>
      </w:tr>
      <w:tr w:rsidR="004334D2" w:rsidRPr="000C5FD6" w14:paraId="687AFD5D" w14:textId="77777777" w:rsidTr="007E5A9B">
        <w:tc>
          <w:tcPr>
            <w:tcW w:w="1701" w:type="dxa"/>
            <w:vAlign w:val="top"/>
          </w:tcPr>
          <w:p w14:paraId="5ED15923" w14:textId="37932065" w:rsidR="004334D2" w:rsidRPr="00A276A8" w:rsidRDefault="00A276A8" w:rsidP="00081FD4">
            <w:pPr>
              <w:pStyle w:val="SDMTableBoxParaNotNumbered"/>
              <w:keepNext/>
            </w:pPr>
            <m:oMathPara>
              <m:oMathParaPr>
                <m:jc m:val="left"/>
              </m:oMathParaPr>
              <m:oMath>
                <m:r>
                  <w:rPr>
                    <w:rFonts w:ascii="Cambria Math" w:hAnsi="Cambria Math"/>
                  </w:rPr>
                  <m:t>0.0504</m:t>
                </m:r>
              </m:oMath>
            </m:oMathPara>
          </w:p>
        </w:tc>
        <w:tc>
          <w:tcPr>
            <w:tcW w:w="345" w:type="dxa"/>
            <w:vAlign w:val="top"/>
          </w:tcPr>
          <w:p w14:paraId="20558E73" w14:textId="77777777" w:rsidR="004334D2" w:rsidRPr="000C5FD6" w:rsidRDefault="004334D2" w:rsidP="00081FD4">
            <w:pPr>
              <w:pStyle w:val="SDMTableBoxParaNotNumbered"/>
              <w:keepNext/>
            </w:pPr>
            <w:r>
              <w:t>=</w:t>
            </w:r>
          </w:p>
        </w:tc>
        <w:tc>
          <w:tcPr>
            <w:tcW w:w="0" w:type="auto"/>
            <w:vAlign w:val="top"/>
          </w:tcPr>
          <w:p w14:paraId="0D46997D" w14:textId="4A917F8F" w:rsidR="004334D2" w:rsidRPr="000C5FD6" w:rsidRDefault="004334D2" w:rsidP="00081FD4">
            <w:pPr>
              <w:pStyle w:val="SDMTableBoxParaNotNumbered"/>
              <w:keepNext/>
            </w:pPr>
            <w:r>
              <w:t>Conversion factor (TJ/t</w:t>
            </w:r>
            <w:r w:rsidR="00E962A5">
              <w:t> </w:t>
            </w:r>
            <w:r>
              <w:t>CH4)</w:t>
            </w:r>
          </w:p>
        </w:tc>
      </w:tr>
      <w:tr w:rsidR="004334D2" w:rsidRPr="000C5FD6" w14:paraId="60899EEB" w14:textId="77777777" w:rsidTr="007E5A9B">
        <w:tc>
          <w:tcPr>
            <w:tcW w:w="1701" w:type="dxa"/>
            <w:vAlign w:val="top"/>
          </w:tcPr>
          <w:p w14:paraId="5156D863" w14:textId="77777777" w:rsidR="004334D2" w:rsidRPr="000C5FD6" w:rsidRDefault="00302468" w:rsidP="00081FD4">
            <w:pPr>
              <w:pStyle w:val="SDMTableBoxParaNotNumbered"/>
              <w:keepNext/>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CO2,NG,y</m:t>
                    </m:r>
                  </m:sub>
                </m:sSub>
              </m:oMath>
            </m:oMathPara>
          </w:p>
        </w:tc>
        <w:tc>
          <w:tcPr>
            <w:tcW w:w="345" w:type="dxa"/>
            <w:vAlign w:val="top"/>
          </w:tcPr>
          <w:p w14:paraId="0BB8349F" w14:textId="77777777" w:rsidR="004334D2" w:rsidRPr="000C5FD6" w:rsidRDefault="004334D2" w:rsidP="00081FD4">
            <w:pPr>
              <w:pStyle w:val="SDMTableBoxParaNotNumbered"/>
              <w:keepNext/>
            </w:pPr>
            <w:r w:rsidRPr="000C5FD6">
              <w:t>=</w:t>
            </w:r>
          </w:p>
        </w:tc>
        <w:tc>
          <w:tcPr>
            <w:tcW w:w="0" w:type="auto"/>
            <w:vAlign w:val="top"/>
          </w:tcPr>
          <w:p w14:paraId="34C76565" w14:textId="4ECA79DF" w:rsidR="004334D2" w:rsidRPr="000C5FD6" w:rsidRDefault="004334D2" w:rsidP="00081FD4">
            <w:pPr>
              <w:pStyle w:val="SDMTableBoxParaNotNumbered"/>
              <w:keepNext/>
            </w:pPr>
            <w:r w:rsidRPr="000C5FD6">
              <w:t>Average CO</w:t>
            </w:r>
            <w:r w:rsidRPr="000C5FD6">
              <w:rPr>
                <w:vertAlign w:val="subscript"/>
              </w:rPr>
              <w:t>2</w:t>
            </w:r>
            <w:r w:rsidRPr="000C5FD6">
              <w:t xml:space="preserve"> emission factor </w:t>
            </w:r>
            <w:r w:rsidR="00697540">
              <w:t xml:space="preserve">for the source of baseline </w:t>
            </w:r>
            <w:r w:rsidRPr="000C5FD6">
              <w:t xml:space="preserve">natural gas </w:t>
            </w:r>
            <w:r w:rsidR="00697540">
              <w:t xml:space="preserve">consumption </w:t>
            </w:r>
            <w:r w:rsidRPr="000C5FD6">
              <w:t>in year </w:t>
            </w:r>
            <w:r w:rsidRPr="000C5FD6">
              <w:rPr>
                <w:i/>
              </w:rPr>
              <w:t>y</w:t>
            </w:r>
            <w:r w:rsidRPr="000C5FD6">
              <w:t xml:space="preserve"> (t</w:t>
            </w:r>
            <w:r w:rsidR="00E962A5">
              <w:t> </w:t>
            </w:r>
            <w:r w:rsidRPr="000C5FD6">
              <w:t>CO</w:t>
            </w:r>
            <w:r w:rsidRPr="00ED1AF5">
              <w:rPr>
                <w:vertAlign w:val="subscript"/>
              </w:rPr>
              <w:t>2</w:t>
            </w:r>
            <w:r w:rsidRPr="000C5FD6">
              <w:t>e/TJ)</w:t>
            </w:r>
          </w:p>
        </w:tc>
      </w:tr>
      <w:tr w:rsidR="004334D2" w:rsidRPr="000C5FD6" w14:paraId="7E08A5C5" w14:textId="77777777" w:rsidTr="007E5A9B">
        <w:tc>
          <w:tcPr>
            <w:tcW w:w="1701" w:type="dxa"/>
            <w:vAlign w:val="top"/>
          </w:tcPr>
          <w:p w14:paraId="1AA2854D" w14:textId="77777777" w:rsidR="004334D2" w:rsidRPr="000C5FD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NG,y</m:t>
                    </m:r>
                  </m:sub>
                </m:sSub>
              </m:oMath>
            </m:oMathPara>
          </w:p>
        </w:tc>
        <w:tc>
          <w:tcPr>
            <w:tcW w:w="345" w:type="dxa"/>
            <w:vAlign w:val="top"/>
          </w:tcPr>
          <w:p w14:paraId="67E08BF9" w14:textId="77777777" w:rsidR="004334D2" w:rsidRPr="000C5FD6" w:rsidRDefault="004334D2" w:rsidP="00081FD4">
            <w:pPr>
              <w:pStyle w:val="SDMTableBoxParaNotNumbered"/>
            </w:pPr>
            <w:r w:rsidRPr="000C5FD6">
              <w:t>=</w:t>
            </w:r>
          </w:p>
        </w:tc>
        <w:tc>
          <w:tcPr>
            <w:tcW w:w="0" w:type="auto"/>
            <w:vAlign w:val="top"/>
          </w:tcPr>
          <w:p w14:paraId="2C66C7B8" w14:textId="0F6B1477" w:rsidR="004334D2" w:rsidRPr="000C5FD6" w:rsidRDefault="004334D2" w:rsidP="00081FD4">
            <w:pPr>
              <w:pStyle w:val="SDMTableBoxParaNotNumbered"/>
            </w:pPr>
            <w:r w:rsidRPr="000C5FD6">
              <w:t xml:space="preserve">Amount of methane </w:t>
            </w:r>
            <w:r w:rsidRPr="000C5FD6" w:rsidDel="00697540">
              <w:t xml:space="preserve">in the </w:t>
            </w:r>
            <w:r w:rsidRPr="000C5FD6">
              <w:t xml:space="preserve">LFG </w:t>
            </w:r>
            <w:r w:rsidRPr="000C5FD6" w:rsidDel="00697540">
              <w:t xml:space="preserve">which is sent to the natural gas distribution network or dedicated pipeline or to the trucks </w:t>
            </w:r>
            <w:r w:rsidRPr="000C5FD6">
              <w:t>in year </w:t>
            </w:r>
            <w:r w:rsidRPr="000C5FD6">
              <w:rPr>
                <w:i/>
              </w:rPr>
              <w:t>y</w:t>
            </w:r>
            <w:r w:rsidRPr="000C5FD6">
              <w:t xml:space="preserve"> (t </w:t>
            </w:r>
            <w:r>
              <w:t>C</w:t>
            </w:r>
            <w:r w:rsidRPr="000C5FD6">
              <w:t>H</w:t>
            </w:r>
            <w:r w:rsidRPr="000C5FD6">
              <w:rPr>
                <w:vertAlign w:val="subscript"/>
              </w:rPr>
              <w:t>4</w:t>
            </w:r>
            <w:r w:rsidRPr="000C5FD6">
              <w:t>/y</w:t>
            </w:r>
            <w:r>
              <w:t>ea</w:t>
            </w:r>
            <w:r w:rsidRPr="000C5FD6">
              <w:t>r)</w:t>
            </w:r>
          </w:p>
        </w:tc>
      </w:tr>
    </w:tbl>
    <w:p w14:paraId="2CCC8528" w14:textId="77777777" w:rsidR="004334D2" w:rsidRDefault="004334D2" w:rsidP="000517F9">
      <w:pPr>
        <w:pStyle w:val="SDMHead2"/>
      </w:pPr>
      <w:bookmarkStart w:id="273" w:name="_Ref203660539"/>
      <w:bookmarkStart w:id="274" w:name="_Toc211555316"/>
      <w:bookmarkStart w:id="275" w:name="_Toc211598968"/>
      <w:bookmarkStart w:id="276" w:name="_Toc211599470"/>
      <w:bookmarkStart w:id="277" w:name="_Toc211612266"/>
      <w:bookmarkStart w:id="278" w:name="_Toc211614713"/>
      <w:bookmarkStart w:id="279" w:name="_Toc211614756"/>
      <w:r>
        <w:t xml:space="preserve">Application of the </w:t>
      </w:r>
      <w:r w:rsidRPr="000517F9">
        <w:t>downward</w:t>
      </w:r>
      <w:r>
        <w:t xml:space="preserve"> adjustment</w:t>
      </w:r>
      <w:bookmarkEnd w:id="273"/>
      <w:bookmarkEnd w:id="274"/>
      <w:bookmarkEnd w:id="275"/>
      <w:bookmarkEnd w:id="276"/>
      <w:bookmarkEnd w:id="277"/>
      <w:bookmarkEnd w:id="278"/>
      <w:bookmarkEnd w:id="279"/>
    </w:p>
    <w:p w14:paraId="77783719" w14:textId="138DAE4C" w:rsidR="009F64DA" w:rsidRPr="00C86F25" w:rsidRDefault="009F64DA" w:rsidP="00E66E80">
      <w:pPr>
        <w:pStyle w:val="SDMPara"/>
      </w:pPr>
      <w:r w:rsidRPr="00C86F25">
        <w:t>The downward adjusted baseline emissions are separately determined for the calendar year of the start date of the first crediting period (section</w:t>
      </w:r>
      <w:r w:rsidR="003D4AA4">
        <w:t xml:space="preserve"> </w:t>
      </w:r>
      <w:r w:rsidR="002F6360">
        <w:fldChar w:fldCharType="begin"/>
      </w:r>
      <w:r w:rsidR="002F6360">
        <w:instrText xml:space="preserve"> REF _Ref206665002 \w \h </w:instrText>
      </w:r>
      <w:r w:rsidR="002F6360">
        <w:fldChar w:fldCharType="separate"/>
      </w:r>
      <w:r w:rsidR="00302468">
        <w:rPr>
          <w:cs/>
        </w:rPr>
        <w:t>‎</w:t>
      </w:r>
      <w:r w:rsidR="00302468">
        <w:t>7.4.1</w:t>
      </w:r>
      <w:r w:rsidR="002F6360">
        <w:fldChar w:fldCharType="end"/>
      </w:r>
      <w:r w:rsidR="007547CA">
        <w:t xml:space="preserve">) and </w:t>
      </w:r>
      <w:r w:rsidRPr="00C86F25">
        <w:t xml:space="preserve">subsequent calendar years (section </w:t>
      </w:r>
      <w:r w:rsidR="00106888" w:rsidRPr="00FC0CB1">
        <w:fldChar w:fldCharType="begin"/>
      </w:r>
      <w:r w:rsidR="00106888" w:rsidRPr="00FC0CB1">
        <w:instrText xml:space="preserve"> REF _Ref211280055 \r </w:instrText>
      </w:r>
      <w:r w:rsidR="00FC0CB1">
        <w:instrText xml:space="preserve"> \* MERGEFORMAT </w:instrText>
      </w:r>
      <w:r w:rsidR="00106888" w:rsidRPr="00FC0CB1">
        <w:fldChar w:fldCharType="separate"/>
      </w:r>
      <w:r w:rsidR="00302468">
        <w:rPr>
          <w:cs/>
        </w:rPr>
        <w:t>‎</w:t>
      </w:r>
      <w:r w:rsidR="00302468">
        <w:t>7.4.2</w:t>
      </w:r>
      <w:r w:rsidR="00106888" w:rsidRPr="00FC0CB1">
        <w:fldChar w:fldCharType="end"/>
      </w:r>
      <w:r w:rsidR="007547CA">
        <w:t>)</w:t>
      </w:r>
      <w:r w:rsidRPr="00C86F25">
        <w:t>.</w:t>
      </w:r>
    </w:p>
    <w:p w14:paraId="3D1D1C7C" w14:textId="64F8482B" w:rsidR="004334D2" w:rsidRDefault="004334D2" w:rsidP="000517F9">
      <w:pPr>
        <w:pStyle w:val="SDMHead3"/>
      </w:pPr>
      <w:bookmarkStart w:id="280" w:name="_Ref206665002"/>
      <w:bookmarkStart w:id="281" w:name="_Toc211555317"/>
      <w:bookmarkStart w:id="282" w:name="_Toc211598969"/>
      <w:bookmarkStart w:id="283" w:name="_Toc211599471"/>
      <w:bookmarkStart w:id="284" w:name="_Toc211612267"/>
      <w:bookmarkStart w:id="285" w:name="_Toc211614714"/>
      <w:bookmarkStart w:id="286" w:name="_Toc211614757"/>
      <w:r>
        <w:t>Downward adjust</w:t>
      </w:r>
      <w:r w:rsidR="00B327AF">
        <w:t>ed</w:t>
      </w:r>
      <w:r w:rsidR="008F7381">
        <w:t xml:space="preserve"> baseline</w:t>
      </w:r>
      <w:r w:rsidR="00365529">
        <w:t xml:space="preserve"> emissions</w:t>
      </w:r>
      <w:r>
        <w:t xml:space="preserve"> in the calendar year of the start date of the first crediting period</w:t>
      </w:r>
      <w:bookmarkEnd w:id="280"/>
      <w:bookmarkEnd w:id="281"/>
      <w:bookmarkEnd w:id="282"/>
      <w:bookmarkEnd w:id="283"/>
      <w:bookmarkEnd w:id="284"/>
      <w:bookmarkEnd w:id="285"/>
      <w:bookmarkEnd w:id="286"/>
    </w:p>
    <w:p w14:paraId="51B04C3F" w14:textId="40D98776" w:rsidR="00F3091F" w:rsidRPr="006412EC" w:rsidRDefault="00F3091F" w:rsidP="000517F9">
      <w:pPr>
        <w:pStyle w:val="SDMHead4"/>
      </w:pPr>
      <w:r w:rsidRPr="006412EC">
        <w:t xml:space="preserve">Step 1. </w:t>
      </w:r>
      <w:r w:rsidRPr="000517F9">
        <w:t>Determine</w:t>
      </w:r>
      <w:r w:rsidRPr="006412EC">
        <w:t xml:space="preserve"> </w:t>
      </w:r>
      <w:r w:rsidR="009D3056" w:rsidRPr="006412EC">
        <w:t xml:space="preserve">whether and </w:t>
      </w:r>
      <w:r w:rsidR="00B13C1A" w:rsidRPr="006412EC">
        <w:t>to</w:t>
      </w:r>
      <w:r w:rsidR="009D3056" w:rsidRPr="006412EC">
        <w:t xml:space="preserve"> </w:t>
      </w:r>
      <w:r w:rsidRPr="006412EC">
        <w:t>which components of the Article 6.4 activity an initial downward adjustment applies</w:t>
      </w:r>
    </w:p>
    <w:p w14:paraId="0BD61852" w14:textId="6BFF6B15" w:rsidR="0007233C" w:rsidRPr="006412EC" w:rsidRDefault="0007233C" w:rsidP="00DA05CE">
      <w:pPr>
        <w:pStyle w:val="SDMPara"/>
        <w:keepNext/>
      </w:pPr>
      <w:bookmarkStart w:id="287" w:name="_Ref211202664"/>
      <w:r w:rsidRPr="006412EC">
        <w:t xml:space="preserve">An initial downward adjustment does not apply </w:t>
      </w:r>
      <w:r w:rsidR="00AE4E8C" w:rsidRPr="006412EC">
        <w:t>(</w:t>
      </w:r>
      <w:r w:rsidR="00AE4E8C" w:rsidRPr="006412EC">
        <w:rPr>
          <w:i/>
          <w:iCs/>
        </w:rPr>
        <w:t>DA</w:t>
      </w:r>
      <w:r w:rsidR="00AE4E8C" w:rsidRPr="006412EC">
        <w:rPr>
          <w:i/>
          <w:iCs/>
          <w:vertAlign w:val="subscript"/>
        </w:rPr>
        <w:t>i,y1</w:t>
      </w:r>
      <w:r w:rsidR="00AE4E8C" w:rsidRPr="006412EC">
        <w:t xml:space="preserve"> =</w:t>
      </w:r>
      <w:r w:rsidR="008F7788" w:rsidRPr="00CF50AA">
        <w:t xml:space="preserve"> </w:t>
      </w:r>
      <w:r w:rsidR="00AE4E8C" w:rsidRPr="006412EC">
        <w:t xml:space="preserve">0 in </w:t>
      </w:r>
      <w:r w:rsidR="00245807">
        <w:t>E</w:t>
      </w:r>
      <w:r w:rsidR="00AE4E8C" w:rsidRPr="002F6360">
        <w:t xml:space="preserve">quation </w:t>
      </w:r>
      <w:r w:rsidR="001C0BF3">
        <w:t>(27)</w:t>
      </w:r>
      <w:r w:rsidR="00C627D1">
        <w:t xml:space="preserve"> below</w:t>
      </w:r>
      <w:r w:rsidR="001C0BF3">
        <w:t xml:space="preserve">) to the following </w:t>
      </w:r>
      <w:r w:rsidRPr="006412EC">
        <w:t>components and sub-components of an Article 6.4 activity:</w:t>
      </w:r>
      <w:bookmarkEnd w:id="287"/>
    </w:p>
    <w:p w14:paraId="388B13F0" w14:textId="3CBCB28F" w:rsidR="0007233C" w:rsidRPr="006412EC" w:rsidRDefault="0007233C" w:rsidP="00E66E80">
      <w:pPr>
        <w:pStyle w:val="SDMSubPara1"/>
      </w:pPr>
      <w:r w:rsidRPr="006412EC">
        <w:t xml:space="preserve">The methane component for </w:t>
      </w:r>
      <w:r w:rsidR="0065571B" w:rsidRPr="006412EC">
        <w:t xml:space="preserve">Article 6.4 </w:t>
      </w:r>
      <w:r w:rsidRPr="006412EC">
        <w:t xml:space="preserve">activities </w:t>
      </w:r>
      <w:r w:rsidR="0065571B" w:rsidRPr="006412EC">
        <w:t>developed in new SWDSs;</w:t>
      </w:r>
    </w:p>
    <w:p w14:paraId="3B2942B2" w14:textId="4443A872" w:rsidR="0065571B" w:rsidRPr="006412EC" w:rsidRDefault="0065571B" w:rsidP="00E66E80">
      <w:pPr>
        <w:pStyle w:val="SDMSubPara1"/>
      </w:pPr>
      <w:r w:rsidRPr="006412EC">
        <w:t xml:space="preserve">The electricity generation </w:t>
      </w:r>
      <w:r w:rsidR="00F87C02" w:rsidRPr="006412EC">
        <w:t xml:space="preserve">sub-component </w:t>
      </w:r>
      <w:r w:rsidR="00AE243E" w:rsidRPr="006412EC">
        <w:t>in which</w:t>
      </w:r>
      <w:r w:rsidR="00F87C02" w:rsidRPr="006412EC">
        <w:t xml:space="preserve"> the electricity generated </w:t>
      </w:r>
      <w:r w:rsidR="00F06546" w:rsidRPr="006412EC">
        <w:t>by</w:t>
      </w:r>
      <w:r w:rsidR="00F87C02" w:rsidRPr="006412EC">
        <w:t xml:space="preserve"> the Article 6.4 activity replaces new captive fossil fuel fired power plants;</w:t>
      </w:r>
      <w:r w:rsidR="00C25051" w:rsidRPr="006412EC">
        <w:t xml:space="preserve"> and</w:t>
      </w:r>
    </w:p>
    <w:p w14:paraId="08C316CC" w14:textId="6BE0D035" w:rsidR="00F87C02" w:rsidRPr="006412EC" w:rsidRDefault="00F87C02" w:rsidP="00E66E80">
      <w:pPr>
        <w:pStyle w:val="SDMSubPara1"/>
      </w:pPr>
      <w:r w:rsidRPr="006412EC">
        <w:t xml:space="preserve">The heat generation sub-component </w:t>
      </w:r>
      <w:r w:rsidR="00AE243E" w:rsidRPr="006412EC">
        <w:t>in which</w:t>
      </w:r>
      <w:r w:rsidRPr="006412EC">
        <w:t xml:space="preserve"> </w:t>
      </w:r>
      <w:r w:rsidR="00F06546" w:rsidRPr="006412EC">
        <w:t xml:space="preserve">the heat generated by the Article 6.4 activity replaces </w:t>
      </w:r>
      <w:r w:rsidR="00C25051" w:rsidRPr="006412EC">
        <w:t>new equipment.</w:t>
      </w:r>
    </w:p>
    <w:p w14:paraId="34FB7FF6" w14:textId="7889CD6A" w:rsidR="00BB18E7" w:rsidRPr="006412EC" w:rsidRDefault="00BB18E7" w:rsidP="00E66E80">
      <w:pPr>
        <w:pStyle w:val="SDMPara"/>
      </w:pPr>
      <w:r w:rsidRPr="006412EC">
        <w:t xml:space="preserve">For the component and sub-components referred to in </w:t>
      </w:r>
      <w:r w:rsidRPr="003D1919">
        <w:t xml:space="preserve">paragraph </w:t>
      </w:r>
      <w:r w:rsidR="003D1919" w:rsidRPr="003D1919">
        <w:fldChar w:fldCharType="begin"/>
      </w:r>
      <w:r w:rsidR="003D1919" w:rsidRPr="003D1919">
        <w:instrText xml:space="preserve"> REF _Ref211202664 \r \p \h </w:instrText>
      </w:r>
      <w:r w:rsidR="003D1919">
        <w:instrText xml:space="preserve"> \* MERGEFORMAT </w:instrText>
      </w:r>
      <w:r w:rsidR="003D1919" w:rsidRPr="003D1919">
        <w:fldChar w:fldCharType="separate"/>
      </w:r>
      <w:r w:rsidR="00302468">
        <w:rPr>
          <w:cs/>
        </w:rPr>
        <w:t>‎</w:t>
      </w:r>
      <w:r w:rsidR="00302468">
        <w:t>112 above</w:t>
      </w:r>
      <w:r w:rsidR="003D1919" w:rsidRPr="003D1919">
        <w:fldChar w:fldCharType="end"/>
      </w:r>
      <w:r w:rsidRPr="003D1919">
        <w:t>,</w:t>
      </w:r>
      <w:r w:rsidRPr="006412EC">
        <w:t xml:space="preserve"> the unadjusted baseline emissions, as determined in </w:t>
      </w:r>
      <w:r w:rsidRPr="004B5987">
        <w:t xml:space="preserve">section </w:t>
      </w:r>
      <w:r w:rsidR="00423FDC" w:rsidRPr="004B5987">
        <w:fldChar w:fldCharType="begin"/>
      </w:r>
      <w:r w:rsidR="00423FDC" w:rsidRPr="004B5987">
        <w:instrText xml:space="preserve"> REF _Ref208336232 \w \h </w:instrText>
      </w:r>
      <w:r w:rsidR="004B5987">
        <w:instrText xml:space="preserve"> \* MERGEFORMAT </w:instrText>
      </w:r>
      <w:r w:rsidR="00423FDC" w:rsidRPr="004B5987">
        <w:fldChar w:fldCharType="separate"/>
      </w:r>
      <w:r w:rsidR="00302468">
        <w:rPr>
          <w:cs/>
        </w:rPr>
        <w:t>‎</w:t>
      </w:r>
      <w:r w:rsidR="00302468">
        <w:t>7.3.2</w:t>
      </w:r>
      <w:r w:rsidR="00423FDC" w:rsidRPr="004B5987">
        <w:fldChar w:fldCharType="end"/>
      </w:r>
      <w:r w:rsidRPr="004B5987">
        <w:t xml:space="preserve"> through </w:t>
      </w:r>
      <w:r w:rsidR="00245807">
        <w:t>E</w:t>
      </w:r>
      <w:r w:rsidRPr="004B5987">
        <w:t xml:space="preserve">quations </w:t>
      </w:r>
      <w:r w:rsidR="00A077A4" w:rsidRPr="004B5987">
        <w:t>(</w:t>
      </w:r>
      <w:r w:rsidR="00423FDC" w:rsidRPr="004B5987">
        <w:t>1</w:t>
      </w:r>
      <w:r w:rsidR="00A077A4" w:rsidRPr="004B5987">
        <w:t>), (15), (16), (17), (18), (22)</w:t>
      </w:r>
      <w:r w:rsidR="004B5987" w:rsidRPr="004B5987">
        <w:t xml:space="preserve"> and</w:t>
      </w:r>
      <w:r w:rsidR="00A077A4" w:rsidRPr="004B5987">
        <w:t xml:space="preserve"> (23)</w:t>
      </w:r>
      <w:r w:rsidRPr="004B5987">
        <w:t xml:space="preserve"> respectively, shal</w:t>
      </w:r>
      <w:r w:rsidRPr="006412EC">
        <w:t>l be used as the downward adjusted baseline emissions in the calendar year of the start date of the crediting period.</w:t>
      </w:r>
    </w:p>
    <w:p w14:paraId="0EF952B3" w14:textId="19D8050A" w:rsidR="00772931" w:rsidRPr="006412EC" w:rsidRDefault="00772931" w:rsidP="00E66E80">
      <w:pPr>
        <w:pStyle w:val="SDMPara"/>
      </w:pPr>
      <w:r w:rsidRPr="006412EC">
        <w:t xml:space="preserve">In all other instances, Steps 2 to </w:t>
      </w:r>
      <w:r w:rsidR="00824523" w:rsidRPr="006412EC">
        <w:t>5</w:t>
      </w:r>
      <w:r w:rsidRPr="006412EC">
        <w:t xml:space="preserve"> below shall be applied to</w:t>
      </w:r>
      <w:r w:rsidR="004F4CA3" w:rsidRPr="006412EC">
        <w:t xml:space="preserve"> determine the downward adjusted baseline emissions</w:t>
      </w:r>
      <w:r w:rsidR="006342C5" w:rsidRPr="006412EC">
        <w:t xml:space="preserve"> for each applicable component or sub-component</w:t>
      </w:r>
      <w:r w:rsidR="004F4CA3" w:rsidRPr="006412EC">
        <w:t>.</w:t>
      </w:r>
    </w:p>
    <w:p w14:paraId="26185F95" w14:textId="14864500" w:rsidR="004334D2" w:rsidRDefault="004334D2" w:rsidP="00E66E80">
      <w:pPr>
        <w:pStyle w:val="SDMHead4"/>
      </w:pPr>
      <w:bookmarkStart w:id="288" w:name="_Ref203657046"/>
      <w:r>
        <w:t xml:space="preserve">Step </w:t>
      </w:r>
      <w:r w:rsidR="004F4CA3">
        <w:t>2</w:t>
      </w:r>
      <w:r>
        <w:t>. Determine the u</w:t>
      </w:r>
      <w:r w:rsidRPr="0009462B">
        <w:t>ncertainty at the lower bound of the uncertainty interval</w:t>
      </w:r>
      <w:r>
        <w:t xml:space="preserve"> for each baseline </w:t>
      </w:r>
      <w:r w:rsidRPr="006412EC">
        <w:t xml:space="preserve">emission component </w:t>
      </w:r>
      <w:r w:rsidR="008B739A" w:rsidRPr="006412EC">
        <w:t>or sub-component</w:t>
      </w:r>
      <w:r w:rsidR="003C2DCC">
        <w:t> </w:t>
      </w:r>
      <w:r w:rsidRPr="006412EC">
        <w:rPr>
          <w:i/>
          <w:iCs/>
        </w:rPr>
        <w:t>i</w:t>
      </w:r>
      <w:r w:rsidRPr="0009462B">
        <w:t xml:space="preserve"> (</w:t>
      </w:r>
      <m:oMath>
        <m:sSub>
          <m:sSubPr>
            <m:ctrlPr>
              <w:rPr>
                <w:rFonts w:ascii="Cambria Math" w:hAnsi="Cambria Math"/>
                <w:i/>
              </w:rPr>
            </m:ctrlPr>
          </m:sSubPr>
          <m:e>
            <m:r>
              <m:rPr>
                <m:sty m:val="bi"/>
              </m:rPr>
              <w:rPr>
                <w:rFonts w:ascii="Cambria Math" w:hAnsi="Cambria Math"/>
              </w:rPr>
              <m:t>UNC</m:t>
            </m:r>
          </m:e>
          <m:sub>
            <m:r>
              <m:rPr>
                <m:sty m:val="bi"/>
              </m:rPr>
              <w:rPr>
                <w:rFonts w:ascii="Cambria Math" w:hAnsi="Cambria Math"/>
              </w:rPr>
              <m:t>BE act/hist,i,y</m:t>
            </m:r>
            <m:r>
              <m:rPr>
                <m:sty m:val="bi"/>
              </m:rPr>
              <w:rPr>
                <w:rFonts w:ascii="Cambria Math" w:hAnsi="Cambria Math"/>
              </w:rPr>
              <m:t>1</m:t>
            </m:r>
          </m:sub>
        </m:sSub>
      </m:oMath>
      <w:r w:rsidRPr="0009462B">
        <w:t>)</w:t>
      </w:r>
      <w:bookmarkEnd w:id="288"/>
    </w:p>
    <w:p w14:paraId="4BB0B70D" w14:textId="17B32812" w:rsidR="00E15C2A" w:rsidRDefault="004334D2" w:rsidP="00E66E80">
      <w:pPr>
        <w:pStyle w:val="SDMPara"/>
      </w:pPr>
      <w:bookmarkStart w:id="289" w:name="_Ref210751847"/>
      <w:r>
        <w:t>Activity participants shall determine the overall uncertainty of baseline emissions for each baseline emission component</w:t>
      </w:r>
      <w:r w:rsidR="00A71BFB">
        <w:t xml:space="preserve"> or sub-component</w:t>
      </w:r>
      <w:r>
        <w:t xml:space="preserve"> </w:t>
      </w:r>
      <w:r w:rsidRPr="002A659A">
        <w:rPr>
          <w:i/>
          <w:iCs/>
        </w:rPr>
        <w:t>i</w:t>
      </w:r>
      <w:r>
        <w:t xml:space="preserve"> </w:t>
      </w:r>
      <w:r w:rsidRPr="00395F49">
        <w:t>at the lower bound of the 95</w:t>
      </w:r>
      <w:r w:rsidR="003F7966">
        <w:t xml:space="preserve"> per cent</w:t>
      </w:r>
      <w:r w:rsidRPr="00395F49">
        <w:t xml:space="preserve"> confidence interval relative to the central estimate of </w:t>
      </w:r>
      <w:r>
        <w:t xml:space="preserve">estimated </w:t>
      </w:r>
      <w:r w:rsidRPr="00395F49">
        <w:t>baseline emissions</w:t>
      </w:r>
      <w:r w:rsidR="003F4A66">
        <w:t xml:space="preserve"> </w:t>
      </w:r>
      <w:r w:rsidR="00421886">
        <w:t>in</w:t>
      </w:r>
      <w:r w:rsidR="00322CCB" w:rsidRPr="006412EC">
        <w:t xml:space="preserve"> the first </w:t>
      </w:r>
      <w:r w:rsidR="00421886">
        <w:t xml:space="preserve">year of the </w:t>
      </w:r>
      <w:r w:rsidR="00322CCB" w:rsidRPr="006412EC">
        <w:t>crediting period</w:t>
      </w:r>
      <w:r w:rsidR="00322CCB">
        <w:t xml:space="preserve"> </w:t>
      </w:r>
      <w:r>
        <w:t>(</w:t>
      </w:r>
      <w:r w:rsidRPr="00A261EE">
        <w:rPr>
          <w:i/>
          <w:iCs/>
        </w:rPr>
        <w:t>UNC</w:t>
      </w:r>
      <w:r w:rsidRPr="00A261EE">
        <w:rPr>
          <w:i/>
          <w:iCs/>
          <w:vertAlign w:val="subscript"/>
        </w:rPr>
        <w:t>BE</w:t>
      </w:r>
      <w:r>
        <w:rPr>
          <w:i/>
          <w:iCs/>
          <w:vertAlign w:val="subscript"/>
        </w:rPr>
        <w:t xml:space="preserve"> </w:t>
      </w:r>
      <w:r w:rsidRPr="00A261EE">
        <w:rPr>
          <w:i/>
          <w:iCs/>
          <w:vertAlign w:val="subscript"/>
        </w:rPr>
        <w:t>act/hist,i,</w:t>
      </w:r>
      <w:r w:rsidR="00092F62">
        <w:rPr>
          <w:i/>
          <w:iCs/>
          <w:vertAlign w:val="subscript"/>
        </w:rPr>
        <w:t>y</w:t>
      </w:r>
      <w:r w:rsidR="00092F62" w:rsidRPr="00A261EE">
        <w:rPr>
          <w:i/>
          <w:iCs/>
          <w:vertAlign w:val="subscript"/>
        </w:rPr>
        <w:t>1</w:t>
      </w:r>
      <w:r>
        <w:t>)</w:t>
      </w:r>
      <w:r w:rsidR="00E15C2A">
        <w:t>.</w:t>
      </w:r>
      <w:bookmarkEnd w:id="289"/>
    </w:p>
    <w:p w14:paraId="441CA136" w14:textId="77777777" w:rsidR="00426CAE" w:rsidRDefault="00E15C2A" w:rsidP="00E66E80">
      <w:pPr>
        <w:pStyle w:val="SDMPara"/>
      </w:pPr>
      <w:r>
        <w:t xml:space="preserve">Activity participants shall </w:t>
      </w:r>
      <w:r w:rsidR="004334D2">
        <w:t>consider uncertainty in all parameters used to calculate baseline emissions</w:t>
      </w:r>
      <w:r>
        <w:t>,</w:t>
      </w:r>
      <w:r w:rsidR="004334D2">
        <w:t xml:space="preserve"> following the guidance from Volume 1, Chapter 3 of the </w:t>
      </w:r>
      <w:r w:rsidR="00AA0D9E">
        <w:t>IPCC (</w:t>
      </w:r>
      <w:r w:rsidR="004334D2">
        <w:t>2019 Refinement</w:t>
      </w:r>
      <w:r w:rsidR="00BC70C4">
        <w:t>)</w:t>
      </w:r>
      <w:r w:rsidR="004334D2">
        <w:t xml:space="preserve"> through the error propagation method or Monte Carlo simulation.</w:t>
      </w:r>
    </w:p>
    <w:p w14:paraId="749A120B" w14:textId="7821CF5A" w:rsidR="004334D2" w:rsidRDefault="004334D2" w:rsidP="00E66E80">
      <w:pPr>
        <w:pStyle w:val="SDMPara"/>
      </w:pPr>
      <w:r>
        <w:t>Activity participants shall document the u</w:t>
      </w:r>
      <w:r w:rsidRPr="003B30FE">
        <w:t xml:space="preserve">ncertainties </w:t>
      </w:r>
      <w:r w:rsidR="00E15C2A">
        <w:t xml:space="preserve">assigned to </w:t>
      </w:r>
      <w:r w:rsidRPr="003B30FE">
        <w:t xml:space="preserve">each parameter, </w:t>
      </w:r>
      <w:r>
        <w:t xml:space="preserve">specify </w:t>
      </w:r>
      <w:r w:rsidRPr="003B30FE">
        <w:t xml:space="preserve">assumptions </w:t>
      </w:r>
      <w:r>
        <w:t>made</w:t>
      </w:r>
      <w:r w:rsidR="00E15C2A">
        <w:t>,</w:t>
      </w:r>
      <w:r w:rsidRPr="003B30FE">
        <w:t xml:space="preserve"> and </w:t>
      </w:r>
      <w:r>
        <w:t xml:space="preserve">include </w:t>
      </w:r>
      <w:r w:rsidRPr="003B30FE">
        <w:t xml:space="preserve">any associated references </w:t>
      </w:r>
      <w:r>
        <w:t>for estimating</w:t>
      </w:r>
      <w:r w:rsidRPr="003B30FE">
        <w:t xml:space="preserve"> </w:t>
      </w:r>
      <w:r>
        <w:t xml:space="preserve">the </w:t>
      </w:r>
      <w:r w:rsidRPr="003B30FE">
        <w:t xml:space="preserve">uncertainties </w:t>
      </w:r>
      <w:r>
        <w:t>of parameters in the PDD</w:t>
      </w:r>
      <w:r w:rsidRPr="003B30FE">
        <w:t>.</w:t>
      </w:r>
      <w:r>
        <w:t xml:space="preserve"> </w:t>
      </w:r>
      <w:r w:rsidR="00E15C2A">
        <w:t xml:space="preserve">This documentation and the </w:t>
      </w:r>
      <w:r>
        <w:t xml:space="preserve">derivation of the overall uncertainty through the error propagation or Monte Carlo simulation </w:t>
      </w:r>
      <w:r w:rsidR="00E15C2A">
        <w:t xml:space="preserve">methods </w:t>
      </w:r>
      <w:r>
        <w:t>shall be provided together with the PDD (e.g.</w:t>
      </w:r>
      <w:r w:rsidR="00E15C2A">
        <w:t>,</w:t>
      </w:r>
      <w:r>
        <w:t xml:space="preserve"> </w:t>
      </w:r>
      <w:r w:rsidR="00E15C2A">
        <w:t xml:space="preserve">in </w:t>
      </w:r>
      <w:r>
        <w:t>a spreadsheet).</w:t>
      </w:r>
    </w:p>
    <w:p w14:paraId="55B327F5" w14:textId="72632195" w:rsidR="004334D2" w:rsidRPr="006412EC" w:rsidRDefault="004334D2" w:rsidP="00E66E80">
      <w:pPr>
        <w:pStyle w:val="SDMHead4"/>
      </w:pPr>
      <w:r>
        <w:t xml:space="preserve">Step </w:t>
      </w:r>
      <w:r w:rsidR="004F4CA3">
        <w:t>3</w:t>
      </w:r>
      <w:r>
        <w:t xml:space="preserve">. Determine the downward adjusted baseline emissions based on uncertainty for each baseline </w:t>
      </w:r>
      <w:r w:rsidRPr="006412EC">
        <w:t xml:space="preserve">emission component </w:t>
      </w:r>
      <w:r w:rsidR="00E56132" w:rsidRPr="006412EC">
        <w:t>or sub-component</w:t>
      </w:r>
      <w:r w:rsidR="003C2DCC">
        <w:t> </w:t>
      </w:r>
      <w:r w:rsidRPr="006412EC">
        <w:rPr>
          <w:i/>
        </w:rPr>
        <w:t>i</w:t>
      </w:r>
      <w:r w:rsidRPr="006412EC">
        <w:t xml:space="preserve"> (</w:t>
      </w:r>
      <m:oMath>
        <m:sSub>
          <m:sSubPr>
            <m:ctrlPr>
              <w:rPr>
                <w:rFonts w:ascii="Cambria Math" w:hAnsi="Cambria Math"/>
                <w:i/>
              </w:rPr>
            </m:ctrlPr>
          </m:sSubPr>
          <m:e>
            <m:r>
              <m:rPr>
                <m:sty m:val="bi"/>
              </m:rPr>
              <w:rPr>
                <w:rFonts w:ascii="Cambria Math" w:hAnsi="Cambria Math"/>
              </w:rPr>
              <m:t>BE</m:t>
            </m:r>
          </m:e>
          <m:sub>
            <m:r>
              <m:rPr>
                <m:sty m:val="bi"/>
              </m:rPr>
              <w:rPr>
                <w:rFonts w:ascii="Cambria Math" w:hAnsi="Cambria Math"/>
              </w:rPr>
              <m:t>adj,UNC,i,y</m:t>
            </m:r>
            <m:r>
              <m:rPr>
                <m:sty m:val="bi"/>
              </m:rPr>
              <w:rPr>
                <w:rFonts w:ascii="Cambria Math" w:hAnsi="Cambria Math"/>
              </w:rPr>
              <m:t>1</m:t>
            </m:r>
          </m:sub>
        </m:sSub>
      </m:oMath>
      <w:r w:rsidRPr="006412EC">
        <w:t>)</w:t>
      </w:r>
    </w:p>
    <w:p w14:paraId="5510B480" w14:textId="52936752" w:rsidR="004334D2" w:rsidRPr="006412EC" w:rsidRDefault="004334D2" w:rsidP="00DA05CE">
      <w:pPr>
        <w:pStyle w:val="SDMPara"/>
        <w:keepNext/>
      </w:pPr>
      <w:r w:rsidRPr="006412EC">
        <w:t xml:space="preserve">For the calendar year of the start date of the first crediting period, determine the downward adjusted baseline emissions for each baseline emission component </w:t>
      </w:r>
      <w:r w:rsidR="00E56132" w:rsidRPr="006412EC">
        <w:t>or sub-component</w:t>
      </w:r>
      <w:r w:rsidR="003C2DCC">
        <w:t> </w:t>
      </w:r>
      <w:r w:rsidRPr="006412EC">
        <w:rPr>
          <w:i/>
        </w:rPr>
        <w:t>i</w:t>
      </w:r>
      <w:r w:rsidRPr="006412EC">
        <w:t xml:space="preserve"> based on uncertainty (</w:t>
      </w:r>
      <m:oMath>
        <m:sSub>
          <m:sSubPr>
            <m:ctrlPr>
              <w:rPr>
                <w:rFonts w:ascii="Cambria Math" w:hAnsi="Cambria Math"/>
                <w:i/>
              </w:rPr>
            </m:ctrlPr>
          </m:sSubPr>
          <m:e>
            <m:r>
              <w:rPr>
                <w:rFonts w:ascii="Cambria Math" w:hAnsi="Cambria Math"/>
              </w:rPr>
              <m:t>BE</m:t>
            </m:r>
          </m:e>
          <m:sub>
            <m:r>
              <w:rPr>
                <w:rFonts w:ascii="Cambria Math" w:hAnsi="Cambria Math"/>
              </w:rPr>
              <m:t>adj, UNC,i,y1</m:t>
            </m:r>
          </m:sub>
        </m:sSub>
      </m:oMath>
      <w:r w:rsidRPr="006412EC">
        <w:t>) as follows:</w:t>
      </w:r>
    </w:p>
    <w:tbl>
      <w:tblPr>
        <w:tblStyle w:val="SDMMethTableEquation"/>
        <w:tblW w:w="8760" w:type="dxa"/>
        <w:tblLook w:val="0600" w:firstRow="0" w:lastRow="0" w:firstColumn="0" w:lastColumn="0" w:noHBand="1" w:noVBand="1"/>
      </w:tblPr>
      <w:tblGrid>
        <w:gridCol w:w="7096"/>
        <w:gridCol w:w="1664"/>
      </w:tblGrid>
      <w:tr w:rsidR="00661B4B" w:rsidRPr="006412EC" w14:paraId="2BDEFB57" w14:textId="77777777" w:rsidTr="007E5A9B">
        <w:tc>
          <w:tcPr>
            <w:tcW w:w="7224" w:type="dxa"/>
          </w:tcPr>
          <w:p w14:paraId="7BCCEDDE" w14:textId="7573E330" w:rsidR="00661B4B" w:rsidRPr="006412EC" w:rsidRDefault="00302468" w:rsidP="0039635F">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adj,UNC,i,y1</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act/hist,i,y1</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UNC</m:t>
                        </m:r>
                      </m:e>
                      <m:sub>
                        <m:r>
                          <w:rPr>
                            <w:rFonts w:ascii="Cambria Math" w:hAnsi="Cambria Math"/>
                          </w:rPr>
                          <m:t>BE act/hist,i,y1</m:t>
                        </m:r>
                      </m:sub>
                    </m:sSub>
                  </m:e>
                </m:d>
              </m:oMath>
            </m:oMathPara>
          </w:p>
        </w:tc>
        <w:tc>
          <w:tcPr>
            <w:tcW w:w="1701" w:type="dxa"/>
          </w:tcPr>
          <w:p w14:paraId="7FCE63FE" w14:textId="77777777" w:rsidR="00661B4B" w:rsidRPr="006412EC" w:rsidRDefault="00661B4B" w:rsidP="00247E9F">
            <w:pPr>
              <w:pStyle w:val="SDMMethEquationNr"/>
              <w:numPr>
                <w:ilvl w:val="0"/>
                <w:numId w:val="4"/>
              </w:numPr>
            </w:pPr>
          </w:p>
        </w:tc>
      </w:tr>
    </w:tbl>
    <w:p w14:paraId="245CFA05" w14:textId="77777777" w:rsidR="00661B4B" w:rsidRPr="006412EC" w:rsidRDefault="00661B4B" w:rsidP="00DA05CE">
      <w:pPr>
        <w:pStyle w:val="SDMMethCaptionEquationParametersTable"/>
      </w:pPr>
      <w:r w:rsidRPr="006412EC">
        <w:t>Where:</w:t>
      </w:r>
    </w:p>
    <w:tbl>
      <w:tblPr>
        <w:tblStyle w:val="SDMMethTableEquationParameters"/>
        <w:tblW w:w="8760" w:type="dxa"/>
        <w:tblLook w:val="04A0" w:firstRow="1" w:lastRow="0" w:firstColumn="1" w:lastColumn="0" w:noHBand="0" w:noVBand="1"/>
      </w:tblPr>
      <w:tblGrid>
        <w:gridCol w:w="2644"/>
        <w:gridCol w:w="345"/>
        <w:gridCol w:w="5771"/>
      </w:tblGrid>
      <w:tr w:rsidR="004334D2" w:rsidRPr="006412EC" w14:paraId="6543DBE0" w14:textId="77777777" w:rsidTr="007E5A9B">
        <w:tc>
          <w:tcPr>
            <w:tcW w:w="2644" w:type="dxa"/>
            <w:vAlign w:val="top"/>
          </w:tcPr>
          <w:p w14:paraId="23BD4909" w14:textId="0E3A3975" w:rsidR="004334D2" w:rsidRPr="006412EC"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BE</m:t>
                    </m:r>
                  </m:e>
                  <m:sub>
                    <m:r>
                      <w:rPr>
                        <w:rFonts w:ascii="Cambria Math" w:hAnsi="Cambria Math"/>
                      </w:rPr>
                      <m:t>adj, UNC,i,y1</m:t>
                    </m:r>
                  </m:sub>
                </m:sSub>
              </m:oMath>
            </m:oMathPara>
          </w:p>
        </w:tc>
        <w:tc>
          <w:tcPr>
            <w:tcW w:w="345" w:type="dxa"/>
            <w:vAlign w:val="top"/>
          </w:tcPr>
          <w:p w14:paraId="2FA7A17B" w14:textId="77777777" w:rsidR="004334D2" w:rsidRPr="006412EC" w:rsidRDefault="004334D2" w:rsidP="00081FD4">
            <w:pPr>
              <w:pStyle w:val="SDMTableBoxParaNotNumbered"/>
            </w:pPr>
            <w:r w:rsidRPr="006412EC">
              <w:t>=</w:t>
            </w:r>
          </w:p>
        </w:tc>
        <w:tc>
          <w:tcPr>
            <w:tcW w:w="0" w:type="auto"/>
            <w:vAlign w:val="top"/>
          </w:tcPr>
          <w:p w14:paraId="4CEAC2E6" w14:textId="74ECC414" w:rsidR="004334D2" w:rsidRPr="006412EC" w:rsidRDefault="004334D2" w:rsidP="00081FD4">
            <w:pPr>
              <w:pStyle w:val="SDMTableBoxParaNotNumbered"/>
            </w:pPr>
            <w:r w:rsidRPr="006412EC">
              <w:t xml:space="preserve">Downward adjusted baseline emissions based on uncertainty for each baseline emission component </w:t>
            </w:r>
            <w:r w:rsidR="004412EA" w:rsidRPr="006412EC">
              <w:t>or sub-component</w:t>
            </w:r>
            <w:r w:rsidR="003C2DCC">
              <w:t> </w:t>
            </w:r>
            <w:r w:rsidRPr="006412EC">
              <w:rPr>
                <w:i/>
                <w:iCs/>
              </w:rPr>
              <w:t>i</w:t>
            </w:r>
            <w:r w:rsidRPr="006412EC">
              <w:t xml:space="preserve"> in year</w:t>
            </w:r>
            <w:r w:rsidR="003C2DCC">
              <w:t> </w:t>
            </w:r>
            <w:r w:rsidR="00E14068">
              <w:rPr>
                <w:i/>
                <w:iCs/>
              </w:rPr>
              <w:t>1</w:t>
            </w:r>
            <w:r w:rsidRPr="006412EC">
              <w:t xml:space="preserve"> </w:t>
            </w:r>
            <w:r w:rsidR="00BC70C4">
              <w:t xml:space="preserve">of the crediting period </w:t>
            </w:r>
            <w:r w:rsidRPr="006412EC">
              <w:t>(tCO</w:t>
            </w:r>
            <w:r w:rsidRPr="006412EC">
              <w:rPr>
                <w:vertAlign w:val="subscript"/>
              </w:rPr>
              <w:t>2</w:t>
            </w:r>
            <w:r w:rsidRPr="006412EC">
              <w:t>e/year)</w:t>
            </w:r>
          </w:p>
        </w:tc>
      </w:tr>
      <w:tr w:rsidR="008D265E" w:rsidRPr="006412EC" w14:paraId="5CDEF434" w14:textId="4DC62206" w:rsidTr="007E5A9B">
        <w:tc>
          <w:tcPr>
            <w:tcW w:w="2644" w:type="dxa"/>
            <w:vAlign w:val="top"/>
          </w:tcPr>
          <w:p w14:paraId="775716E9" w14:textId="571E2A42" w:rsidR="008D265E" w:rsidRPr="006412EC"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BE</m:t>
                    </m:r>
                  </m:e>
                  <m:sub>
                    <m:r>
                      <w:rPr>
                        <w:rFonts w:ascii="Cambria Math" w:hAnsi="Cambria Math"/>
                      </w:rPr>
                      <m:t>act/hist,i,y1</m:t>
                    </m:r>
                  </m:sub>
                </m:sSub>
              </m:oMath>
            </m:oMathPara>
          </w:p>
        </w:tc>
        <w:tc>
          <w:tcPr>
            <w:tcW w:w="345" w:type="dxa"/>
            <w:vAlign w:val="top"/>
          </w:tcPr>
          <w:p w14:paraId="6316D01E" w14:textId="074FABF7" w:rsidR="008D265E" w:rsidRPr="006412EC" w:rsidRDefault="008D265E" w:rsidP="00081FD4">
            <w:pPr>
              <w:pStyle w:val="SDMTableBoxParaNotNumbered"/>
            </w:pPr>
            <w:r w:rsidRPr="006412EC">
              <w:t>=</w:t>
            </w:r>
          </w:p>
        </w:tc>
        <w:tc>
          <w:tcPr>
            <w:tcW w:w="0" w:type="auto"/>
            <w:vAlign w:val="top"/>
          </w:tcPr>
          <w:p w14:paraId="7D3B0941" w14:textId="11F79812" w:rsidR="008D265E" w:rsidRPr="006412EC" w:rsidRDefault="008D265E" w:rsidP="00081FD4">
            <w:pPr>
              <w:pStyle w:val="SDMTableBoxParaNotNumbered"/>
            </w:pPr>
            <w:r w:rsidRPr="006412EC">
              <w:t xml:space="preserve">Unadjusted existing actual or historical net baseline emissions and/or removals for each baseline emission component </w:t>
            </w:r>
            <w:r w:rsidR="004412EA" w:rsidRPr="006412EC">
              <w:t>or sub-component</w:t>
            </w:r>
            <w:r w:rsidR="000C53F7">
              <w:t> </w:t>
            </w:r>
            <w:r w:rsidRPr="006412EC">
              <w:rPr>
                <w:i/>
                <w:iCs/>
              </w:rPr>
              <w:t>i</w:t>
            </w:r>
            <w:r w:rsidRPr="006412EC">
              <w:t xml:space="preserve"> in year</w:t>
            </w:r>
            <w:r w:rsidR="000C53F7">
              <w:t> </w:t>
            </w:r>
            <w:r w:rsidR="00E14068">
              <w:rPr>
                <w:i/>
                <w:iCs/>
              </w:rPr>
              <w:t>1</w:t>
            </w:r>
            <w:r w:rsidR="00E14068" w:rsidRPr="006412EC">
              <w:t xml:space="preserve"> </w:t>
            </w:r>
            <w:r w:rsidR="00BC70C4">
              <w:t xml:space="preserve">of the crediting period </w:t>
            </w:r>
            <w:r w:rsidRPr="006412EC">
              <w:t>(tCO</w:t>
            </w:r>
            <w:r w:rsidRPr="006412EC">
              <w:rPr>
                <w:vertAlign w:val="subscript"/>
              </w:rPr>
              <w:t>2</w:t>
            </w:r>
            <w:r w:rsidRPr="006412EC">
              <w:t>e/year)</w:t>
            </w:r>
          </w:p>
        </w:tc>
      </w:tr>
      <w:tr w:rsidR="008D265E" w:rsidRPr="006412EC" w14:paraId="7AA9651C" w14:textId="023DE463" w:rsidTr="007E5A9B">
        <w:tc>
          <w:tcPr>
            <w:tcW w:w="2644" w:type="dxa"/>
            <w:vAlign w:val="top"/>
          </w:tcPr>
          <w:p w14:paraId="704B56D0" w14:textId="60418DE2" w:rsidR="008D265E" w:rsidRPr="006412EC"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UNC</m:t>
                    </m:r>
                  </m:e>
                  <m:sub>
                    <m:sSub>
                      <m:sSubPr>
                        <m:ctrlPr>
                          <w:rPr>
                            <w:rFonts w:ascii="Cambria Math" w:hAnsi="Cambria Math" w:cs="Arial"/>
                            <w:i/>
                            <w:sz w:val="22"/>
                            <w:szCs w:val="22"/>
                          </w:rPr>
                        </m:ctrlPr>
                      </m:sSubPr>
                      <m:e>
                        <m:r>
                          <w:rPr>
                            <w:rFonts w:ascii="Cambria Math" w:hAnsi="Cambria Math"/>
                          </w:rPr>
                          <m:t>BE</m:t>
                        </m:r>
                      </m:e>
                      <m:sub>
                        <m:r>
                          <w:rPr>
                            <w:rFonts w:ascii="Cambria Math" w:hAnsi="Cambria Math"/>
                          </w:rPr>
                          <m:t>act/hist,i,y1</m:t>
                        </m:r>
                      </m:sub>
                    </m:sSub>
                  </m:sub>
                </m:sSub>
              </m:oMath>
            </m:oMathPara>
          </w:p>
        </w:tc>
        <w:tc>
          <w:tcPr>
            <w:tcW w:w="345" w:type="dxa"/>
            <w:vAlign w:val="top"/>
          </w:tcPr>
          <w:p w14:paraId="154E674C" w14:textId="634BC66F" w:rsidR="008D265E" w:rsidRPr="006412EC" w:rsidRDefault="008D265E" w:rsidP="00081FD4">
            <w:pPr>
              <w:pStyle w:val="SDMTableBoxParaNotNumbered"/>
            </w:pPr>
            <w:r w:rsidRPr="006412EC">
              <w:t>=</w:t>
            </w:r>
          </w:p>
        </w:tc>
        <w:tc>
          <w:tcPr>
            <w:tcW w:w="0" w:type="auto"/>
            <w:vAlign w:val="top"/>
          </w:tcPr>
          <w:p w14:paraId="7BDD7A4A" w14:textId="7CDDF1B6" w:rsidR="008D265E" w:rsidRPr="006412EC" w:rsidRDefault="008D265E" w:rsidP="00081FD4">
            <w:pPr>
              <w:pStyle w:val="SDMTableBoxParaNotNumbered"/>
            </w:pPr>
            <w:r w:rsidRPr="006412EC">
              <w:t>Uncertainty of baseline emissions at the lower bound of the 95</w:t>
            </w:r>
            <w:r w:rsidR="00B745D2">
              <w:t xml:space="preserve"> per cent</w:t>
            </w:r>
            <w:r w:rsidRPr="006412EC">
              <w:t xml:space="preserve"> confidence interval</w:t>
            </w:r>
            <w:r w:rsidR="009D190D">
              <w:t xml:space="preserve"> relative to the central estimate of quantified unadjusted net baseline emissions</w:t>
            </w:r>
            <w:r w:rsidR="00CE1355">
              <w:rPr>
                <w:rStyle w:val="FootnoteReference"/>
              </w:rPr>
              <w:footnoteReference w:id="15"/>
            </w:r>
            <w:r w:rsidRPr="006412EC">
              <w:t xml:space="preserve"> for each baseline emission component </w:t>
            </w:r>
            <w:r w:rsidR="004412EA" w:rsidRPr="006412EC">
              <w:t>or sub-component</w:t>
            </w:r>
            <w:r w:rsidR="000C53F7">
              <w:t> </w:t>
            </w:r>
            <w:r w:rsidRPr="006412EC">
              <w:rPr>
                <w:i/>
                <w:iCs/>
              </w:rPr>
              <w:t>i</w:t>
            </w:r>
            <w:r w:rsidRPr="006412EC">
              <w:t xml:space="preserve"> </w:t>
            </w:r>
            <w:r w:rsidR="00BE58F2">
              <w:t>in year</w:t>
            </w:r>
            <w:r w:rsidR="000C53F7">
              <w:t> </w:t>
            </w:r>
            <w:r w:rsidR="00BE58F2">
              <w:t xml:space="preserve">1 </w:t>
            </w:r>
            <w:r w:rsidR="00BC70C4">
              <w:t xml:space="preserve">of the crediting period </w:t>
            </w:r>
            <w:r w:rsidRPr="006412EC">
              <w:t>(fraction)</w:t>
            </w:r>
          </w:p>
        </w:tc>
      </w:tr>
      <w:tr w:rsidR="008D265E" w:rsidRPr="006412EC" w14:paraId="413D6766" w14:textId="5E026BAD" w:rsidTr="007E5A9B">
        <w:tc>
          <w:tcPr>
            <w:tcW w:w="2644" w:type="dxa"/>
            <w:vAlign w:val="top"/>
          </w:tcPr>
          <w:p w14:paraId="4F98E9AB" w14:textId="70E84A87" w:rsidR="008D265E" w:rsidRPr="00F332C1" w:rsidRDefault="00F332C1" w:rsidP="00081FD4">
            <w:pPr>
              <w:pStyle w:val="SDMTableBoxParaNotNumbered"/>
              <w:rPr>
                <w:i/>
                <w:sz w:val="22"/>
                <w:szCs w:val="22"/>
              </w:rPr>
            </w:pPr>
            <m:oMathPara>
              <m:oMathParaPr>
                <m:jc m:val="left"/>
              </m:oMathParaPr>
              <m:oMath>
                <m:r>
                  <w:rPr>
                    <w:rFonts w:ascii="Cambria Math" w:hAnsi="Cambria Math" w:cs="Arial"/>
                    <w:sz w:val="22"/>
                    <w:szCs w:val="22"/>
                  </w:rPr>
                  <m:t>y1</m:t>
                </m:r>
              </m:oMath>
            </m:oMathPara>
          </w:p>
        </w:tc>
        <w:tc>
          <w:tcPr>
            <w:tcW w:w="345" w:type="dxa"/>
            <w:vAlign w:val="top"/>
          </w:tcPr>
          <w:p w14:paraId="384920C2" w14:textId="6812976A" w:rsidR="008D265E" w:rsidRPr="006412EC" w:rsidRDefault="008D265E" w:rsidP="00081FD4">
            <w:pPr>
              <w:pStyle w:val="SDMTableBoxParaNotNumbered"/>
            </w:pPr>
            <w:r w:rsidRPr="006412EC">
              <w:t>=</w:t>
            </w:r>
          </w:p>
        </w:tc>
        <w:tc>
          <w:tcPr>
            <w:tcW w:w="0" w:type="auto"/>
            <w:vAlign w:val="top"/>
          </w:tcPr>
          <w:p w14:paraId="687A91EF" w14:textId="6CC8DF71" w:rsidR="008D265E" w:rsidRPr="006412EC" w:rsidRDefault="008D265E" w:rsidP="00081FD4">
            <w:pPr>
              <w:pStyle w:val="SDMTableBoxParaNotNumbered"/>
            </w:pPr>
            <w:r w:rsidRPr="006412EC">
              <w:t>Calendar year of the start date of the crediting period</w:t>
            </w:r>
          </w:p>
        </w:tc>
      </w:tr>
      <w:tr w:rsidR="008D265E" w14:paraId="3BE1D1D9" w14:textId="50E2A11D" w:rsidTr="007E5A9B">
        <w:tc>
          <w:tcPr>
            <w:tcW w:w="2644" w:type="dxa"/>
            <w:vAlign w:val="top"/>
          </w:tcPr>
          <w:p w14:paraId="6BB48B45" w14:textId="32D50CC0" w:rsidR="008D265E" w:rsidRPr="006412EC" w:rsidRDefault="008D265E" w:rsidP="00081FD4">
            <w:pPr>
              <w:pStyle w:val="SDMTableBoxParaNotNumbered"/>
              <w:rPr>
                <w:sz w:val="22"/>
                <w:szCs w:val="22"/>
              </w:rPr>
            </w:pPr>
            <m:oMathPara>
              <m:oMathParaPr>
                <m:jc m:val="left"/>
              </m:oMathParaPr>
              <m:oMath>
                <m:r>
                  <w:rPr>
                    <w:rFonts w:ascii="Cambria Math" w:hAnsi="Cambria Math"/>
                    <w:sz w:val="22"/>
                    <w:szCs w:val="22"/>
                  </w:rPr>
                  <m:t>i</m:t>
                </m:r>
              </m:oMath>
            </m:oMathPara>
          </w:p>
        </w:tc>
        <w:tc>
          <w:tcPr>
            <w:tcW w:w="345" w:type="dxa"/>
            <w:vAlign w:val="top"/>
          </w:tcPr>
          <w:p w14:paraId="084FC065" w14:textId="49869500" w:rsidR="008D265E" w:rsidRPr="006412EC" w:rsidRDefault="008D265E" w:rsidP="00081FD4">
            <w:pPr>
              <w:pStyle w:val="SDMTableBoxParaNotNumbered"/>
            </w:pPr>
            <w:r w:rsidRPr="006412EC">
              <w:t>=</w:t>
            </w:r>
          </w:p>
        </w:tc>
        <w:tc>
          <w:tcPr>
            <w:tcW w:w="0" w:type="auto"/>
            <w:vAlign w:val="top"/>
          </w:tcPr>
          <w:p w14:paraId="76948C93" w14:textId="18FB7A51" w:rsidR="008D265E" w:rsidRDefault="008D265E" w:rsidP="00081FD4">
            <w:pPr>
              <w:pStyle w:val="SDMTableBoxParaNotNumbered"/>
            </w:pPr>
            <w:r w:rsidRPr="006412EC">
              <w:t xml:space="preserve">Baseline emissions component </w:t>
            </w:r>
            <w:r w:rsidR="00E56132" w:rsidRPr="006412EC">
              <w:t>or sub-component</w:t>
            </w:r>
          </w:p>
        </w:tc>
      </w:tr>
    </w:tbl>
    <w:p w14:paraId="613C41C7" w14:textId="4C88CE32" w:rsidR="004334D2" w:rsidRDefault="004334D2" w:rsidP="000517F9">
      <w:pPr>
        <w:pStyle w:val="SDMHead4"/>
      </w:pPr>
      <w:r>
        <w:t xml:space="preserve">Step </w:t>
      </w:r>
      <w:r w:rsidR="004F4CA3">
        <w:t>4</w:t>
      </w:r>
      <w:r>
        <w:t xml:space="preserve">. Determine the </w:t>
      </w:r>
      <w:r w:rsidRPr="000517F9">
        <w:t>minimum</w:t>
      </w:r>
      <w:r>
        <w:t xml:space="preserve"> downward adjusted baseline emissions </w:t>
      </w:r>
      <w:r w:rsidRPr="0009462B">
        <w:t>(</w:t>
      </w:r>
      <m:oMath>
        <m:sSub>
          <m:sSubPr>
            <m:ctrlPr>
              <w:rPr>
                <w:rFonts w:ascii="Cambria Math" w:hAnsi="Cambria Math"/>
                <w:i/>
              </w:rPr>
            </m:ctrlPr>
          </m:sSubPr>
          <m:e>
            <m:r>
              <m:rPr>
                <m:sty m:val="bi"/>
              </m:rPr>
              <w:rPr>
                <w:rFonts w:ascii="Cambria Math" w:hAnsi="Cambria Math"/>
              </w:rPr>
              <m:t>BE</m:t>
            </m:r>
          </m:e>
          <m:sub>
            <m:r>
              <m:rPr>
                <m:sty m:val="bi"/>
              </m:rPr>
              <w:rPr>
                <w:rFonts w:ascii="Cambria Math" w:hAnsi="Cambria Math"/>
              </w:rPr>
              <m:t>adj,min,i,y</m:t>
            </m:r>
            <m:r>
              <m:rPr>
                <m:sty m:val="bi"/>
              </m:rPr>
              <w:rPr>
                <w:rFonts w:ascii="Cambria Math" w:hAnsi="Cambria Math"/>
              </w:rPr>
              <m:t>1</m:t>
            </m:r>
          </m:sub>
        </m:sSub>
      </m:oMath>
      <w:r w:rsidRPr="0009462B">
        <w:t>)</w:t>
      </w:r>
    </w:p>
    <w:p w14:paraId="5FB4683A" w14:textId="280B7A01" w:rsidR="004334D2" w:rsidRPr="006412EC" w:rsidRDefault="004334D2" w:rsidP="00DA05CE">
      <w:pPr>
        <w:pStyle w:val="SDMPara"/>
        <w:keepNext/>
      </w:pPr>
      <w:bookmarkStart w:id="290" w:name="_Ref210751894"/>
      <w:r>
        <w:t xml:space="preserve">The minimum downward adjusted baseline shall be determined during the first year of the crediting period for each baseline emission </w:t>
      </w:r>
      <w:r w:rsidRPr="006412EC">
        <w:t xml:space="preserve">component </w:t>
      </w:r>
      <w:r w:rsidR="003E47B5" w:rsidRPr="006412EC">
        <w:t>or sub-component</w:t>
      </w:r>
      <w:r w:rsidR="000C53F7">
        <w:t> </w:t>
      </w:r>
      <w:r w:rsidRPr="006412EC">
        <w:rPr>
          <w:i/>
          <w:iCs/>
        </w:rPr>
        <w:t>i</w:t>
      </w:r>
      <w:r w:rsidR="00F7094E" w:rsidRPr="006412EC">
        <w:rPr>
          <w:i/>
          <w:iCs/>
        </w:rPr>
        <w:t xml:space="preserve"> </w:t>
      </w:r>
      <w:r w:rsidRPr="006412EC">
        <w:t>as follows:</w:t>
      </w:r>
      <w:bookmarkEnd w:id="290"/>
    </w:p>
    <w:tbl>
      <w:tblPr>
        <w:tblStyle w:val="SDMMethTableEquation"/>
        <w:tblW w:w="8760" w:type="dxa"/>
        <w:tblLook w:val="0600" w:firstRow="0" w:lastRow="0" w:firstColumn="0" w:lastColumn="0" w:noHBand="1" w:noVBand="1"/>
      </w:tblPr>
      <w:tblGrid>
        <w:gridCol w:w="7101"/>
        <w:gridCol w:w="1659"/>
      </w:tblGrid>
      <w:tr w:rsidR="004334D2" w:rsidRPr="006412EC" w14:paraId="45913D6A" w14:textId="77777777" w:rsidTr="007E5A9B">
        <w:tc>
          <w:tcPr>
            <w:tcW w:w="7101" w:type="dxa"/>
          </w:tcPr>
          <w:p w14:paraId="270F595B" w14:textId="468B6D18" w:rsidR="004334D2" w:rsidRPr="006412EC"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adj,min,i,y1</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act/hist,i,y1</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BE</m:t>
                        </m:r>
                      </m:e>
                      <m:sub>
                        <m:r>
                          <w:rPr>
                            <w:rFonts w:ascii="Cambria Math" w:hAnsi="Cambria Math"/>
                          </w:rPr>
                          <m:t>act/hist,i,y1</m:t>
                        </m:r>
                      </m:sub>
                    </m:sSub>
                    <m:r>
                      <w:rPr>
                        <w:rFonts w:ascii="Cambria Math" w:hAnsi="Cambria Math"/>
                      </w:rPr>
                      <m:t>-</m:t>
                    </m:r>
                    <m:sSub>
                      <m:sSubPr>
                        <m:ctrlPr>
                          <w:rPr>
                            <w:rFonts w:ascii="Cambria Math" w:hAnsi="Cambria Math"/>
                            <w:i/>
                          </w:rPr>
                        </m:ctrlPr>
                      </m:sSubPr>
                      <m:e>
                        <m:r>
                          <w:rPr>
                            <w:rFonts w:ascii="Cambria Math" w:hAnsi="Cambria Math"/>
                          </w:rPr>
                          <m:t>PE</m:t>
                        </m:r>
                      </m:e>
                      <m:sub>
                        <m:r>
                          <w:rPr>
                            <w:rFonts w:ascii="Cambria Math" w:hAnsi="Cambria Math"/>
                          </w:rPr>
                          <m:t>i,y1</m:t>
                        </m:r>
                      </m:sub>
                    </m:sSub>
                  </m:e>
                </m:d>
                <m:r>
                  <w:rPr>
                    <w:rFonts w:ascii="Cambria Math" w:hAnsi="Cambria Math"/>
                  </w:rPr>
                  <m:t xml:space="preserve">×0.1 </m:t>
                </m:r>
              </m:oMath>
            </m:oMathPara>
          </w:p>
        </w:tc>
        <w:tc>
          <w:tcPr>
            <w:tcW w:w="1659" w:type="dxa"/>
          </w:tcPr>
          <w:p w14:paraId="12E3BB33" w14:textId="77777777" w:rsidR="004334D2" w:rsidRPr="006412EC" w:rsidRDefault="004334D2" w:rsidP="00247E9F">
            <w:pPr>
              <w:pStyle w:val="SDMMethEquationNr"/>
              <w:numPr>
                <w:ilvl w:val="0"/>
                <w:numId w:val="4"/>
              </w:numPr>
            </w:pPr>
          </w:p>
        </w:tc>
      </w:tr>
    </w:tbl>
    <w:p w14:paraId="6FEDD396" w14:textId="77777777" w:rsidR="004334D2" w:rsidRPr="006412EC" w:rsidRDefault="004334D2" w:rsidP="00DA05CE">
      <w:pPr>
        <w:pStyle w:val="SDMMethCaptionEquationParametersTable"/>
      </w:pPr>
      <w:r w:rsidRPr="006412EC">
        <w:t>Where:</w:t>
      </w:r>
    </w:p>
    <w:tbl>
      <w:tblPr>
        <w:tblStyle w:val="SDMMethTableEquationParameters"/>
        <w:tblW w:w="8760" w:type="dxa"/>
        <w:tblLook w:val="04A0" w:firstRow="1" w:lastRow="0" w:firstColumn="1" w:lastColumn="0" w:noHBand="0" w:noVBand="1"/>
      </w:tblPr>
      <w:tblGrid>
        <w:gridCol w:w="2170"/>
        <w:gridCol w:w="345"/>
        <w:gridCol w:w="6245"/>
      </w:tblGrid>
      <w:tr w:rsidR="004334D2" w:rsidRPr="006412EC" w14:paraId="33D262CC" w14:textId="77777777" w:rsidTr="007E5A9B">
        <w:tc>
          <w:tcPr>
            <w:tcW w:w="2170" w:type="dxa"/>
            <w:vAlign w:val="top"/>
          </w:tcPr>
          <w:p w14:paraId="11DB17A8" w14:textId="6199D1AB" w:rsidR="004334D2" w:rsidRPr="006412EC"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adj,min,i,y1</m:t>
                    </m:r>
                  </m:sub>
                </m:sSub>
              </m:oMath>
            </m:oMathPara>
          </w:p>
        </w:tc>
        <w:tc>
          <w:tcPr>
            <w:tcW w:w="345" w:type="dxa"/>
            <w:vAlign w:val="top"/>
          </w:tcPr>
          <w:p w14:paraId="1D274CBE" w14:textId="77777777" w:rsidR="004334D2" w:rsidRPr="006412EC" w:rsidRDefault="004334D2" w:rsidP="00081FD4">
            <w:pPr>
              <w:pStyle w:val="SDMTableBoxParaNotNumbered"/>
            </w:pPr>
            <w:r w:rsidRPr="006412EC">
              <w:t>=</w:t>
            </w:r>
          </w:p>
        </w:tc>
        <w:tc>
          <w:tcPr>
            <w:tcW w:w="0" w:type="auto"/>
            <w:vAlign w:val="top"/>
          </w:tcPr>
          <w:p w14:paraId="07B7DE28" w14:textId="1E7FE71D" w:rsidR="004334D2" w:rsidRPr="006412EC" w:rsidRDefault="004334D2" w:rsidP="00081FD4">
            <w:pPr>
              <w:pStyle w:val="SDMTableBoxParaNotNumbered"/>
            </w:pPr>
            <w:r w:rsidRPr="006412EC">
              <w:t xml:space="preserve">Minimum downward adjusted baseline emissions for each baseline emission component </w:t>
            </w:r>
            <w:r w:rsidR="003E47B5" w:rsidRPr="006412EC">
              <w:t>or sub-component</w:t>
            </w:r>
            <w:r w:rsidR="000C53F7">
              <w:t> </w:t>
            </w:r>
            <w:r w:rsidRPr="006412EC">
              <w:rPr>
                <w:i/>
                <w:iCs/>
              </w:rPr>
              <w:t>i</w:t>
            </w:r>
            <w:r w:rsidRPr="006412EC">
              <w:t xml:space="preserve"> in year</w:t>
            </w:r>
            <w:r w:rsidR="000C53F7">
              <w:t> </w:t>
            </w:r>
            <w:r w:rsidRPr="006412EC">
              <w:rPr>
                <w:i/>
                <w:iCs/>
              </w:rPr>
              <w:t>y</w:t>
            </w:r>
            <w:r w:rsidRPr="006412EC">
              <w:t xml:space="preserve"> (tCO</w:t>
            </w:r>
            <w:r w:rsidRPr="006412EC">
              <w:rPr>
                <w:vertAlign w:val="subscript"/>
              </w:rPr>
              <w:t>2</w:t>
            </w:r>
            <w:r w:rsidRPr="006412EC">
              <w:t>e/year)</w:t>
            </w:r>
          </w:p>
        </w:tc>
      </w:tr>
      <w:tr w:rsidR="005E688F" w14:paraId="7C301B76" w14:textId="77777777" w:rsidTr="007E5A9B">
        <w:tc>
          <w:tcPr>
            <w:tcW w:w="2170" w:type="dxa"/>
            <w:vAlign w:val="top"/>
          </w:tcPr>
          <w:p w14:paraId="292503C7" w14:textId="28053F79" w:rsidR="005E688F" w:rsidRPr="006412EC"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act/hist,i,y1</m:t>
                    </m:r>
                  </m:sub>
                </m:sSub>
              </m:oMath>
            </m:oMathPara>
          </w:p>
        </w:tc>
        <w:tc>
          <w:tcPr>
            <w:tcW w:w="345" w:type="dxa"/>
            <w:vAlign w:val="top"/>
          </w:tcPr>
          <w:p w14:paraId="0C0EB0B4" w14:textId="77777777" w:rsidR="005E688F" w:rsidRPr="006412EC" w:rsidRDefault="005E688F" w:rsidP="00081FD4">
            <w:pPr>
              <w:pStyle w:val="SDMTableBoxParaNotNumbered"/>
            </w:pPr>
            <w:r w:rsidRPr="006412EC">
              <w:t>=</w:t>
            </w:r>
          </w:p>
        </w:tc>
        <w:tc>
          <w:tcPr>
            <w:tcW w:w="0" w:type="auto"/>
            <w:vAlign w:val="top"/>
          </w:tcPr>
          <w:p w14:paraId="2A9DA0D7" w14:textId="3161D0E4" w:rsidR="005E688F" w:rsidRDefault="005E688F" w:rsidP="00081FD4">
            <w:pPr>
              <w:pStyle w:val="SDMTableBoxParaNotNumbered"/>
            </w:pPr>
            <w:r w:rsidRPr="006412EC">
              <w:t xml:space="preserve">Unadjusted existing actual or historical net baseline emissions for each baseline emission component </w:t>
            </w:r>
            <w:r w:rsidR="003E47B5" w:rsidRPr="006412EC">
              <w:t>or sub-component</w:t>
            </w:r>
            <w:r w:rsidR="000C53F7">
              <w:t> </w:t>
            </w:r>
            <w:r w:rsidRPr="006412EC">
              <w:rPr>
                <w:i/>
                <w:iCs/>
              </w:rPr>
              <w:t>i</w:t>
            </w:r>
            <w:r w:rsidRPr="006412EC">
              <w:t xml:space="preserve"> in year</w:t>
            </w:r>
            <w:r w:rsidR="000C53F7">
              <w:t> </w:t>
            </w:r>
            <w:r w:rsidR="006E11BF">
              <w:rPr>
                <w:i/>
                <w:iCs/>
              </w:rPr>
              <w:t>1</w:t>
            </w:r>
            <w:r w:rsidR="006E11BF" w:rsidRPr="006412EC">
              <w:t xml:space="preserve"> </w:t>
            </w:r>
            <w:r w:rsidR="00F332C1">
              <w:t xml:space="preserve">of the crediting period </w:t>
            </w:r>
            <w:r w:rsidRPr="006412EC">
              <w:t>(tCO</w:t>
            </w:r>
            <w:r w:rsidRPr="006412EC">
              <w:rPr>
                <w:vertAlign w:val="subscript"/>
              </w:rPr>
              <w:t>2</w:t>
            </w:r>
            <w:r w:rsidRPr="006412EC">
              <w:t>e/year)</w:t>
            </w:r>
          </w:p>
        </w:tc>
      </w:tr>
      <w:tr w:rsidR="005E688F" w:rsidRPr="006412EC" w14:paraId="6715E459" w14:textId="77777777" w:rsidTr="007E5A9B">
        <w:tc>
          <w:tcPr>
            <w:tcW w:w="2170" w:type="dxa"/>
            <w:vAlign w:val="top"/>
          </w:tcPr>
          <w:p w14:paraId="5C9A8962" w14:textId="1A0D95EB" w:rsidR="005E688F" w:rsidRPr="006412EC"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i,y1</m:t>
                    </m:r>
                  </m:sub>
                </m:sSub>
              </m:oMath>
            </m:oMathPara>
          </w:p>
        </w:tc>
        <w:tc>
          <w:tcPr>
            <w:tcW w:w="345" w:type="dxa"/>
            <w:vAlign w:val="top"/>
          </w:tcPr>
          <w:p w14:paraId="2F9556D5" w14:textId="77777777" w:rsidR="005E688F" w:rsidRPr="006412EC" w:rsidRDefault="005E688F" w:rsidP="00081FD4">
            <w:pPr>
              <w:pStyle w:val="SDMTableBoxParaNotNumbered"/>
            </w:pPr>
            <w:r w:rsidRPr="006412EC">
              <w:t>=</w:t>
            </w:r>
          </w:p>
        </w:tc>
        <w:tc>
          <w:tcPr>
            <w:tcW w:w="0" w:type="auto"/>
            <w:vAlign w:val="top"/>
          </w:tcPr>
          <w:p w14:paraId="0F31083E" w14:textId="00826100" w:rsidR="005E688F" w:rsidRPr="006412EC" w:rsidRDefault="005704AC" w:rsidP="00081FD4">
            <w:pPr>
              <w:pStyle w:val="SDMTableBoxParaNotNumbered"/>
            </w:pPr>
            <w:r w:rsidRPr="006412EC">
              <w:t>Project emissions</w:t>
            </w:r>
            <w:r w:rsidR="005E688F" w:rsidRPr="006412EC">
              <w:t xml:space="preserve"> for each baseline emission component </w:t>
            </w:r>
            <w:r w:rsidR="003E47B5" w:rsidRPr="006412EC">
              <w:t>or sub-component</w:t>
            </w:r>
            <w:r w:rsidR="000C53F7">
              <w:t> </w:t>
            </w:r>
            <w:r w:rsidR="005E688F" w:rsidRPr="006412EC">
              <w:rPr>
                <w:i/>
                <w:iCs/>
              </w:rPr>
              <w:t>i</w:t>
            </w:r>
            <w:r w:rsidR="005E688F" w:rsidRPr="006412EC">
              <w:t xml:space="preserve"> in year</w:t>
            </w:r>
            <w:r w:rsidR="000C53F7">
              <w:t> </w:t>
            </w:r>
            <w:r w:rsidR="00BB41C9">
              <w:rPr>
                <w:i/>
                <w:iCs/>
              </w:rPr>
              <w:t>1</w:t>
            </w:r>
            <w:r w:rsidR="00BB41C9" w:rsidRPr="006412EC">
              <w:t xml:space="preserve"> </w:t>
            </w:r>
            <w:r w:rsidR="00F332C1">
              <w:t xml:space="preserve">of the crediting period </w:t>
            </w:r>
            <w:r w:rsidR="005E688F" w:rsidRPr="006412EC">
              <w:t>(tCO</w:t>
            </w:r>
            <w:r w:rsidR="005E688F" w:rsidRPr="006412EC">
              <w:rPr>
                <w:vertAlign w:val="subscript"/>
              </w:rPr>
              <w:t>2</w:t>
            </w:r>
            <w:r w:rsidR="005E688F" w:rsidRPr="006412EC">
              <w:t>e/year)</w:t>
            </w:r>
          </w:p>
        </w:tc>
      </w:tr>
      <w:tr w:rsidR="005E688F" w:rsidRPr="006412EC" w14:paraId="46EC9294" w14:textId="77777777" w:rsidTr="007E5A9B">
        <w:tc>
          <w:tcPr>
            <w:tcW w:w="2170" w:type="dxa"/>
            <w:vAlign w:val="top"/>
          </w:tcPr>
          <w:p w14:paraId="4DE62284" w14:textId="629768C8" w:rsidR="005E688F" w:rsidRPr="00F332C1" w:rsidRDefault="00F332C1" w:rsidP="00081FD4">
            <w:pPr>
              <w:pStyle w:val="SDMTableBoxParaNotNumbered"/>
              <w:rPr>
                <w:i/>
              </w:rPr>
            </w:pPr>
            <m:oMathPara>
              <m:oMathParaPr>
                <m:jc m:val="left"/>
              </m:oMathParaPr>
              <m:oMath>
                <m:r>
                  <w:rPr>
                    <w:rFonts w:ascii="Cambria Math" w:hAnsi="Cambria Math"/>
                  </w:rPr>
                  <m:t>y1</m:t>
                </m:r>
              </m:oMath>
            </m:oMathPara>
          </w:p>
        </w:tc>
        <w:tc>
          <w:tcPr>
            <w:tcW w:w="345" w:type="dxa"/>
            <w:vAlign w:val="top"/>
          </w:tcPr>
          <w:p w14:paraId="10C70948" w14:textId="77777777" w:rsidR="005E688F" w:rsidRPr="006412EC" w:rsidRDefault="005E688F" w:rsidP="00081FD4">
            <w:pPr>
              <w:pStyle w:val="SDMTableBoxParaNotNumbered"/>
            </w:pPr>
            <w:r w:rsidRPr="006412EC">
              <w:t>=</w:t>
            </w:r>
          </w:p>
        </w:tc>
        <w:tc>
          <w:tcPr>
            <w:tcW w:w="0" w:type="auto"/>
            <w:vAlign w:val="top"/>
          </w:tcPr>
          <w:p w14:paraId="3EBBD524" w14:textId="77777777" w:rsidR="005E688F" w:rsidRPr="006412EC" w:rsidRDefault="005E688F" w:rsidP="00081FD4">
            <w:pPr>
              <w:pStyle w:val="SDMTableBoxParaNotNumbered"/>
            </w:pPr>
            <w:r w:rsidRPr="006412EC">
              <w:t>Calendar year of the start date of the first crediting period</w:t>
            </w:r>
          </w:p>
        </w:tc>
      </w:tr>
      <w:tr w:rsidR="005E688F" w14:paraId="1AE78AD2" w14:textId="77777777" w:rsidTr="007E5A9B">
        <w:tc>
          <w:tcPr>
            <w:tcW w:w="2170" w:type="dxa"/>
            <w:vAlign w:val="top"/>
          </w:tcPr>
          <w:p w14:paraId="7CC0230F" w14:textId="77777777" w:rsidR="005E688F" w:rsidRPr="006412EC" w:rsidRDefault="005E688F" w:rsidP="00081FD4">
            <w:pPr>
              <w:pStyle w:val="SDMTableBoxParaNotNumbered"/>
            </w:pPr>
            <m:oMathPara>
              <m:oMathParaPr>
                <m:jc m:val="left"/>
              </m:oMathParaPr>
              <m:oMath>
                <m:r>
                  <w:rPr>
                    <w:rFonts w:ascii="Cambria Math" w:hAnsi="Cambria Math"/>
                    <w:sz w:val="22"/>
                    <w:szCs w:val="22"/>
                  </w:rPr>
                  <m:t>i</m:t>
                </m:r>
              </m:oMath>
            </m:oMathPara>
          </w:p>
        </w:tc>
        <w:tc>
          <w:tcPr>
            <w:tcW w:w="345" w:type="dxa"/>
            <w:vAlign w:val="top"/>
          </w:tcPr>
          <w:p w14:paraId="720DFAD8" w14:textId="77777777" w:rsidR="005E688F" w:rsidRPr="006412EC" w:rsidRDefault="005E688F" w:rsidP="00081FD4">
            <w:pPr>
              <w:pStyle w:val="SDMTableBoxParaNotNumbered"/>
            </w:pPr>
            <w:r w:rsidRPr="006412EC">
              <w:t>=</w:t>
            </w:r>
          </w:p>
        </w:tc>
        <w:tc>
          <w:tcPr>
            <w:tcW w:w="0" w:type="auto"/>
            <w:vAlign w:val="top"/>
          </w:tcPr>
          <w:p w14:paraId="1D5D2F2D" w14:textId="57ED4E21" w:rsidR="005E688F" w:rsidRDefault="005E688F" w:rsidP="00081FD4">
            <w:pPr>
              <w:pStyle w:val="SDMTableBoxParaNotNumbered"/>
            </w:pPr>
            <w:r w:rsidRPr="006412EC">
              <w:t xml:space="preserve">Baseline emissions component </w:t>
            </w:r>
            <w:r w:rsidR="003E47B5" w:rsidRPr="006412EC">
              <w:t>or sub-comp</w:t>
            </w:r>
            <w:r w:rsidR="004412EA" w:rsidRPr="006412EC">
              <w:t>onent</w:t>
            </w:r>
            <w:r w:rsidR="000C53F7">
              <w:t> </w:t>
            </w:r>
            <w:r w:rsidR="00E522D1" w:rsidRPr="006412EC">
              <w:t>i</w:t>
            </w:r>
            <w:r w:rsidR="004412EA">
              <w:t xml:space="preserve"> </w:t>
            </w:r>
          </w:p>
        </w:tc>
      </w:tr>
    </w:tbl>
    <w:p w14:paraId="3B48DEE3" w14:textId="10055ABB" w:rsidR="006342A9" w:rsidRPr="00F332C1" w:rsidRDefault="00EB670B" w:rsidP="00DA05CE">
      <w:pPr>
        <w:pStyle w:val="SDMPara"/>
        <w:keepNext/>
      </w:pPr>
      <w:bookmarkStart w:id="291" w:name="_Ref211543418"/>
      <w:bookmarkStart w:id="292" w:name="_Ref203660101"/>
      <w:r>
        <w:t xml:space="preserve">The </w:t>
      </w:r>
      <w:r w:rsidR="001708E5" w:rsidRPr="00F332C1">
        <w:t>project</w:t>
      </w:r>
      <w:r w:rsidR="00292AD5" w:rsidRPr="00F332C1">
        <w:t xml:space="preserve"> emissions </w:t>
      </w:r>
      <w:r w:rsidR="00F332C1">
        <w:t>i</w:t>
      </w:r>
      <w:r w:rsidR="00F332C1" w:rsidRPr="00F332C1">
        <w:t xml:space="preserve">n </w:t>
      </w:r>
      <w:r w:rsidR="0039165E">
        <w:t>referred in</w:t>
      </w:r>
      <w:r w:rsidR="008D0EB8">
        <w:t xml:space="preserve"> Equation</w:t>
      </w:r>
      <w:r w:rsidR="0039165E">
        <w:t xml:space="preserve"> </w:t>
      </w:r>
      <w:r w:rsidR="00F332C1">
        <w:t>(</w:t>
      </w:r>
      <w:r w:rsidR="00F332C1" w:rsidRPr="00F332C1">
        <w:t>25</w:t>
      </w:r>
      <w:r w:rsidR="00F332C1">
        <w:t xml:space="preserve">) </w:t>
      </w:r>
      <w:r w:rsidR="0039165E">
        <w:t xml:space="preserve">and calculated as per section </w:t>
      </w:r>
      <w:r w:rsidR="0039165E">
        <w:fldChar w:fldCharType="begin"/>
      </w:r>
      <w:r w:rsidR="0039165E">
        <w:instrText xml:space="preserve"> REF _Ref211528102 \w \p \h </w:instrText>
      </w:r>
      <w:r w:rsidR="0039165E">
        <w:fldChar w:fldCharType="separate"/>
      </w:r>
      <w:r w:rsidR="00302468">
        <w:rPr>
          <w:cs/>
        </w:rPr>
        <w:t>‎</w:t>
      </w:r>
      <w:r w:rsidR="00302468">
        <w:t>8.1 below</w:t>
      </w:r>
      <w:r w:rsidR="0039165E">
        <w:fldChar w:fldCharType="end"/>
      </w:r>
      <w:r w:rsidR="0039165E">
        <w:t xml:space="preserve"> </w:t>
      </w:r>
      <w:r w:rsidR="004F40F6" w:rsidRPr="00F332C1">
        <w:t>must</w:t>
      </w:r>
      <w:r w:rsidR="00B01514" w:rsidRPr="00F332C1">
        <w:t xml:space="preserve"> be determined </w:t>
      </w:r>
      <w:r w:rsidR="00317A92" w:rsidRPr="00F332C1">
        <w:t xml:space="preserve">separately </w:t>
      </w:r>
      <w:r w:rsidR="00B01514" w:rsidRPr="00F332C1">
        <w:t>for each</w:t>
      </w:r>
      <w:r w:rsidR="00292AD5" w:rsidRPr="00F332C1">
        <w:t xml:space="preserve"> baseline component </w:t>
      </w:r>
      <w:r w:rsidR="009E291A" w:rsidRPr="00F332C1">
        <w:t xml:space="preserve">or sub-component </w:t>
      </w:r>
      <w:r w:rsidR="00292AD5" w:rsidRPr="00F332C1">
        <w:t xml:space="preserve">implemented under the </w:t>
      </w:r>
      <w:r w:rsidR="006A5775" w:rsidRPr="00F332C1">
        <w:t>Article 6.4 activity</w:t>
      </w:r>
      <w:r w:rsidR="004F40F6" w:rsidRPr="00F332C1">
        <w:t>. As</w:t>
      </w:r>
      <w:r w:rsidR="004D70E6" w:rsidRPr="00F332C1">
        <w:t xml:space="preserve"> these emissions are not necessarily quantified separately for each compone</w:t>
      </w:r>
      <w:r w:rsidR="0076764E" w:rsidRPr="00F332C1">
        <w:t>nt, the project emissions shall be attributed to the components as follows:</w:t>
      </w:r>
      <w:bookmarkEnd w:id="291"/>
    </w:p>
    <w:p w14:paraId="6FAB128D" w14:textId="1F175B16" w:rsidR="006342A9" w:rsidRPr="00F332C1" w:rsidRDefault="0062308C" w:rsidP="00E66E80">
      <w:pPr>
        <w:pStyle w:val="SDMSubPara1"/>
      </w:pPr>
      <w:r w:rsidRPr="00BB41C9">
        <w:t>Project emissions from the distribution of LFG or biomethane to consumers using trucks</w:t>
      </w:r>
      <w:r w:rsidRPr="00F332C1">
        <w:t xml:space="preserve"> (</w:t>
      </w:r>
      <w:r w:rsidRPr="00F332C1">
        <w:rPr>
          <w:i/>
          <w:iCs/>
        </w:rPr>
        <w:t>P</w:t>
      </w:r>
      <w:r w:rsidR="006342A9" w:rsidRPr="00F332C1">
        <w:rPr>
          <w:i/>
        </w:rPr>
        <w:t>E</w:t>
      </w:r>
      <w:r w:rsidR="006342A9" w:rsidRPr="00F332C1">
        <w:rPr>
          <w:i/>
          <w:vertAlign w:val="subscript"/>
        </w:rPr>
        <w:t>DT,y</w:t>
      </w:r>
      <w:r w:rsidRPr="00F332C1">
        <w:rPr>
          <w:i/>
        </w:rPr>
        <w:t>)</w:t>
      </w:r>
      <w:r w:rsidR="006342A9" w:rsidRPr="00F332C1">
        <w:t xml:space="preserve"> and </w:t>
      </w:r>
      <w:r w:rsidRPr="00BB41C9">
        <w:t>project emissions from physical leakage due to the supply of LFG or biomethane to consumers through a dedicated pipeline (</w:t>
      </w:r>
      <w:r w:rsidR="003D0C38" w:rsidRPr="00F332C1">
        <w:rPr>
          <w:i/>
        </w:rPr>
        <w:t>PE</w:t>
      </w:r>
      <w:r w:rsidR="003D0C38" w:rsidRPr="00F332C1">
        <w:rPr>
          <w:i/>
          <w:vertAlign w:val="subscript"/>
        </w:rPr>
        <w:t>SP</w:t>
      </w:r>
      <w:r w:rsidR="006342A9" w:rsidRPr="00F332C1">
        <w:rPr>
          <w:i/>
          <w:vertAlign w:val="subscript"/>
        </w:rPr>
        <w:t>,y</w:t>
      </w:r>
      <w:r w:rsidRPr="00F332C1">
        <w:rPr>
          <w:i/>
        </w:rPr>
        <w:t>)</w:t>
      </w:r>
      <w:r w:rsidR="006342A9" w:rsidRPr="00F332C1">
        <w:t xml:space="preserve"> shall </w:t>
      </w:r>
      <w:r w:rsidRPr="00F332C1">
        <w:t xml:space="preserve">be </w:t>
      </w:r>
      <w:r w:rsidR="004D14B6" w:rsidRPr="00F332C1">
        <w:t>attributed</w:t>
      </w:r>
      <w:r w:rsidRPr="00F332C1">
        <w:t xml:space="preserve"> </w:t>
      </w:r>
      <w:r w:rsidR="006342A9" w:rsidRPr="00F332C1">
        <w:t>to the supply of LFG or biomethane to consumers component</w:t>
      </w:r>
      <w:r w:rsidR="00876D0C">
        <w:t>/sub-component</w:t>
      </w:r>
      <w:r w:rsidR="006342A9" w:rsidRPr="00F332C1">
        <w:t>;</w:t>
      </w:r>
    </w:p>
    <w:p w14:paraId="624ECA90" w14:textId="61631CBD" w:rsidR="006342A9" w:rsidRPr="00F332C1" w:rsidRDefault="002E6CB5" w:rsidP="00DA05CE">
      <w:pPr>
        <w:pStyle w:val="SDMSubPara1"/>
        <w:keepNext/>
      </w:pPr>
      <w:r w:rsidRPr="00F332C1">
        <w:t>Project emissions from electricity consumption (</w:t>
      </w:r>
      <w:r w:rsidRPr="00F332C1">
        <w:rPr>
          <w:i/>
        </w:rPr>
        <w:t>P</w:t>
      </w:r>
      <w:r w:rsidR="006342A9" w:rsidRPr="00F332C1">
        <w:rPr>
          <w:i/>
        </w:rPr>
        <w:t>E</w:t>
      </w:r>
      <w:r w:rsidR="006342A9" w:rsidRPr="00F332C1">
        <w:rPr>
          <w:i/>
          <w:vertAlign w:val="subscript"/>
        </w:rPr>
        <w:t>EC,y</w:t>
      </w:r>
      <w:r w:rsidRPr="00F332C1">
        <w:rPr>
          <w:i/>
        </w:rPr>
        <w:t>)</w:t>
      </w:r>
      <w:r w:rsidR="006342A9" w:rsidRPr="00F332C1">
        <w:t xml:space="preserve"> and </w:t>
      </w:r>
      <w:r w:rsidRPr="00F332C1">
        <w:t>project emissions from fossil fuel consumption (</w:t>
      </w:r>
      <w:r w:rsidR="007231A9" w:rsidRPr="00F332C1">
        <w:rPr>
          <w:i/>
        </w:rPr>
        <w:t>P</w:t>
      </w:r>
      <w:r w:rsidR="006342A9" w:rsidRPr="00F332C1">
        <w:rPr>
          <w:i/>
        </w:rPr>
        <w:t>E</w:t>
      </w:r>
      <w:r w:rsidR="006342A9" w:rsidRPr="00F332C1">
        <w:rPr>
          <w:i/>
          <w:vertAlign w:val="subscript"/>
        </w:rPr>
        <w:t>FC,y</w:t>
      </w:r>
      <w:r w:rsidRPr="00F332C1">
        <w:rPr>
          <w:i/>
        </w:rPr>
        <w:t>)</w:t>
      </w:r>
      <w:r w:rsidR="006342A9" w:rsidRPr="00F332C1">
        <w:t xml:space="preserve"> shall </w:t>
      </w:r>
      <w:r w:rsidR="007231A9" w:rsidRPr="00F332C1">
        <w:t xml:space="preserve">be </w:t>
      </w:r>
      <w:r w:rsidR="00D20FDF" w:rsidRPr="00F332C1">
        <w:t>attributed</w:t>
      </w:r>
      <w:r w:rsidR="007231A9" w:rsidRPr="00F332C1">
        <w:t xml:space="preserve"> </w:t>
      </w:r>
      <w:r w:rsidR="006342A9" w:rsidRPr="00F332C1">
        <w:t>to all components</w:t>
      </w:r>
      <w:r w:rsidR="005360F2" w:rsidRPr="00F332C1">
        <w:t xml:space="preserve"> or sub-components</w:t>
      </w:r>
      <w:r w:rsidR="006342A9" w:rsidRPr="00F332C1">
        <w:t xml:space="preserve"> through one of the following options:</w:t>
      </w:r>
    </w:p>
    <w:p w14:paraId="328B081F" w14:textId="052589C2" w:rsidR="00B40B68" w:rsidRPr="00F332C1" w:rsidRDefault="00B40B68" w:rsidP="00E66E80">
      <w:pPr>
        <w:pStyle w:val="SDMSubPara2"/>
      </w:pPr>
      <w:r w:rsidRPr="0039165E">
        <w:rPr>
          <w:u w:val="single"/>
        </w:rPr>
        <w:t>Option 1:</w:t>
      </w:r>
      <w:r w:rsidRPr="00F332C1">
        <w:t xml:space="preserve"> Allocation based on the following considerations</w:t>
      </w:r>
    </w:p>
    <w:p w14:paraId="443B1183" w14:textId="003932DE" w:rsidR="00E37E5C" w:rsidRPr="00F332C1" w:rsidRDefault="00AD0499" w:rsidP="00DA05CE">
      <w:pPr>
        <w:pStyle w:val="SDMSubPara3"/>
        <w:keepNext/>
      </w:pPr>
      <w:r w:rsidRPr="00F332C1">
        <w:t>Allocated the electricity and fossil fuel consumed to the component or sub-component that causes the electricity or fuel consumption</w:t>
      </w:r>
      <w:r w:rsidR="008677BA" w:rsidRPr="00F332C1">
        <w:t>, e.g. by</w:t>
      </w:r>
      <w:r w:rsidR="0039165E">
        <w:t>:</w:t>
      </w:r>
    </w:p>
    <w:p w14:paraId="555565AE" w14:textId="78001D03" w:rsidR="0039165E" w:rsidRDefault="006342A9" w:rsidP="00E66E80">
      <w:pPr>
        <w:pStyle w:val="SDMSubPara4"/>
      </w:pPr>
      <w:r w:rsidRPr="00F332C1">
        <w:t>Monitor</w:t>
      </w:r>
      <w:r w:rsidR="000D1FBA" w:rsidRPr="00F332C1">
        <w:t>ing</w:t>
      </w:r>
      <w:r w:rsidRPr="00F332C1">
        <w:t xml:space="preserve"> the electricity and </w:t>
      </w:r>
      <w:r w:rsidR="00C86F31" w:rsidRPr="00F332C1">
        <w:t xml:space="preserve">fossil </w:t>
      </w:r>
      <w:r w:rsidRPr="00F332C1">
        <w:t>fuel consumed by each component</w:t>
      </w:r>
      <w:r w:rsidR="005360F2" w:rsidRPr="00F332C1">
        <w:t xml:space="preserve"> or sub-component</w:t>
      </w:r>
      <w:r w:rsidR="000C53F7">
        <w:t> </w:t>
      </w:r>
      <w:r w:rsidR="001270A4" w:rsidRPr="0039165E">
        <w:rPr>
          <w:i/>
        </w:rPr>
        <w:t>i</w:t>
      </w:r>
      <w:r w:rsidR="001270A4" w:rsidRPr="00F332C1">
        <w:t xml:space="preserve"> </w:t>
      </w:r>
      <w:r w:rsidRPr="00F332C1">
        <w:t>individually</w:t>
      </w:r>
      <w:r w:rsidR="001270A4" w:rsidRPr="00F332C1">
        <w:t xml:space="preserve"> (</w:t>
      </w:r>
      <w:r w:rsidR="00E00F21" w:rsidRPr="0039165E">
        <w:rPr>
          <w:i/>
        </w:rPr>
        <w:t>P</w:t>
      </w:r>
      <w:r w:rsidR="001270A4" w:rsidRPr="0039165E">
        <w:rPr>
          <w:i/>
        </w:rPr>
        <w:t>E</w:t>
      </w:r>
      <w:r w:rsidR="001270A4" w:rsidRPr="0039165E">
        <w:rPr>
          <w:i/>
          <w:vertAlign w:val="subscript"/>
        </w:rPr>
        <w:t>EC,i,y</w:t>
      </w:r>
      <w:r w:rsidR="001270A4" w:rsidRPr="00F332C1">
        <w:t xml:space="preserve"> and </w:t>
      </w:r>
      <w:r w:rsidR="00E00F21" w:rsidRPr="0039165E">
        <w:rPr>
          <w:i/>
        </w:rPr>
        <w:t>P</w:t>
      </w:r>
      <w:r w:rsidR="001270A4" w:rsidRPr="0039165E">
        <w:rPr>
          <w:i/>
        </w:rPr>
        <w:t>E</w:t>
      </w:r>
      <w:r w:rsidR="001270A4" w:rsidRPr="0039165E">
        <w:rPr>
          <w:i/>
          <w:vertAlign w:val="subscript"/>
        </w:rPr>
        <w:t>FC,i,y</w:t>
      </w:r>
      <w:r w:rsidR="001270A4" w:rsidRPr="00F332C1">
        <w:t>)</w:t>
      </w:r>
      <w:r w:rsidRPr="00F332C1">
        <w:t>;</w:t>
      </w:r>
    </w:p>
    <w:p w14:paraId="3F679CC3" w14:textId="5BE079C5" w:rsidR="006342A9" w:rsidRPr="00F332C1" w:rsidRDefault="008B165F" w:rsidP="00E66E80">
      <w:pPr>
        <w:pStyle w:val="SDMSubPara4"/>
      </w:pPr>
      <w:r w:rsidRPr="00F332C1">
        <w:t>Attribut</w:t>
      </w:r>
      <w:r w:rsidR="000D1FBA" w:rsidRPr="00F332C1">
        <w:t>ing</w:t>
      </w:r>
      <w:r w:rsidRPr="00F332C1">
        <w:t xml:space="preserve"> </w:t>
      </w:r>
      <w:r w:rsidR="001270A4" w:rsidRPr="00F332C1">
        <w:t xml:space="preserve">the total electricity and </w:t>
      </w:r>
      <w:r w:rsidR="008E71C9" w:rsidRPr="00F332C1">
        <w:t xml:space="preserve">fossil </w:t>
      </w:r>
      <w:r w:rsidR="001270A4" w:rsidRPr="00F332C1">
        <w:t>fuel consumed (</w:t>
      </w:r>
      <w:r w:rsidR="00E00F21" w:rsidRPr="0039165E">
        <w:rPr>
          <w:i/>
        </w:rPr>
        <w:t>P</w:t>
      </w:r>
      <w:r w:rsidR="001270A4" w:rsidRPr="0039165E">
        <w:rPr>
          <w:i/>
        </w:rPr>
        <w:t>E</w:t>
      </w:r>
      <w:r w:rsidR="001270A4" w:rsidRPr="0039165E">
        <w:rPr>
          <w:i/>
          <w:vertAlign w:val="subscript"/>
        </w:rPr>
        <w:t>EC,y</w:t>
      </w:r>
      <w:r w:rsidR="001270A4" w:rsidRPr="00F332C1">
        <w:t xml:space="preserve"> and </w:t>
      </w:r>
      <w:r w:rsidR="00E00F21" w:rsidRPr="0039165E">
        <w:rPr>
          <w:i/>
        </w:rPr>
        <w:t>P</w:t>
      </w:r>
      <w:r w:rsidR="001270A4" w:rsidRPr="0039165E">
        <w:rPr>
          <w:i/>
        </w:rPr>
        <w:t>E</w:t>
      </w:r>
      <w:r w:rsidR="001270A4" w:rsidRPr="0039165E">
        <w:rPr>
          <w:i/>
          <w:vertAlign w:val="subscript"/>
        </w:rPr>
        <w:t>FC,y</w:t>
      </w:r>
      <w:r w:rsidR="001270A4" w:rsidRPr="00F332C1">
        <w:t>) b</w:t>
      </w:r>
      <w:r w:rsidR="005360F2" w:rsidRPr="00F332C1">
        <w:t>ased on</w:t>
      </w:r>
      <w:r w:rsidR="001270A4" w:rsidRPr="00F332C1">
        <w:t xml:space="preserve"> the design capacity of each component</w:t>
      </w:r>
      <w:r w:rsidR="005360F2" w:rsidRPr="00F332C1">
        <w:t xml:space="preserve"> or sub-component</w:t>
      </w:r>
      <w:r w:rsidR="000C53F7">
        <w:rPr>
          <w:i/>
        </w:rPr>
        <w:t> </w:t>
      </w:r>
      <w:r w:rsidR="005360F2" w:rsidRPr="0039165E">
        <w:rPr>
          <w:i/>
          <w:iCs/>
        </w:rPr>
        <w:t>i</w:t>
      </w:r>
      <w:r w:rsidR="001270A4" w:rsidRPr="00F332C1">
        <w:t>;</w:t>
      </w:r>
    </w:p>
    <w:p w14:paraId="4B800AAA" w14:textId="584C8FE0" w:rsidR="000D1FBA" w:rsidRPr="00F332C1" w:rsidRDefault="00F34982" w:rsidP="00E66E80">
      <w:pPr>
        <w:pStyle w:val="SDMSubPara3"/>
      </w:pPr>
      <w:r w:rsidRPr="00F332C1">
        <w:t>Allocate the electricity and fossil fuel consumed for the capture of LFG to the methane component;</w:t>
      </w:r>
    </w:p>
    <w:p w14:paraId="269787FA" w14:textId="32B5FD65" w:rsidR="00B40B68" w:rsidRDefault="001270A4" w:rsidP="00E66E80">
      <w:pPr>
        <w:pStyle w:val="SDMSubPara2"/>
      </w:pPr>
      <w:r w:rsidRPr="0039165E">
        <w:rPr>
          <w:u w:val="single"/>
        </w:rPr>
        <w:t xml:space="preserve">Option </w:t>
      </w:r>
      <w:r w:rsidR="00B40B68" w:rsidRPr="0039165E">
        <w:rPr>
          <w:u w:val="single"/>
        </w:rPr>
        <w:t>2</w:t>
      </w:r>
      <w:r w:rsidRPr="0039165E">
        <w:rPr>
          <w:u w:val="single"/>
        </w:rPr>
        <w:t>:</w:t>
      </w:r>
      <w:r w:rsidRPr="00F332C1">
        <w:t xml:space="preserve"> </w:t>
      </w:r>
      <w:r w:rsidR="009B5049" w:rsidRPr="00F332C1">
        <w:t xml:space="preserve">Conservatively assume </w:t>
      </w:r>
      <w:r w:rsidR="009B5049" w:rsidRPr="00BB41C9">
        <w:t xml:space="preserve">a value of zero </w:t>
      </w:r>
      <w:r w:rsidR="0039165E">
        <w:t xml:space="preserve">for </w:t>
      </w:r>
      <w:r w:rsidR="009B5049" w:rsidRPr="00BB41C9">
        <w:t xml:space="preserve">project emissions from electricity generation and fossil fuel combustion </w:t>
      </w:r>
      <w:r w:rsidR="00352AEB" w:rsidRPr="00BB41C9">
        <w:t>(</w:t>
      </w:r>
      <w:r w:rsidR="00352AEB" w:rsidRPr="00BB41C9">
        <w:rPr>
          <w:i/>
        </w:rPr>
        <w:t>PE</w:t>
      </w:r>
      <w:r w:rsidR="00352AEB" w:rsidRPr="00BB41C9">
        <w:rPr>
          <w:i/>
          <w:vertAlign w:val="subscript"/>
        </w:rPr>
        <w:t>EC,y</w:t>
      </w:r>
      <w:r w:rsidR="00352AEB" w:rsidRPr="00BB41C9">
        <w:t xml:space="preserve"> and </w:t>
      </w:r>
      <w:r w:rsidR="00352AEB" w:rsidRPr="00BB41C9">
        <w:rPr>
          <w:i/>
        </w:rPr>
        <w:t>PE</w:t>
      </w:r>
      <w:r w:rsidR="00352AEB" w:rsidRPr="00BB41C9">
        <w:rPr>
          <w:i/>
          <w:vertAlign w:val="subscript"/>
        </w:rPr>
        <w:t>FC,y</w:t>
      </w:r>
      <w:r w:rsidR="00352AEB" w:rsidRPr="00BB41C9">
        <w:t xml:space="preserve">) </w:t>
      </w:r>
      <w:r w:rsidR="009B5049" w:rsidRPr="0039165E">
        <w:t xml:space="preserve">in </w:t>
      </w:r>
      <w:r w:rsidR="008D0EB8">
        <w:t>E</w:t>
      </w:r>
      <w:r w:rsidR="009B5049" w:rsidRPr="0039165E">
        <w:t xml:space="preserve">quation </w:t>
      </w:r>
      <w:r w:rsidR="0039165E">
        <w:t>(</w:t>
      </w:r>
      <w:r w:rsidR="009B5049" w:rsidRPr="0039165E">
        <w:t>25</w:t>
      </w:r>
      <w:r w:rsidR="0039165E">
        <w:t>)</w:t>
      </w:r>
      <w:r w:rsidR="009B5049" w:rsidRPr="0039165E">
        <w:t xml:space="preserve"> above.</w:t>
      </w:r>
    </w:p>
    <w:p w14:paraId="3FC559FA" w14:textId="7DB80D0B" w:rsidR="004334D2" w:rsidRDefault="004334D2" w:rsidP="007D034D">
      <w:pPr>
        <w:pStyle w:val="SDMHead4"/>
        <w:keepNext w:val="0"/>
      </w:pPr>
      <w:r>
        <w:t xml:space="preserve">Step </w:t>
      </w:r>
      <w:r w:rsidR="00382161">
        <w:t>5</w:t>
      </w:r>
      <w:r>
        <w:t xml:space="preserve">. Compare </w:t>
      </w:r>
      <m:oMath>
        <m:sSub>
          <m:sSubPr>
            <m:ctrlPr>
              <w:rPr>
                <w:rFonts w:ascii="Cambria Math" w:hAnsi="Cambria Math"/>
                <w:i/>
              </w:rPr>
            </m:ctrlPr>
          </m:sSubPr>
          <m:e>
            <m:r>
              <m:rPr>
                <m:sty m:val="bi"/>
              </m:rPr>
              <w:rPr>
                <w:rFonts w:ascii="Cambria Math" w:hAnsi="Cambria Math"/>
              </w:rPr>
              <m:t>BE</m:t>
            </m:r>
          </m:e>
          <m:sub>
            <m:r>
              <m:rPr>
                <m:sty m:val="bi"/>
              </m:rPr>
              <w:rPr>
                <w:rFonts w:ascii="Cambria Math" w:hAnsi="Cambria Math"/>
              </w:rPr>
              <m:t>adj,UNC,i,y</m:t>
            </m:r>
            <m:r>
              <m:rPr>
                <m:sty m:val="bi"/>
              </m:rPr>
              <w:rPr>
                <w:rFonts w:ascii="Cambria Math" w:hAnsi="Cambria Math"/>
              </w:rPr>
              <m:t>1</m:t>
            </m:r>
          </m:sub>
        </m:sSub>
      </m:oMath>
      <w:r>
        <w:t xml:space="preserve"> and </w:t>
      </w:r>
      <m:oMath>
        <m:sSub>
          <m:sSubPr>
            <m:ctrlPr>
              <w:rPr>
                <w:rFonts w:ascii="Cambria Math" w:hAnsi="Cambria Math"/>
                <w:i/>
              </w:rPr>
            </m:ctrlPr>
          </m:sSubPr>
          <m:e>
            <m:r>
              <m:rPr>
                <m:sty m:val="bi"/>
              </m:rPr>
              <w:rPr>
                <w:rFonts w:ascii="Cambria Math" w:hAnsi="Cambria Math"/>
              </w:rPr>
              <m:t>BE</m:t>
            </m:r>
          </m:e>
          <m:sub>
            <m:r>
              <m:rPr>
                <m:sty m:val="bi"/>
              </m:rPr>
              <w:rPr>
                <w:rFonts w:ascii="Cambria Math" w:hAnsi="Cambria Math"/>
              </w:rPr>
              <m:t>adj,min,i,y</m:t>
            </m:r>
            <m:r>
              <m:rPr>
                <m:sty m:val="bi"/>
              </m:rPr>
              <w:rPr>
                <w:rFonts w:ascii="Cambria Math" w:hAnsi="Cambria Math"/>
              </w:rPr>
              <m:t>1</m:t>
            </m:r>
          </m:sub>
        </m:sSub>
      </m:oMath>
      <w:bookmarkEnd w:id="292"/>
    </w:p>
    <w:p w14:paraId="1119B4CC" w14:textId="6B6A9AB2" w:rsidR="004334D2" w:rsidRDefault="008A25E4" w:rsidP="00DA05CE">
      <w:pPr>
        <w:pStyle w:val="SDMPara"/>
        <w:keepNext/>
      </w:pPr>
      <w:r>
        <w:t xml:space="preserve">For each baseline emission component </w:t>
      </w:r>
      <w:r w:rsidRPr="00923454">
        <w:t>or sub-component</w:t>
      </w:r>
      <w:r w:rsidR="000C53F7">
        <w:t> </w:t>
      </w:r>
      <w:r w:rsidRPr="002A659A">
        <w:rPr>
          <w:i/>
          <w:iCs/>
        </w:rPr>
        <w:t>i</w:t>
      </w:r>
      <w:r>
        <w:rPr>
          <w:i/>
          <w:iCs/>
        </w:rPr>
        <w:t>,</w:t>
      </w:r>
      <w:r>
        <w:t xml:space="preserve"> t</w:t>
      </w:r>
      <w:r w:rsidR="004334D2">
        <w:t>he down</w:t>
      </w:r>
      <w:r w:rsidR="004334D2" w:rsidRPr="00777C0B">
        <w:t xml:space="preserve">ward adjusted baseline </w:t>
      </w:r>
      <w:r w:rsidR="001655BB">
        <w:t xml:space="preserve">emissions </w:t>
      </w:r>
      <w:r w:rsidR="004334D2" w:rsidRPr="00777C0B">
        <w:t>shall be</w:t>
      </w:r>
      <w:r w:rsidR="004334D2" w:rsidRPr="00777C0B" w:rsidDel="00223374">
        <w:t xml:space="preserve"> </w:t>
      </w:r>
      <w:r w:rsidR="00E54FDF">
        <w:t>determined as follows</w:t>
      </w:r>
      <w:r w:rsidR="004334D2">
        <w:t>:</w:t>
      </w:r>
    </w:p>
    <w:tbl>
      <w:tblPr>
        <w:tblStyle w:val="SDMMethTableEquation"/>
        <w:tblW w:w="8760" w:type="dxa"/>
        <w:tblLook w:val="0600" w:firstRow="0" w:lastRow="0" w:firstColumn="0" w:lastColumn="0" w:noHBand="1" w:noVBand="1"/>
      </w:tblPr>
      <w:tblGrid>
        <w:gridCol w:w="7108"/>
        <w:gridCol w:w="1652"/>
      </w:tblGrid>
      <w:tr w:rsidR="004334D2" w:rsidRPr="00E32F75" w14:paraId="459BC8DC" w14:textId="77777777" w:rsidTr="007E5A9B">
        <w:tc>
          <w:tcPr>
            <w:tcW w:w="7224" w:type="dxa"/>
          </w:tcPr>
          <w:p w14:paraId="2239BBF2" w14:textId="468AC45E"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adj,i,y1</m:t>
                    </m:r>
                  </m:sub>
                </m:sSub>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BE</m:t>
                        </m:r>
                      </m:e>
                      <m:sub>
                        <m:r>
                          <w:rPr>
                            <w:rFonts w:ascii="Cambria Math" w:hAnsi="Cambria Math"/>
                          </w:rPr>
                          <m:t>adj,min,i,y1</m:t>
                        </m:r>
                      </m:sub>
                    </m:sSub>
                    <m:r>
                      <w:rPr>
                        <w:rFonts w:ascii="Cambria Math" w:hAnsi="Cambria Math"/>
                      </w:rPr>
                      <m:t xml:space="preserve"> ; </m:t>
                    </m:r>
                    <m:sSub>
                      <m:sSubPr>
                        <m:ctrlPr>
                          <w:rPr>
                            <w:rFonts w:ascii="Cambria Math" w:hAnsi="Cambria Math"/>
                            <w:i/>
                          </w:rPr>
                        </m:ctrlPr>
                      </m:sSubPr>
                      <m:e>
                        <m:r>
                          <w:rPr>
                            <w:rFonts w:ascii="Cambria Math" w:hAnsi="Cambria Math"/>
                          </w:rPr>
                          <m:t>BE</m:t>
                        </m:r>
                      </m:e>
                      <m:sub>
                        <m:r>
                          <w:rPr>
                            <w:rFonts w:ascii="Cambria Math" w:hAnsi="Cambria Math"/>
                          </w:rPr>
                          <m:t>adj,UNC,i,y1</m:t>
                        </m:r>
                      </m:sub>
                    </m:sSub>
                  </m:e>
                </m:d>
              </m:oMath>
            </m:oMathPara>
          </w:p>
        </w:tc>
        <w:tc>
          <w:tcPr>
            <w:tcW w:w="1701" w:type="dxa"/>
          </w:tcPr>
          <w:p w14:paraId="1BEBF17B" w14:textId="77777777" w:rsidR="004334D2" w:rsidRPr="002B6960" w:rsidRDefault="004334D2" w:rsidP="00247E9F">
            <w:pPr>
              <w:pStyle w:val="SDMMethEquationNr"/>
              <w:numPr>
                <w:ilvl w:val="0"/>
                <w:numId w:val="4"/>
              </w:numPr>
            </w:pPr>
          </w:p>
        </w:tc>
      </w:tr>
    </w:tbl>
    <w:p w14:paraId="04757D36" w14:textId="6836E2B1"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4334D2" w14:paraId="1B00DEE0" w14:textId="77777777" w:rsidTr="007E5A9B">
        <w:tc>
          <w:tcPr>
            <w:tcW w:w="1701" w:type="dxa"/>
            <w:vAlign w:val="top"/>
          </w:tcPr>
          <w:p w14:paraId="2A513990" w14:textId="6C9EFB03" w:rsidR="004334D2" w:rsidRPr="00E140A8"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adj,y1</m:t>
                    </m:r>
                  </m:sub>
                </m:sSub>
              </m:oMath>
            </m:oMathPara>
          </w:p>
        </w:tc>
        <w:tc>
          <w:tcPr>
            <w:tcW w:w="345" w:type="dxa"/>
            <w:vAlign w:val="top"/>
          </w:tcPr>
          <w:p w14:paraId="091A24F4" w14:textId="77777777" w:rsidR="004334D2" w:rsidRDefault="004334D2" w:rsidP="00081FD4">
            <w:pPr>
              <w:pStyle w:val="SDMTableBoxParaNotNumbered"/>
            </w:pPr>
            <w:r>
              <w:t>=</w:t>
            </w:r>
          </w:p>
        </w:tc>
        <w:tc>
          <w:tcPr>
            <w:tcW w:w="0" w:type="auto"/>
            <w:vAlign w:val="top"/>
          </w:tcPr>
          <w:p w14:paraId="4B085DBC" w14:textId="15BAB4AB" w:rsidR="004334D2" w:rsidRPr="00923454" w:rsidRDefault="004334D2" w:rsidP="00081FD4">
            <w:pPr>
              <w:pStyle w:val="SDMTableBoxParaNotNumbered"/>
            </w:pPr>
            <w:r w:rsidRPr="00923454">
              <w:t xml:space="preserve">Downward adjusted baseline emissions for each baseline emission component </w:t>
            </w:r>
            <w:r w:rsidR="004412EA" w:rsidRPr="00923454">
              <w:t>or sub-component</w:t>
            </w:r>
            <w:r w:rsidR="000C53F7">
              <w:t> </w:t>
            </w:r>
            <w:r w:rsidRPr="00923454">
              <w:rPr>
                <w:i/>
                <w:iCs/>
              </w:rPr>
              <w:t>i</w:t>
            </w:r>
            <w:r w:rsidRPr="00923454">
              <w:t xml:space="preserve"> in year</w:t>
            </w:r>
            <w:r w:rsidR="000C53F7">
              <w:t> </w:t>
            </w:r>
            <w:r w:rsidR="005A5B24">
              <w:rPr>
                <w:i/>
                <w:iCs/>
              </w:rPr>
              <w:t>1</w:t>
            </w:r>
            <w:r w:rsidR="005A5B24" w:rsidRPr="00923454">
              <w:t xml:space="preserve"> </w:t>
            </w:r>
            <w:r w:rsidR="0039165E">
              <w:t xml:space="preserve">of the crediting period </w:t>
            </w:r>
            <w:r w:rsidRPr="00923454">
              <w:t>(tCO</w:t>
            </w:r>
            <w:r w:rsidRPr="00923454">
              <w:rPr>
                <w:vertAlign w:val="subscript"/>
              </w:rPr>
              <w:t>2</w:t>
            </w:r>
            <w:r w:rsidRPr="00923454">
              <w:t>e/year)</w:t>
            </w:r>
          </w:p>
        </w:tc>
      </w:tr>
      <w:tr w:rsidR="002007B2" w14:paraId="2A81AF6A" w14:textId="77777777" w:rsidTr="007E5A9B">
        <w:tc>
          <w:tcPr>
            <w:tcW w:w="1701" w:type="dxa"/>
            <w:vAlign w:val="top"/>
          </w:tcPr>
          <w:p w14:paraId="65F10508" w14:textId="08F954F4" w:rsidR="002007B2" w:rsidRPr="00DE7BC1"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adj,min,i,y1</m:t>
                    </m:r>
                  </m:sub>
                </m:sSub>
              </m:oMath>
            </m:oMathPara>
          </w:p>
        </w:tc>
        <w:tc>
          <w:tcPr>
            <w:tcW w:w="345" w:type="dxa"/>
            <w:vAlign w:val="top"/>
          </w:tcPr>
          <w:p w14:paraId="6A5AF605" w14:textId="7523D0D3" w:rsidR="002007B2" w:rsidRDefault="002007B2" w:rsidP="00081FD4">
            <w:pPr>
              <w:pStyle w:val="SDMTableBoxParaNotNumbered"/>
            </w:pPr>
            <w:r>
              <w:t>=</w:t>
            </w:r>
          </w:p>
        </w:tc>
        <w:tc>
          <w:tcPr>
            <w:tcW w:w="0" w:type="auto"/>
            <w:vAlign w:val="top"/>
          </w:tcPr>
          <w:p w14:paraId="3E9D1028" w14:textId="09F47D0F" w:rsidR="002007B2" w:rsidRDefault="001B59AE" w:rsidP="00081FD4">
            <w:pPr>
              <w:pStyle w:val="SDMTableBoxParaNotNumbered"/>
            </w:pPr>
            <w:r>
              <w:t xml:space="preserve">Minimum downward adjusted baseline emissions for each baseline emission component </w:t>
            </w:r>
            <w:r w:rsidRPr="006412EC">
              <w:t>or sub-component</w:t>
            </w:r>
            <w:r w:rsidR="000C53F7">
              <w:t> </w:t>
            </w:r>
            <w:r w:rsidRPr="002A659A">
              <w:rPr>
                <w:i/>
                <w:iCs/>
              </w:rPr>
              <w:t>i</w:t>
            </w:r>
            <w:r>
              <w:t xml:space="preserve"> in year</w:t>
            </w:r>
            <w:r w:rsidR="00962EE7">
              <w:t> </w:t>
            </w:r>
            <w:r w:rsidR="005A5B24">
              <w:rPr>
                <w:i/>
                <w:iCs/>
              </w:rPr>
              <w:t>1</w:t>
            </w:r>
            <w:r>
              <w:t xml:space="preserve"> </w:t>
            </w:r>
            <w:r w:rsidR="0039165E">
              <w:t xml:space="preserve">of the crediting period </w:t>
            </w:r>
            <w:r>
              <w:t>(tCO</w:t>
            </w:r>
            <w:r w:rsidRPr="00930749">
              <w:rPr>
                <w:vertAlign w:val="subscript"/>
              </w:rPr>
              <w:t>2</w:t>
            </w:r>
            <w:r>
              <w:t>e/year)</w:t>
            </w:r>
          </w:p>
        </w:tc>
      </w:tr>
      <w:tr w:rsidR="002007B2" w14:paraId="720C2A73" w14:textId="77777777" w:rsidTr="007E5A9B">
        <w:tc>
          <w:tcPr>
            <w:tcW w:w="1701" w:type="dxa"/>
            <w:vAlign w:val="top"/>
          </w:tcPr>
          <w:p w14:paraId="593E36EE" w14:textId="00860B16" w:rsidR="002007B2" w:rsidRPr="00DE7BC1"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adj,UNC,i,y1</m:t>
                    </m:r>
                  </m:sub>
                </m:sSub>
              </m:oMath>
            </m:oMathPara>
          </w:p>
        </w:tc>
        <w:tc>
          <w:tcPr>
            <w:tcW w:w="345" w:type="dxa"/>
            <w:vAlign w:val="top"/>
          </w:tcPr>
          <w:p w14:paraId="42CE1E1B" w14:textId="448B62D8" w:rsidR="002007B2" w:rsidRDefault="002007B2" w:rsidP="00081FD4">
            <w:pPr>
              <w:pStyle w:val="SDMTableBoxParaNotNumbered"/>
            </w:pPr>
            <w:r>
              <w:t>=</w:t>
            </w:r>
          </w:p>
        </w:tc>
        <w:tc>
          <w:tcPr>
            <w:tcW w:w="0" w:type="auto"/>
            <w:vAlign w:val="top"/>
          </w:tcPr>
          <w:p w14:paraId="7865BCE2" w14:textId="5C012D92" w:rsidR="002007B2" w:rsidRDefault="001B59AE" w:rsidP="00081FD4">
            <w:pPr>
              <w:pStyle w:val="SDMTableBoxParaNotNumbered"/>
            </w:pPr>
            <w:r>
              <w:t xml:space="preserve">Downward adjusted baseline emissions based on uncertainty for each baseline emission </w:t>
            </w:r>
            <w:r w:rsidRPr="006412EC">
              <w:t>component or sub-component</w:t>
            </w:r>
            <w:r w:rsidR="00962EE7">
              <w:t> </w:t>
            </w:r>
            <w:r w:rsidRPr="002A659A">
              <w:rPr>
                <w:i/>
                <w:iCs/>
              </w:rPr>
              <w:t>i</w:t>
            </w:r>
            <w:r>
              <w:t xml:space="preserve"> in year</w:t>
            </w:r>
            <w:r w:rsidR="00962EE7">
              <w:t> </w:t>
            </w:r>
            <w:r w:rsidR="005A5B24">
              <w:rPr>
                <w:i/>
                <w:iCs/>
              </w:rPr>
              <w:t>1</w:t>
            </w:r>
            <w:r>
              <w:t xml:space="preserve"> </w:t>
            </w:r>
            <w:r w:rsidR="0039165E">
              <w:t xml:space="preserve">of the crediting period </w:t>
            </w:r>
            <w:r>
              <w:t>(tCO</w:t>
            </w:r>
            <w:r w:rsidRPr="00CF4C64">
              <w:rPr>
                <w:vertAlign w:val="subscript"/>
              </w:rPr>
              <w:t>2</w:t>
            </w:r>
            <w:r>
              <w:t>e/year)</w:t>
            </w:r>
          </w:p>
        </w:tc>
      </w:tr>
      <w:tr w:rsidR="004334D2" w14:paraId="2D252AC3" w14:textId="77777777" w:rsidTr="007E5A9B">
        <w:tc>
          <w:tcPr>
            <w:tcW w:w="1701" w:type="dxa"/>
            <w:vAlign w:val="top"/>
          </w:tcPr>
          <w:p w14:paraId="0B72E83B" w14:textId="40CC5667" w:rsidR="004334D2" w:rsidRPr="00E140A8" w:rsidRDefault="000030A1" w:rsidP="00081FD4">
            <w:pPr>
              <w:pStyle w:val="SDMTableBoxParaNotNumbered"/>
            </w:pPr>
            <m:oMathPara>
              <m:oMathParaPr>
                <m:jc m:val="left"/>
              </m:oMathParaPr>
              <m:oMath>
                <m:r>
                  <w:rPr>
                    <w:rFonts w:ascii="Cambria Math" w:hAnsi="Cambria Math"/>
                  </w:rPr>
                  <m:t>y1</m:t>
                </m:r>
              </m:oMath>
            </m:oMathPara>
          </w:p>
        </w:tc>
        <w:tc>
          <w:tcPr>
            <w:tcW w:w="345" w:type="dxa"/>
            <w:vAlign w:val="top"/>
          </w:tcPr>
          <w:p w14:paraId="5243E365" w14:textId="77777777" w:rsidR="004334D2" w:rsidRDefault="004334D2" w:rsidP="00081FD4">
            <w:pPr>
              <w:pStyle w:val="SDMTableBoxParaNotNumbered"/>
            </w:pPr>
            <w:r>
              <w:t>=</w:t>
            </w:r>
          </w:p>
        </w:tc>
        <w:tc>
          <w:tcPr>
            <w:tcW w:w="0" w:type="auto"/>
            <w:vAlign w:val="top"/>
          </w:tcPr>
          <w:p w14:paraId="117769DE" w14:textId="57FB4519" w:rsidR="004334D2" w:rsidRPr="00923454" w:rsidRDefault="004334D2" w:rsidP="00081FD4">
            <w:pPr>
              <w:pStyle w:val="SDMTableBoxParaNotNumbered"/>
            </w:pPr>
            <w:r w:rsidRPr="00923454">
              <w:t>Calendar year of the start date of the crediting period</w:t>
            </w:r>
          </w:p>
        </w:tc>
      </w:tr>
      <w:tr w:rsidR="004334D2" w14:paraId="54B21321" w14:textId="77777777" w:rsidTr="007E5A9B">
        <w:tc>
          <w:tcPr>
            <w:tcW w:w="1701" w:type="dxa"/>
            <w:vAlign w:val="top"/>
          </w:tcPr>
          <w:p w14:paraId="05E64EC3" w14:textId="77777777" w:rsidR="004334D2" w:rsidRPr="00B7369B" w:rsidRDefault="004334D2" w:rsidP="00081FD4">
            <w:pPr>
              <w:pStyle w:val="SDMTableBoxParaNotNumbered"/>
            </w:pPr>
            <m:oMathPara>
              <m:oMathParaPr>
                <m:jc m:val="left"/>
              </m:oMathParaPr>
              <m:oMath>
                <m:r>
                  <w:rPr>
                    <w:rFonts w:ascii="Cambria Math" w:hAnsi="Cambria Math"/>
                    <w:sz w:val="22"/>
                    <w:szCs w:val="22"/>
                  </w:rPr>
                  <m:t>i</m:t>
                </m:r>
              </m:oMath>
            </m:oMathPara>
          </w:p>
        </w:tc>
        <w:tc>
          <w:tcPr>
            <w:tcW w:w="345" w:type="dxa"/>
            <w:vAlign w:val="top"/>
          </w:tcPr>
          <w:p w14:paraId="6F685319" w14:textId="77777777" w:rsidR="004334D2" w:rsidRDefault="004334D2" w:rsidP="00081FD4">
            <w:pPr>
              <w:pStyle w:val="SDMTableBoxParaNotNumbered"/>
            </w:pPr>
            <w:r>
              <w:t>=</w:t>
            </w:r>
          </w:p>
        </w:tc>
        <w:tc>
          <w:tcPr>
            <w:tcW w:w="0" w:type="auto"/>
            <w:vAlign w:val="top"/>
          </w:tcPr>
          <w:p w14:paraId="1048D222" w14:textId="7AF6F8BF" w:rsidR="004334D2" w:rsidRPr="00923454" w:rsidRDefault="004334D2" w:rsidP="00081FD4">
            <w:pPr>
              <w:pStyle w:val="SDMTableBoxParaNotNumbered"/>
            </w:pPr>
            <w:r w:rsidRPr="00923454">
              <w:t xml:space="preserve">Baseline emissions component </w:t>
            </w:r>
            <w:r w:rsidR="004412EA" w:rsidRPr="00923454">
              <w:t>or sub-component</w:t>
            </w:r>
            <w:r w:rsidR="00962EE7">
              <w:t> </w:t>
            </w:r>
            <w:r w:rsidR="009E1C50" w:rsidRPr="00923454">
              <w:t>i</w:t>
            </w:r>
          </w:p>
        </w:tc>
      </w:tr>
    </w:tbl>
    <w:p w14:paraId="33841600" w14:textId="660AC077" w:rsidR="00974CF9" w:rsidRDefault="00974CF9" w:rsidP="000517F9">
      <w:pPr>
        <w:pStyle w:val="SDMHead4"/>
      </w:pPr>
      <w:bookmarkStart w:id="293" w:name="_Ref211197584"/>
      <w:bookmarkStart w:id="294" w:name="_Ref203748582"/>
      <w:r>
        <w:t xml:space="preserve">Step 6. </w:t>
      </w:r>
      <w:r w:rsidRPr="000517F9">
        <w:t>Determine</w:t>
      </w:r>
      <w:r>
        <w:t xml:space="preserve"> the initial downward adjustment </w:t>
      </w:r>
      <w:r w:rsidRPr="008A25E4">
        <w:rPr>
          <w:i/>
          <w:iCs/>
        </w:rPr>
        <w:t>DA</w:t>
      </w:r>
      <w:r w:rsidRPr="008A25E4">
        <w:rPr>
          <w:i/>
          <w:iCs/>
          <w:vertAlign w:val="subscript"/>
        </w:rPr>
        <w:t>iy1</w:t>
      </w:r>
    </w:p>
    <w:p w14:paraId="6CACD5A0" w14:textId="079A8F89" w:rsidR="001E248E" w:rsidRPr="00923454" w:rsidRDefault="001E248E" w:rsidP="00DA05CE">
      <w:pPr>
        <w:pStyle w:val="SDMPara"/>
        <w:keepNext/>
      </w:pPr>
      <w:r w:rsidRPr="002D4C55">
        <w:t xml:space="preserve">The minimum downward adjustment and the downward adjustment based on the uncertainty </w:t>
      </w:r>
      <w:r w:rsidR="00AB0F26" w:rsidRPr="002D4C55">
        <w:t xml:space="preserve">for each component </w:t>
      </w:r>
      <w:r w:rsidR="00AB0F26" w:rsidRPr="002D4C55">
        <w:rPr>
          <w:i/>
        </w:rPr>
        <w:t>i</w:t>
      </w:r>
      <w:r w:rsidR="00AB0F26" w:rsidRPr="002D4C55">
        <w:t xml:space="preserve"> </w:t>
      </w:r>
      <w:r w:rsidRPr="002D4C55">
        <w:t xml:space="preserve">are </w:t>
      </w:r>
      <w:r w:rsidR="00000515" w:rsidRPr="002D4C55">
        <w:t>implicit</w:t>
      </w:r>
      <w:r w:rsidR="00D35258">
        <w:t>ly included</w:t>
      </w:r>
      <w:r w:rsidRPr="002D4C55">
        <w:t xml:space="preserve"> in </w:t>
      </w:r>
      <w:r w:rsidR="008D0EB8">
        <w:t>E</w:t>
      </w:r>
      <w:r w:rsidRPr="002D4C55">
        <w:t xml:space="preserve">quations </w:t>
      </w:r>
      <w:r w:rsidR="0039165E">
        <w:t>(25)</w:t>
      </w:r>
      <w:r w:rsidR="00A50122" w:rsidRPr="002D4C55">
        <w:t xml:space="preserve"> and </w:t>
      </w:r>
      <w:r w:rsidR="0039165E">
        <w:t xml:space="preserve">(26) </w:t>
      </w:r>
      <w:r w:rsidRPr="002D4C55">
        <w:t>above</w:t>
      </w:r>
      <w:r w:rsidR="00051C53">
        <w:t xml:space="preserve">. The minimum downward adjustment is </w:t>
      </w:r>
      <w:r w:rsidRPr="002D4C55">
        <w:t>represented</w:t>
      </w:r>
      <w:r w:rsidR="00051C53">
        <w:t xml:space="preserve"> by </w:t>
      </w:r>
      <w:r w:rsidR="00C50710" w:rsidRPr="002D4C55">
        <w:t xml:space="preserve">the </w:t>
      </w:r>
      <w:r w:rsidR="00720936" w:rsidRPr="002D4C55">
        <w:t>term (</w:t>
      </w:r>
      <w:r w:rsidR="00720936" w:rsidRPr="002D4C55">
        <w:rPr>
          <w:i/>
        </w:rPr>
        <w:t>BE</w:t>
      </w:r>
      <w:r w:rsidR="00720936" w:rsidRPr="002D4C55">
        <w:rPr>
          <w:i/>
          <w:vertAlign w:val="subscript"/>
        </w:rPr>
        <w:t>act/hi</w:t>
      </w:r>
      <w:r w:rsidR="00C50710" w:rsidRPr="002D4C55">
        <w:rPr>
          <w:i/>
          <w:vertAlign w:val="subscript"/>
        </w:rPr>
        <w:t>s</w:t>
      </w:r>
      <w:r w:rsidR="00720936" w:rsidRPr="002D4C55">
        <w:rPr>
          <w:i/>
          <w:vertAlign w:val="subscript"/>
        </w:rPr>
        <w:t>t,i,y</w:t>
      </w:r>
      <w:r w:rsidR="00B34A3E">
        <w:rPr>
          <w:i/>
          <w:vertAlign w:val="subscript"/>
        </w:rPr>
        <w:t>1</w:t>
      </w:r>
      <w:r w:rsidR="00C50710" w:rsidRPr="002D4C55">
        <w:t xml:space="preserve"> – </w:t>
      </w:r>
      <w:r w:rsidR="006321B9">
        <w:rPr>
          <w:i/>
        </w:rPr>
        <w:t>P</w:t>
      </w:r>
      <w:r w:rsidR="006321B9" w:rsidRPr="002D4C55">
        <w:rPr>
          <w:i/>
        </w:rPr>
        <w:t>E</w:t>
      </w:r>
      <w:r w:rsidR="006321B9" w:rsidRPr="002D4C55">
        <w:rPr>
          <w:i/>
          <w:vertAlign w:val="subscript"/>
        </w:rPr>
        <w:t>y</w:t>
      </w:r>
      <w:r w:rsidR="00B34A3E">
        <w:rPr>
          <w:i/>
          <w:vertAlign w:val="subscript"/>
        </w:rPr>
        <w:t>1</w:t>
      </w:r>
      <w:r w:rsidR="00C50710" w:rsidRPr="002D4C55">
        <w:t>) x 0.1</w:t>
      </w:r>
      <w:r w:rsidR="00051C53">
        <w:t>.</w:t>
      </w:r>
      <w:r w:rsidR="00C50710" w:rsidRPr="002D4C55">
        <w:t xml:space="preserve"> </w:t>
      </w:r>
      <w:r w:rsidR="00051C53">
        <w:t xml:space="preserve">The downward adjustment based on </w:t>
      </w:r>
      <w:r w:rsidR="00C50710" w:rsidRPr="002D4C55">
        <w:t xml:space="preserve">the </w:t>
      </w:r>
      <w:r w:rsidRPr="002D4C55">
        <w:t xml:space="preserve">uncertainty </w:t>
      </w:r>
      <w:r w:rsidR="006550E5">
        <w:t xml:space="preserve">is represented by the term </w:t>
      </w:r>
      <w:r w:rsidR="00000515" w:rsidRPr="00923454">
        <w:t>(</w:t>
      </w:r>
      <w:r w:rsidR="00730D7E" w:rsidRPr="00923454">
        <w:rPr>
          <w:i/>
        </w:rPr>
        <w:t>BE</w:t>
      </w:r>
      <w:r w:rsidR="00730D7E" w:rsidRPr="00923454">
        <w:rPr>
          <w:i/>
          <w:vertAlign w:val="subscript"/>
        </w:rPr>
        <w:t>act/hist,i,y</w:t>
      </w:r>
      <w:r w:rsidR="00B34A3E">
        <w:rPr>
          <w:i/>
          <w:vertAlign w:val="subscript"/>
        </w:rPr>
        <w:t>1</w:t>
      </w:r>
      <w:r w:rsidR="00730D7E" w:rsidRPr="00923454">
        <w:t xml:space="preserve"> x </w:t>
      </w:r>
      <w:r w:rsidR="00000515" w:rsidRPr="00923454">
        <w:rPr>
          <w:i/>
        </w:rPr>
        <w:t>UNC</w:t>
      </w:r>
      <w:r w:rsidR="00000515" w:rsidRPr="00923454">
        <w:rPr>
          <w:i/>
          <w:vertAlign w:val="subscript"/>
        </w:rPr>
        <w:t>BE ac</w:t>
      </w:r>
      <w:r w:rsidR="005C79AA">
        <w:rPr>
          <w:i/>
          <w:vertAlign w:val="subscript"/>
        </w:rPr>
        <w:t>t</w:t>
      </w:r>
      <w:r w:rsidR="00000515" w:rsidRPr="00923454">
        <w:rPr>
          <w:i/>
          <w:vertAlign w:val="subscript"/>
        </w:rPr>
        <w:t>/hist,</w:t>
      </w:r>
      <w:r w:rsidR="00F5483E" w:rsidRPr="00923454">
        <w:rPr>
          <w:i/>
          <w:vertAlign w:val="subscript"/>
        </w:rPr>
        <w:t>i,y</w:t>
      </w:r>
      <w:r w:rsidR="00B34A3E">
        <w:rPr>
          <w:i/>
          <w:vertAlign w:val="subscript"/>
        </w:rPr>
        <w:t>1</w:t>
      </w:r>
      <w:r w:rsidR="00F5483E" w:rsidRPr="00923454">
        <w:t>)</w:t>
      </w:r>
      <w:r w:rsidR="001452CD" w:rsidRPr="00923454">
        <w:t xml:space="preserve">. </w:t>
      </w:r>
      <w:r w:rsidR="000A3891">
        <w:t>In the following section on downward adjust</w:t>
      </w:r>
      <w:r w:rsidR="00176588">
        <w:t xml:space="preserve">ed baselines in subsequent years, </w:t>
      </w:r>
      <w:r w:rsidR="00CA427D">
        <w:t>the initial downward adjustment is required as a term. It shall be determined</w:t>
      </w:r>
      <w:r w:rsidR="000C0759">
        <w:t xml:space="preserve"> </w:t>
      </w:r>
      <w:r w:rsidR="000C0759" w:rsidRPr="00923454">
        <w:t>for each component</w:t>
      </w:r>
      <w:r w:rsidR="000C0759">
        <w:t xml:space="preserve"> or sub-component</w:t>
      </w:r>
      <w:r w:rsidR="000C0759" w:rsidRPr="00923454">
        <w:t xml:space="preserve"> </w:t>
      </w:r>
      <w:r w:rsidR="000C0759" w:rsidRPr="00923454">
        <w:rPr>
          <w:i/>
        </w:rPr>
        <w:t>i</w:t>
      </w:r>
      <w:r w:rsidR="00CA427D">
        <w:t xml:space="preserve"> as</w:t>
      </w:r>
      <w:r w:rsidR="001452CD" w:rsidRPr="00923454">
        <w:t xml:space="preserve"> </w:t>
      </w:r>
      <w:r w:rsidR="003C6C08" w:rsidRPr="00923454">
        <w:t>the highe</w:t>
      </w:r>
      <w:r w:rsidR="00F75A2E" w:rsidRPr="00923454">
        <w:t>st</w:t>
      </w:r>
      <w:r w:rsidR="003C6C08" w:rsidRPr="00923454">
        <w:t xml:space="preserve"> </w:t>
      </w:r>
      <w:r w:rsidR="000C0759">
        <w:t xml:space="preserve">value </w:t>
      </w:r>
      <w:r w:rsidR="003C6C08" w:rsidRPr="00923454">
        <w:t xml:space="preserve">between the </w:t>
      </w:r>
      <w:r w:rsidR="00F75A2E" w:rsidRPr="00923454">
        <w:t>minimum downward adjustment and the downward adjustment based on the uncertainty, as follows:</w:t>
      </w:r>
      <w:bookmarkEnd w:id="293"/>
    </w:p>
    <w:tbl>
      <w:tblPr>
        <w:tblStyle w:val="SDMMethTableEquation"/>
        <w:tblW w:w="8760" w:type="dxa"/>
        <w:tblLook w:val="0600" w:firstRow="0" w:lastRow="0" w:firstColumn="0" w:lastColumn="0" w:noHBand="1" w:noVBand="1"/>
      </w:tblPr>
      <w:tblGrid>
        <w:gridCol w:w="7108"/>
        <w:gridCol w:w="1652"/>
      </w:tblGrid>
      <w:tr w:rsidR="00321DF6" w:rsidRPr="007C6AFD" w14:paraId="46B70218" w14:textId="77777777" w:rsidTr="007E5A9B">
        <w:tc>
          <w:tcPr>
            <w:tcW w:w="7108" w:type="dxa"/>
          </w:tcPr>
          <w:p w14:paraId="454929AF" w14:textId="271FCE2C" w:rsidR="00321DF6" w:rsidRPr="00DA0B1A" w:rsidRDefault="00302468">
            <w:pPr>
              <w:pStyle w:val="SDMMethEquation"/>
            </w:pPr>
            <m:oMathPara>
              <m:oMathParaPr>
                <m:jc m:val="left"/>
              </m:oMathParaPr>
              <m:oMath>
                <m:sSub>
                  <m:sSubPr>
                    <m:ctrlPr>
                      <w:rPr>
                        <w:rFonts w:ascii="Cambria Math" w:hAnsi="Cambria Math"/>
                        <w:i/>
                      </w:rPr>
                    </m:ctrlPr>
                  </m:sSubPr>
                  <m:e>
                    <m:r>
                      <w:rPr>
                        <w:rFonts w:ascii="Cambria Math" w:hAnsi="Cambria Math"/>
                      </w:rPr>
                      <m:t>DA</m:t>
                    </m:r>
                  </m:e>
                  <m:sub>
                    <m:r>
                      <w:rPr>
                        <w:rFonts w:ascii="Cambria Math" w:hAnsi="Cambria Math"/>
                      </w:rPr>
                      <m:t>i,y1</m:t>
                    </m:r>
                  </m:sub>
                </m:sSub>
                <m:r>
                  <w:rPr>
                    <w:rFonts w:ascii="Cambria Math" w:hAnsi="Cambria Math"/>
                  </w:rPr>
                  <m:t>=max</m:t>
                </m:r>
                <m:d>
                  <m:dPr>
                    <m:ctrlPr>
                      <w:rPr>
                        <w:rFonts w:ascii="Cambria Math" w:hAnsi="Cambria Math"/>
                        <w:i/>
                      </w:rPr>
                    </m:ctrlPr>
                  </m:dPr>
                  <m:e>
                    <m:eqArr>
                      <m:eqArrPr>
                        <m:ctrlPr>
                          <w:rPr>
                            <w:rFonts w:ascii="Cambria Math" w:hAnsi="Cambria Math"/>
                            <w:i/>
                          </w:rPr>
                        </m:ctrlPr>
                      </m:eqArrPr>
                      <m:e>
                        <m:f>
                          <m:fPr>
                            <m:type m:val="noBa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BE</m:t>
                                    </m:r>
                                  </m:e>
                                  <m:sub>
                                    <m:r>
                                      <w:rPr>
                                        <w:rFonts w:ascii="Cambria Math" w:hAnsi="Cambria Math"/>
                                      </w:rPr>
                                      <m:t>act/hist,i,y1</m:t>
                                    </m:r>
                                  </m:sub>
                                </m:sSub>
                                <m:r>
                                  <w:rPr>
                                    <w:rFonts w:ascii="Cambria Math" w:hAnsi="Cambria Math"/>
                                  </w:rPr>
                                  <m:t>-</m:t>
                                </m:r>
                                <m:sSub>
                                  <m:sSubPr>
                                    <m:ctrlPr>
                                      <w:rPr>
                                        <w:rFonts w:ascii="Cambria Math" w:hAnsi="Cambria Math"/>
                                        <w:i/>
                                      </w:rPr>
                                    </m:ctrlPr>
                                  </m:sSubPr>
                                  <m:e>
                                    <m:r>
                                      <w:rPr>
                                        <w:rFonts w:ascii="Cambria Math" w:hAnsi="Cambria Math"/>
                                      </w:rPr>
                                      <m:t>PE</m:t>
                                    </m:r>
                                  </m:e>
                                  <m:sub>
                                    <m:sSub>
                                      <m:sSubPr>
                                        <m:ctrlPr>
                                          <w:rPr>
                                            <w:rFonts w:ascii="Cambria Math" w:hAnsi="Cambria Math"/>
                                            <w:i/>
                                          </w:rPr>
                                        </m:ctrlPr>
                                      </m:sSubPr>
                                      <m:e>
                                        <m:r>
                                          <w:rPr>
                                            <w:rFonts w:ascii="Cambria Math" w:hAnsi="Cambria Math"/>
                                          </w:rPr>
                                          <m:t>y</m:t>
                                        </m:r>
                                      </m:e>
                                      <m:sub>
                                        <m:r>
                                          <w:rPr>
                                            <w:rFonts w:ascii="Cambria Math" w:hAnsi="Cambria Math"/>
                                          </w:rPr>
                                          <m:t>1</m:t>
                                        </m:r>
                                      </m:sub>
                                    </m:sSub>
                                  </m:sub>
                                </m:sSub>
                              </m:e>
                            </m:d>
                            <m:r>
                              <w:rPr>
                                <w:rFonts w:ascii="Cambria Math" w:hAnsi="Cambria Math"/>
                              </w:rPr>
                              <m:t>×0.1</m:t>
                            </m:r>
                          </m:num>
                          <m:den>
                            <m:r>
                              <w:rPr>
                                <w:rFonts w:ascii="Cambria Math" w:hAnsi="Cambria Math"/>
                              </w:rPr>
                              <m:t>or</m:t>
                            </m:r>
                          </m:den>
                        </m:f>
                      </m:e>
                      <m:e>
                        <m:sSub>
                          <m:sSubPr>
                            <m:ctrlPr>
                              <w:rPr>
                                <w:rFonts w:ascii="Cambria Math" w:hAnsi="Cambria Math"/>
                                <w:i/>
                              </w:rPr>
                            </m:ctrlPr>
                          </m:sSubPr>
                          <m:e>
                            <m:r>
                              <w:rPr>
                                <w:rFonts w:ascii="Cambria Math" w:hAnsi="Cambria Math"/>
                              </w:rPr>
                              <m:t>BE</m:t>
                            </m:r>
                          </m:e>
                          <m:sub>
                            <m:r>
                              <w:rPr>
                                <w:rFonts w:ascii="Cambria Math" w:hAnsi="Cambria Math"/>
                              </w:rPr>
                              <m:t>act/hist,i,y1</m:t>
                            </m:r>
                          </m:sub>
                        </m:sSub>
                        <m:r>
                          <w:rPr>
                            <w:rFonts w:ascii="Cambria Math" w:hAnsi="Cambria Math"/>
                          </w:rPr>
                          <m:t>×</m:t>
                        </m:r>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act/hist,i,y1</m:t>
                                </m:r>
                              </m:sub>
                            </m:sSub>
                          </m:sub>
                        </m:sSub>
                      </m:e>
                    </m:eqArr>
                  </m:e>
                </m:d>
              </m:oMath>
            </m:oMathPara>
          </w:p>
        </w:tc>
        <w:tc>
          <w:tcPr>
            <w:tcW w:w="1652" w:type="dxa"/>
            <w:vAlign w:val="center"/>
          </w:tcPr>
          <w:p w14:paraId="22D0FE42" w14:textId="77777777" w:rsidR="00321DF6" w:rsidRPr="00DA0B1A" w:rsidRDefault="00321DF6" w:rsidP="00247E9F">
            <w:pPr>
              <w:pStyle w:val="SDMMethEquationNr"/>
              <w:numPr>
                <w:ilvl w:val="0"/>
                <w:numId w:val="4"/>
              </w:numPr>
              <w:rPr>
                <w:sz w:val="22"/>
              </w:rPr>
            </w:pPr>
          </w:p>
        </w:tc>
      </w:tr>
    </w:tbl>
    <w:p w14:paraId="75D81D92" w14:textId="35B2A0B1" w:rsidR="00321DF6" w:rsidRPr="00923454" w:rsidRDefault="00321DF6" w:rsidP="00DA05CE">
      <w:pPr>
        <w:pStyle w:val="SDMMethCaptionEquationParametersTable"/>
      </w:pPr>
      <w:r w:rsidRPr="00923454">
        <w:t>Where:</w:t>
      </w:r>
    </w:p>
    <w:tbl>
      <w:tblPr>
        <w:tblStyle w:val="SDMMethTableEquationParameters"/>
        <w:tblW w:w="8760" w:type="dxa"/>
        <w:tblLook w:val="04A0" w:firstRow="1" w:lastRow="0" w:firstColumn="1" w:lastColumn="0" w:noHBand="0" w:noVBand="1"/>
      </w:tblPr>
      <w:tblGrid>
        <w:gridCol w:w="1701"/>
        <w:gridCol w:w="345"/>
        <w:gridCol w:w="6714"/>
      </w:tblGrid>
      <w:tr w:rsidR="00321DF6" w:rsidRPr="007C6AFD" w14:paraId="7BDF9923" w14:textId="77777777" w:rsidTr="007E5A9B">
        <w:tc>
          <w:tcPr>
            <w:tcW w:w="1701" w:type="dxa"/>
            <w:vAlign w:val="top"/>
          </w:tcPr>
          <w:p w14:paraId="7EF3557C" w14:textId="5F2A0B66" w:rsidR="00321DF6" w:rsidRPr="00923454"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DA</m:t>
                    </m:r>
                  </m:e>
                  <m:sub>
                    <m:r>
                      <w:rPr>
                        <w:rFonts w:ascii="Cambria Math" w:hAnsi="Cambria Math"/>
                      </w:rPr>
                      <m:t>i,y1</m:t>
                    </m:r>
                  </m:sub>
                </m:sSub>
              </m:oMath>
            </m:oMathPara>
          </w:p>
        </w:tc>
        <w:tc>
          <w:tcPr>
            <w:tcW w:w="345" w:type="dxa"/>
            <w:vAlign w:val="top"/>
          </w:tcPr>
          <w:p w14:paraId="5823622B" w14:textId="77777777" w:rsidR="00321DF6" w:rsidRPr="00923454" w:rsidRDefault="00321DF6" w:rsidP="00081FD4">
            <w:pPr>
              <w:pStyle w:val="SDMTableBoxParaNotNumbered"/>
            </w:pPr>
            <w:r w:rsidRPr="00923454">
              <w:t>=</w:t>
            </w:r>
          </w:p>
        </w:tc>
        <w:tc>
          <w:tcPr>
            <w:tcW w:w="0" w:type="auto"/>
            <w:vAlign w:val="top"/>
          </w:tcPr>
          <w:p w14:paraId="6079E9A8" w14:textId="77EDBDEC" w:rsidR="00321DF6" w:rsidRPr="00923454" w:rsidRDefault="00495C41" w:rsidP="00081FD4">
            <w:pPr>
              <w:pStyle w:val="SDMTableBoxParaNotNumbered"/>
            </w:pPr>
            <w:r w:rsidRPr="00923454">
              <w:t xml:space="preserve">Initial downward </w:t>
            </w:r>
            <w:r w:rsidR="001D046D" w:rsidRPr="00923454">
              <w:t>adjustment</w:t>
            </w:r>
            <w:r w:rsidRPr="00923454">
              <w:t xml:space="preserve"> for each component</w:t>
            </w:r>
            <w:r w:rsidR="00F156C3" w:rsidRPr="00923454">
              <w:t xml:space="preserve"> or sub-component</w:t>
            </w:r>
            <w:r w:rsidR="00F21BF2">
              <w:t> </w:t>
            </w:r>
            <w:r w:rsidRPr="00923454">
              <w:rPr>
                <w:i/>
              </w:rPr>
              <w:t>i</w:t>
            </w:r>
            <w:r w:rsidR="00321DF6" w:rsidRPr="00923454">
              <w:t xml:space="preserve"> (t</w:t>
            </w:r>
            <w:r w:rsidR="00E96402">
              <w:t> </w:t>
            </w:r>
            <w:r w:rsidR="00321DF6" w:rsidRPr="00923454">
              <w:t>CO</w:t>
            </w:r>
            <w:r w:rsidR="00321DF6" w:rsidRPr="00923454">
              <w:rPr>
                <w:vertAlign w:val="subscript"/>
              </w:rPr>
              <w:t>2</w:t>
            </w:r>
            <w:r w:rsidR="00321DF6" w:rsidRPr="00923454">
              <w:t>e/year)</w:t>
            </w:r>
          </w:p>
        </w:tc>
      </w:tr>
      <w:tr w:rsidR="00745FB4" w:rsidRPr="007C6AFD" w14:paraId="7B92A362" w14:textId="77777777" w:rsidTr="007E5A9B">
        <w:tc>
          <w:tcPr>
            <w:tcW w:w="1701" w:type="dxa"/>
            <w:vAlign w:val="top"/>
          </w:tcPr>
          <w:p w14:paraId="495545E9" w14:textId="2A2FD532" w:rsidR="00745FB4" w:rsidRPr="00745FB4"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act/hist,i,y1</m:t>
                    </m:r>
                  </m:sub>
                </m:sSub>
              </m:oMath>
            </m:oMathPara>
          </w:p>
        </w:tc>
        <w:tc>
          <w:tcPr>
            <w:tcW w:w="345" w:type="dxa"/>
            <w:vAlign w:val="top"/>
          </w:tcPr>
          <w:p w14:paraId="6767E9F0" w14:textId="5742B2A0" w:rsidR="00745FB4" w:rsidRPr="00923454" w:rsidRDefault="00745FB4" w:rsidP="00081FD4">
            <w:pPr>
              <w:pStyle w:val="SDMTableBoxParaNotNumbered"/>
            </w:pPr>
            <w:r>
              <w:t>=</w:t>
            </w:r>
          </w:p>
        </w:tc>
        <w:tc>
          <w:tcPr>
            <w:tcW w:w="0" w:type="auto"/>
            <w:vAlign w:val="top"/>
          </w:tcPr>
          <w:p w14:paraId="1886846A" w14:textId="5B37621B" w:rsidR="00745FB4" w:rsidRPr="00923454" w:rsidRDefault="000F73CB" w:rsidP="00081FD4">
            <w:pPr>
              <w:pStyle w:val="SDMTableBoxParaNotNumbered"/>
            </w:pPr>
            <w:r>
              <w:t xml:space="preserve">Unadjusted existing actual or historical net baseline emissions for each baseline emission component </w:t>
            </w:r>
            <w:r w:rsidRPr="006412EC">
              <w:t>or sub-component</w:t>
            </w:r>
            <w:r w:rsidR="00F21BF2">
              <w:t> </w:t>
            </w:r>
            <w:r w:rsidRPr="002A659A">
              <w:rPr>
                <w:i/>
                <w:iCs/>
              </w:rPr>
              <w:t>i</w:t>
            </w:r>
            <w:r>
              <w:t xml:space="preserve"> in year</w:t>
            </w:r>
            <w:r w:rsidR="00F21BF2">
              <w:t> </w:t>
            </w:r>
            <w:r w:rsidR="00E43B56">
              <w:rPr>
                <w:i/>
                <w:iCs/>
              </w:rPr>
              <w:t>1</w:t>
            </w:r>
            <w:r w:rsidR="00E43B56">
              <w:t xml:space="preserve"> </w:t>
            </w:r>
            <w:r w:rsidR="0039165E">
              <w:t xml:space="preserve">of the crediting period </w:t>
            </w:r>
            <w:r>
              <w:t>(tCO</w:t>
            </w:r>
            <w:r w:rsidRPr="00930749">
              <w:rPr>
                <w:vertAlign w:val="subscript"/>
              </w:rPr>
              <w:t>2</w:t>
            </w:r>
            <w:r>
              <w:t>e/year)</w:t>
            </w:r>
          </w:p>
        </w:tc>
      </w:tr>
      <w:tr w:rsidR="00745FB4" w:rsidRPr="007C6AFD" w14:paraId="7F195EF8" w14:textId="77777777" w:rsidTr="007E5A9B">
        <w:tc>
          <w:tcPr>
            <w:tcW w:w="1701" w:type="dxa"/>
            <w:vAlign w:val="top"/>
          </w:tcPr>
          <w:p w14:paraId="0428CAD1" w14:textId="66CDD6C9" w:rsidR="00745FB4" w:rsidRPr="00745FB4"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PE</m:t>
                    </m:r>
                  </m:e>
                  <m:sub>
                    <m:sSub>
                      <m:sSubPr>
                        <m:ctrlPr>
                          <w:rPr>
                            <w:rFonts w:ascii="Cambria Math" w:hAnsi="Cambria Math"/>
                            <w:i/>
                          </w:rPr>
                        </m:ctrlPr>
                      </m:sSubPr>
                      <m:e>
                        <m:r>
                          <w:rPr>
                            <w:rFonts w:ascii="Cambria Math" w:hAnsi="Cambria Math"/>
                          </w:rPr>
                          <m:t>y</m:t>
                        </m:r>
                      </m:e>
                      <m:sub>
                        <m:r>
                          <w:rPr>
                            <w:rFonts w:ascii="Cambria Math" w:hAnsi="Cambria Math"/>
                          </w:rPr>
                          <m:t>1</m:t>
                        </m:r>
                      </m:sub>
                    </m:sSub>
                  </m:sub>
                </m:sSub>
              </m:oMath>
            </m:oMathPara>
          </w:p>
        </w:tc>
        <w:tc>
          <w:tcPr>
            <w:tcW w:w="345" w:type="dxa"/>
            <w:vAlign w:val="top"/>
          </w:tcPr>
          <w:p w14:paraId="2BF975A4" w14:textId="721A47B9" w:rsidR="00745FB4" w:rsidRPr="00923454" w:rsidRDefault="00745FB4" w:rsidP="00081FD4">
            <w:pPr>
              <w:pStyle w:val="SDMTableBoxParaNotNumbered"/>
            </w:pPr>
            <w:r>
              <w:t>=</w:t>
            </w:r>
          </w:p>
        </w:tc>
        <w:tc>
          <w:tcPr>
            <w:tcW w:w="0" w:type="auto"/>
            <w:vAlign w:val="top"/>
          </w:tcPr>
          <w:p w14:paraId="1C22D385" w14:textId="58D38561" w:rsidR="00745FB4" w:rsidRPr="00923454" w:rsidRDefault="00915CE7" w:rsidP="00081FD4">
            <w:pPr>
              <w:pStyle w:val="SDMTableBoxParaNotNumbered"/>
            </w:pPr>
            <w:r>
              <w:t xml:space="preserve">Project emissions for each baseline emission component or </w:t>
            </w:r>
            <w:r w:rsidRPr="006412EC">
              <w:t>sub-component</w:t>
            </w:r>
            <w:r w:rsidR="00F21BF2">
              <w:t> </w:t>
            </w:r>
            <w:r w:rsidRPr="002A659A">
              <w:rPr>
                <w:i/>
                <w:iCs/>
              </w:rPr>
              <w:t>i</w:t>
            </w:r>
            <w:r>
              <w:t xml:space="preserve"> in year</w:t>
            </w:r>
            <w:r w:rsidR="00F21BF2">
              <w:t> </w:t>
            </w:r>
            <w:r w:rsidR="00E43B56">
              <w:rPr>
                <w:i/>
                <w:iCs/>
              </w:rPr>
              <w:t>1</w:t>
            </w:r>
            <w:r w:rsidR="00E43B56">
              <w:t xml:space="preserve"> </w:t>
            </w:r>
            <w:r w:rsidR="0039165E">
              <w:t xml:space="preserve">of the crediting period </w:t>
            </w:r>
            <w:r>
              <w:t>(tCO</w:t>
            </w:r>
            <w:r w:rsidRPr="00930749">
              <w:rPr>
                <w:vertAlign w:val="subscript"/>
              </w:rPr>
              <w:t>2</w:t>
            </w:r>
            <w:r>
              <w:t>e/year)</w:t>
            </w:r>
          </w:p>
        </w:tc>
      </w:tr>
      <w:tr w:rsidR="00745FB4" w:rsidRPr="007C6AFD" w14:paraId="4C147E04" w14:textId="77777777" w:rsidTr="007E5A9B">
        <w:tc>
          <w:tcPr>
            <w:tcW w:w="1701" w:type="dxa"/>
            <w:vAlign w:val="top"/>
          </w:tcPr>
          <w:p w14:paraId="4F54F56B" w14:textId="025D48EC" w:rsidR="00745FB4" w:rsidRPr="00745FB4"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act/hist,i,y1</m:t>
                        </m:r>
                      </m:sub>
                    </m:sSub>
                  </m:sub>
                </m:sSub>
              </m:oMath>
            </m:oMathPara>
          </w:p>
        </w:tc>
        <w:tc>
          <w:tcPr>
            <w:tcW w:w="345" w:type="dxa"/>
            <w:vAlign w:val="top"/>
          </w:tcPr>
          <w:p w14:paraId="0957F76B" w14:textId="50611C40" w:rsidR="00745FB4" w:rsidRPr="00923454" w:rsidRDefault="00745FB4" w:rsidP="00081FD4">
            <w:pPr>
              <w:pStyle w:val="SDMTableBoxParaNotNumbered"/>
            </w:pPr>
            <w:r>
              <w:t>=</w:t>
            </w:r>
          </w:p>
        </w:tc>
        <w:tc>
          <w:tcPr>
            <w:tcW w:w="0" w:type="auto"/>
            <w:vAlign w:val="top"/>
          </w:tcPr>
          <w:p w14:paraId="0EBB8CC8" w14:textId="6FF5A41E" w:rsidR="00745FB4" w:rsidRPr="00923454" w:rsidRDefault="00915CE7" w:rsidP="00081FD4">
            <w:pPr>
              <w:pStyle w:val="SDMTableBoxParaNotNumbered"/>
            </w:pPr>
            <w:r>
              <w:t>Uncertainty of baseline emissions at the lower bound of the 95</w:t>
            </w:r>
            <w:r w:rsidR="006D6E0A">
              <w:t xml:space="preserve"> per cent</w:t>
            </w:r>
            <w:r>
              <w:t xml:space="preserve"> confidence interval relative to the central estimate of quantified unadjusted net baseline emissions</w:t>
            </w:r>
            <w:r w:rsidR="00426CAE">
              <w:t xml:space="preserve"> </w:t>
            </w:r>
            <w:r>
              <w:t xml:space="preserve">for each baseline emission </w:t>
            </w:r>
            <w:r w:rsidRPr="006412EC">
              <w:t>component or sub-component</w:t>
            </w:r>
            <w:r w:rsidR="00F21BF2">
              <w:t> </w:t>
            </w:r>
            <w:r w:rsidRPr="002A659A">
              <w:rPr>
                <w:i/>
                <w:iCs/>
              </w:rPr>
              <w:t>i</w:t>
            </w:r>
            <w:r>
              <w:t xml:space="preserve"> </w:t>
            </w:r>
            <w:r w:rsidR="001219D0">
              <w:t>in year</w:t>
            </w:r>
            <w:r w:rsidR="00F21BF2">
              <w:t> </w:t>
            </w:r>
            <w:r w:rsidR="001219D0">
              <w:t>1</w:t>
            </w:r>
            <w:r>
              <w:t xml:space="preserve"> </w:t>
            </w:r>
            <w:r w:rsidR="0039165E">
              <w:t xml:space="preserve">of the crediting period </w:t>
            </w:r>
            <w:r>
              <w:t>(fraction)</w:t>
            </w:r>
          </w:p>
        </w:tc>
      </w:tr>
      <w:tr w:rsidR="00745FB4" w:rsidRPr="007C6AFD" w14:paraId="37F39B60" w14:textId="77777777" w:rsidTr="007E5A9B">
        <w:tc>
          <w:tcPr>
            <w:tcW w:w="1701" w:type="dxa"/>
            <w:vAlign w:val="top"/>
          </w:tcPr>
          <w:p w14:paraId="044D6826" w14:textId="05B86243" w:rsidR="00227179" w:rsidRPr="00915CE7"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y</m:t>
                    </m:r>
                  </m:e>
                  <m:sub>
                    <m:r>
                      <w:rPr>
                        <w:rFonts w:ascii="Cambria Math" w:hAnsi="Cambria Math"/>
                      </w:rPr>
                      <m:t>1</m:t>
                    </m:r>
                  </m:sub>
                </m:sSub>
              </m:oMath>
            </m:oMathPara>
          </w:p>
        </w:tc>
        <w:tc>
          <w:tcPr>
            <w:tcW w:w="345" w:type="dxa"/>
            <w:vAlign w:val="top"/>
          </w:tcPr>
          <w:p w14:paraId="28A13C61" w14:textId="6D741C9B" w:rsidR="00745FB4" w:rsidRDefault="00915CE7" w:rsidP="00081FD4">
            <w:pPr>
              <w:pStyle w:val="SDMTableBoxParaNotNumbered"/>
            </w:pPr>
            <w:r>
              <w:t>=</w:t>
            </w:r>
          </w:p>
        </w:tc>
        <w:tc>
          <w:tcPr>
            <w:tcW w:w="0" w:type="auto"/>
            <w:vAlign w:val="top"/>
          </w:tcPr>
          <w:p w14:paraId="4C962AC5" w14:textId="7BDFA36F" w:rsidR="00915CE7" w:rsidRDefault="00915CE7" w:rsidP="00081FD4">
            <w:pPr>
              <w:pStyle w:val="SDMTableBoxParaNotNumbered"/>
            </w:pPr>
            <w:r>
              <w:t>Calendar year of the start date of the first crediting period</w:t>
            </w:r>
          </w:p>
        </w:tc>
      </w:tr>
    </w:tbl>
    <w:p w14:paraId="4E94BC58" w14:textId="4F95CAA9" w:rsidR="004334D2" w:rsidRDefault="004334D2" w:rsidP="000517F9">
      <w:pPr>
        <w:pStyle w:val="SDMHead3"/>
      </w:pPr>
      <w:bookmarkStart w:id="295" w:name="_Ref211280055"/>
      <w:bookmarkStart w:id="296" w:name="_Toc211555318"/>
      <w:bookmarkStart w:id="297" w:name="_Toc211598970"/>
      <w:bookmarkStart w:id="298" w:name="_Toc211599472"/>
      <w:bookmarkStart w:id="299" w:name="_Toc211612268"/>
      <w:bookmarkStart w:id="300" w:name="_Toc211614715"/>
      <w:bookmarkStart w:id="301" w:name="_Toc211614758"/>
      <w:r w:rsidDel="00365529">
        <w:t>D</w:t>
      </w:r>
      <w:r>
        <w:t xml:space="preserve">ownward </w:t>
      </w:r>
      <w:r w:rsidRPr="000517F9">
        <w:t>adjust</w:t>
      </w:r>
      <w:r w:rsidR="00365529" w:rsidRPr="000517F9">
        <w:t>ed</w:t>
      </w:r>
      <w:r>
        <w:t xml:space="preserve"> </w:t>
      </w:r>
      <w:r w:rsidR="00365529">
        <w:t xml:space="preserve">baseline emissions </w:t>
      </w:r>
      <w:r>
        <w:t>in subsequent years</w:t>
      </w:r>
      <w:bookmarkEnd w:id="294"/>
      <w:bookmarkEnd w:id="295"/>
      <w:bookmarkEnd w:id="296"/>
      <w:bookmarkEnd w:id="297"/>
      <w:bookmarkEnd w:id="298"/>
      <w:bookmarkEnd w:id="299"/>
      <w:bookmarkEnd w:id="300"/>
      <w:bookmarkEnd w:id="301"/>
    </w:p>
    <w:p w14:paraId="39E5E219" w14:textId="1A8074CE" w:rsidR="00F01B5B" w:rsidRPr="00923454" w:rsidRDefault="001D4531" w:rsidP="00DA05CE">
      <w:pPr>
        <w:pStyle w:val="SDMPara"/>
        <w:keepNext/>
      </w:pPr>
      <w:bookmarkStart w:id="302" w:name="_Ref211280051"/>
      <w:bookmarkStart w:id="303" w:name="_Ref209698439"/>
      <w:r w:rsidRPr="00923454">
        <w:t xml:space="preserve">The </w:t>
      </w:r>
      <w:r w:rsidR="001B50E8" w:rsidRPr="00923454">
        <w:t>downward adjusted</w:t>
      </w:r>
      <w:r w:rsidR="00E216AC" w:rsidRPr="00923454">
        <w:t xml:space="preserve"> baseline emissions </w:t>
      </w:r>
      <w:r w:rsidRPr="00923454">
        <w:t xml:space="preserve">in subsequent years </w:t>
      </w:r>
      <w:r w:rsidR="00F01B5B" w:rsidRPr="00923454">
        <w:t>are</w:t>
      </w:r>
      <w:r w:rsidRPr="00923454">
        <w:t xml:space="preserve"> separately determined for the different components of the Article 6.4 activity</w:t>
      </w:r>
      <w:r w:rsidR="00635513" w:rsidRPr="00923454">
        <w:t>, as applicable</w:t>
      </w:r>
      <w:r w:rsidR="00F01B5B" w:rsidRPr="00923454">
        <w:t>:</w:t>
      </w:r>
      <w:bookmarkEnd w:id="302"/>
    </w:p>
    <w:p w14:paraId="4212508E" w14:textId="30CA1AEA" w:rsidR="00F01B5B" w:rsidRPr="00923454" w:rsidRDefault="00F01B5B" w:rsidP="00E66E80">
      <w:pPr>
        <w:pStyle w:val="SDMSubPara1"/>
      </w:pPr>
      <w:r w:rsidRPr="00923454">
        <w:t>Methane component (section</w:t>
      </w:r>
      <w:r w:rsidR="00F72908">
        <w:t xml:space="preserve"> </w:t>
      </w:r>
      <w:r w:rsidR="00F72908">
        <w:fldChar w:fldCharType="begin"/>
      </w:r>
      <w:r w:rsidR="00F72908">
        <w:instrText xml:space="preserve"> REF _Ref211087357 \r \h </w:instrText>
      </w:r>
      <w:r w:rsidR="00F72908">
        <w:fldChar w:fldCharType="separate"/>
      </w:r>
      <w:r w:rsidR="00302468">
        <w:rPr>
          <w:cs/>
        </w:rPr>
        <w:t>‎</w:t>
      </w:r>
      <w:r w:rsidR="00302468">
        <w:t>7.4.2.1</w:t>
      </w:r>
      <w:r w:rsidR="00F72908">
        <w:fldChar w:fldCharType="end"/>
      </w:r>
      <w:r w:rsidRPr="00923454">
        <w:t>);</w:t>
      </w:r>
    </w:p>
    <w:p w14:paraId="13175CC6" w14:textId="0074368E" w:rsidR="00F01B5B" w:rsidRPr="00923454" w:rsidRDefault="00F01B5B" w:rsidP="00E66E80">
      <w:pPr>
        <w:pStyle w:val="SDMSubPara1"/>
      </w:pPr>
      <w:r w:rsidRPr="00923454">
        <w:t>Electricity generation component (section</w:t>
      </w:r>
      <w:r w:rsidR="00F72908">
        <w:t xml:space="preserve"> </w:t>
      </w:r>
      <w:r w:rsidR="00F72908">
        <w:fldChar w:fldCharType="begin"/>
      </w:r>
      <w:r w:rsidR="00F72908">
        <w:instrText xml:space="preserve"> REF _Ref209698415 \r \h </w:instrText>
      </w:r>
      <w:r w:rsidR="00F72908">
        <w:fldChar w:fldCharType="separate"/>
      </w:r>
      <w:r w:rsidR="00302468">
        <w:rPr>
          <w:cs/>
        </w:rPr>
        <w:t>‎</w:t>
      </w:r>
      <w:r w:rsidR="00302468">
        <w:t>7.4.2.2</w:t>
      </w:r>
      <w:r w:rsidR="00F72908">
        <w:fldChar w:fldCharType="end"/>
      </w:r>
      <w:r w:rsidRPr="00923454">
        <w:t>);</w:t>
      </w:r>
    </w:p>
    <w:p w14:paraId="63964DD2" w14:textId="70B20468" w:rsidR="00F01B5B" w:rsidRPr="00923454" w:rsidRDefault="00F01B5B" w:rsidP="00E66E80">
      <w:pPr>
        <w:pStyle w:val="SDMSubPara1"/>
      </w:pPr>
      <w:r w:rsidRPr="00923454">
        <w:t xml:space="preserve">Heat generation component (section </w:t>
      </w:r>
      <w:r w:rsidR="008B0CD2" w:rsidRPr="00923454">
        <w:fldChar w:fldCharType="begin"/>
      </w:r>
      <w:r w:rsidR="008B0CD2" w:rsidRPr="00923454">
        <w:instrText xml:space="preserve"> REF _Ref209698367 \r </w:instrText>
      </w:r>
      <w:r w:rsidR="002A112A" w:rsidRPr="00923454">
        <w:instrText xml:space="preserve"> \* MERGEFORMAT </w:instrText>
      </w:r>
      <w:r w:rsidR="008B0CD2" w:rsidRPr="00923454">
        <w:fldChar w:fldCharType="separate"/>
      </w:r>
      <w:r w:rsidR="00302468">
        <w:rPr>
          <w:cs/>
        </w:rPr>
        <w:t>‎</w:t>
      </w:r>
      <w:r w:rsidR="00302468">
        <w:t>7.4.2.3</w:t>
      </w:r>
      <w:r w:rsidR="008B0CD2" w:rsidRPr="00923454">
        <w:fldChar w:fldCharType="end"/>
      </w:r>
      <w:r w:rsidRPr="00923454">
        <w:t>);</w:t>
      </w:r>
    </w:p>
    <w:p w14:paraId="75DD810C" w14:textId="1858D195" w:rsidR="00F01B5B" w:rsidRPr="00923454" w:rsidRDefault="00F577AE" w:rsidP="00E66E80">
      <w:pPr>
        <w:pStyle w:val="SDMSubPara1"/>
      </w:pPr>
      <w:r w:rsidRPr="00923454">
        <w:t xml:space="preserve">Supply of </w:t>
      </w:r>
      <w:r w:rsidR="00CA2CDA" w:rsidRPr="00923454">
        <w:t>LFG or biomethane to consumers component (section</w:t>
      </w:r>
      <w:r w:rsidR="00D836A0">
        <w:t xml:space="preserve"> </w:t>
      </w:r>
      <w:r w:rsidR="00381131">
        <w:fldChar w:fldCharType="begin"/>
      </w:r>
      <w:r w:rsidR="00381131">
        <w:instrText xml:space="preserve"> REF _Ref211555599 \r \h </w:instrText>
      </w:r>
      <w:r w:rsidR="00381131">
        <w:fldChar w:fldCharType="separate"/>
      </w:r>
      <w:r w:rsidR="00302468">
        <w:rPr>
          <w:cs/>
        </w:rPr>
        <w:t>‎</w:t>
      </w:r>
      <w:r w:rsidR="00302468">
        <w:t>7.4.2.4</w:t>
      </w:r>
      <w:r w:rsidR="00381131">
        <w:fldChar w:fldCharType="end"/>
      </w:r>
      <w:r w:rsidR="00CA2CDA" w:rsidRPr="00923454">
        <w:t>)</w:t>
      </w:r>
      <w:r w:rsidR="00CA415A" w:rsidRPr="00923454">
        <w:t>.</w:t>
      </w:r>
    </w:p>
    <w:p w14:paraId="0E893BF6" w14:textId="4CEA4233" w:rsidR="00635513" w:rsidRPr="00923454" w:rsidRDefault="00635513" w:rsidP="00E66E80">
      <w:pPr>
        <w:pStyle w:val="SDMPara"/>
      </w:pPr>
      <w:r w:rsidRPr="00923454">
        <w:t xml:space="preserve">Subsequently, the downward adjusted baseline emissions </w:t>
      </w:r>
      <w:r w:rsidR="00955C18" w:rsidRPr="00923454">
        <w:t>for</w:t>
      </w:r>
      <w:r w:rsidRPr="00923454">
        <w:t xml:space="preserve"> each component are aggregated to determine the overall downward adjusted baseline emissions (section</w:t>
      </w:r>
      <w:r w:rsidR="00F72908">
        <w:t xml:space="preserve"> </w:t>
      </w:r>
      <w:r w:rsidR="00F72908">
        <w:fldChar w:fldCharType="begin"/>
      </w:r>
      <w:r w:rsidR="00F72908">
        <w:instrText xml:space="preserve"> REF _Ref211087375 \r \h </w:instrText>
      </w:r>
      <w:r w:rsidR="00F72908">
        <w:fldChar w:fldCharType="separate"/>
      </w:r>
      <w:r w:rsidR="00302468">
        <w:rPr>
          <w:cs/>
        </w:rPr>
        <w:t>‎</w:t>
      </w:r>
      <w:r w:rsidR="00302468">
        <w:t>7.4.2.5</w:t>
      </w:r>
      <w:r w:rsidR="00F72908">
        <w:fldChar w:fldCharType="end"/>
      </w:r>
      <w:r w:rsidR="00F72908">
        <w:t>).</w:t>
      </w:r>
    </w:p>
    <w:p w14:paraId="05018AFD" w14:textId="7D78635F" w:rsidR="00F01B5B" w:rsidRPr="00FF7CFD" w:rsidRDefault="00824523" w:rsidP="00DA05CE">
      <w:pPr>
        <w:pStyle w:val="SDMPara"/>
        <w:keepNext/>
      </w:pPr>
      <w:r w:rsidRPr="00923454">
        <w:t xml:space="preserve">For </w:t>
      </w:r>
      <w:r w:rsidRPr="00FF7CFD">
        <w:t>all components</w:t>
      </w:r>
      <w:r w:rsidR="00635513" w:rsidRPr="00FF7CFD">
        <w:t>, the following applies:</w:t>
      </w:r>
    </w:p>
    <w:p w14:paraId="5F8B95F1" w14:textId="10AF0269" w:rsidR="00824523" w:rsidRPr="00FF7CFD" w:rsidRDefault="00824523" w:rsidP="00E66E80">
      <w:pPr>
        <w:pStyle w:val="SDMSubPara1"/>
      </w:pPr>
      <w:r w:rsidRPr="00FF7CFD">
        <w:t xml:space="preserve">Where the baseline has been determined based on existing or actual/historical emissions adjusted downwards, the starting point for increasing the downward adjustment over time shall be the downward adjusted baseline values in the calendar year of the start date of the first crediting period, as determined in section </w:t>
      </w:r>
      <w:r w:rsidRPr="00FF7CFD">
        <w:rPr>
          <w:cs/>
        </w:rPr>
        <w:t>‎</w:t>
      </w:r>
      <w:r w:rsidR="00450050">
        <w:fldChar w:fldCharType="begin"/>
      </w:r>
      <w:r w:rsidR="00450050">
        <w:instrText xml:space="preserve"> REF _Ref206665002 \r \h </w:instrText>
      </w:r>
      <w:r w:rsidR="00450050">
        <w:fldChar w:fldCharType="separate"/>
      </w:r>
      <w:r w:rsidR="00302468">
        <w:rPr>
          <w:cs/>
        </w:rPr>
        <w:t>‎</w:t>
      </w:r>
      <w:r w:rsidR="00302468">
        <w:t>7.4.1</w:t>
      </w:r>
      <w:r w:rsidR="00450050">
        <w:fldChar w:fldCharType="end"/>
      </w:r>
      <w:r w:rsidR="00BB5A23" w:rsidRPr="00FF7CFD">
        <w:t>;</w:t>
      </w:r>
    </w:p>
    <w:p w14:paraId="32F1457C" w14:textId="799EC161" w:rsidR="00654B73" w:rsidRPr="00967F88" w:rsidRDefault="00824523" w:rsidP="00C65A0B">
      <w:pPr>
        <w:pStyle w:val="SDMSubPara1"/>
        <w:keepNext/>
        <w:widowControl w:val="0"/>
      </w:pPr>
      <w:r w:rsidRPr="00FF7CFD">
        <w:t xml:space="preserve">Where the baseline has been determined based on the best available technology, </w:t>
      </w:r>
      <w:r w:rsidR="00654B73" w:rsidRPr="00FF7CFD">
        <w:t xml:space="preserve">the starting point for increasing the downward adjustment over time shall be the emissions corresponding to the best available technology in the calendar year of the start date of the first crediting period, </w:t>
      </w:r>
      <w:r w:rsidR="00DB0A54" w:rsidRPr="00FF7CFD">
        <w:t xml:space="preserve">as determined in section </w:t>
      </w:r>
      <w:r w:rsidR="00DB0A54" w:rsidRPr="00FF7CFD">
        <w:rPr>
          <w:cs/>
        </w:rPr>
        <w:t>‎</w:t>
      </w:r>
      <w:r w:rsidR="00DB0A54">
        <w:fldChar w:fldCharType="begin"/>
      </w:r>
      <w:r w:rsidR="00DB0A54">
        <w:instrText xml:space="preserve"> REF _Ref206665002 \r \h </w:instrText>
      </w:r>
      <w:r w:rsidR="00DB0A54">
        <w:fldChar w:fldCharType="separate"/>
      </w:r>
      <w:r w:rsidR="00302468">
        <w:rPr>
          <w:cs/>
        </w:rPr>
        <w:t>‎</w:t>
      </w:r>
      <w:r w:rsidR="00302468">
        <w:t>7.4.1</w:t>
      </w:r>
      <w:r w:rsidR="00DB0A54">
        <w:fldChar w:fldCharType="end"/>
      </w:r>
      <w:r w:rsidR="00E62676" w:rsidRPr="00967F88">
        <w:t>;</w:t>
      </w:r>
    </w:p>
    <w:p w14:paraId="0C5D81E1" w14:textId="5246B66D" w:rsidR="00CF7148" w:rsidRPr="00E53E15" w:rsidRDefault="00E62676" w:rsidP="00C65A0B">
      <w:pPr>
        <w:pStyle w:val="SDMSubPara1"/>
        <w:keepNext/>
        <w:widowControl w:val="0"/>
      </w:pPr>
      <w:r w:rsidRPr="00967F88">
        <w:t>T</w:t>
      </w:r>
      <w:r w:rsidR="00824523" w:rsidRPr="00967F88">
        <w:t>he annual increase in the downward adjustment shall be applied starting on 1</w:t>
      </w:r>
      <w:r w:rsidR="007621F4">
        <w:t> </w:t>
      </w:r>
      <w:r w:rsidR="00824523" w:rsidRPr="00967F88">
        <w:t>January of a calendar year. The first increase shall be applied in the calendar year following the calendar year of the start date of the first crediting period. A pro-rata approach may be used to apply this minimum value to periods other than a full calendar year.</w:t>
      </w:r>
      <w:r w:rsidR="007C6AFD" w:rsidRPr="0033247D">
        <w:rPr>
          <w:rStyle w:val="FootnoteReference"/>
        </w:rPr>
        <w:footnoteReference w:id="16"/>
      </w:r>
    </w:p>
    <w:p w14:paraId="3B0A5044" w14:textId="46615E7B" w:rsidR="004334D2" w:rsidRDefault="003679E7" w:rsidP="000517F9">
      <w:pPr>
        <w:pStyle w:val="SDMHead4"/>
      </w:pPr>
      <w:bookmarkStart w:id="304" w:name="_Ref211087357"/>
      <w:r w:rsidRPr="000517F9">
        <w:t>M</w:t>
      </w:r>
      <w:r w:rsidR="004334D2" w:rsidRPr="000517F9">
        <w:t>ethane</w:t>
      </w:r>
      <w:r w:rsidR="004334D2">
        <w:t xml:space="preserve"> component</w:t>
      </w:r>
      <w:bookmarkEnd w:id="303"/>
      <w:bookmarkEnd w:id="304"/>
    </w:p>
    <w:p w14:paraId="530FB47E" w14:textId="1A8FD6FB" w:rsidR="00F3365F" w:rsidRPr="0043717B" w:rsidRDefault="00742C7E" w:rsidP="00E66E80">
      <w:pPr>
        <w:pStyle w:val="SDMPara"/>
      </w:pPr>
      <w:r>
        <w:rPr>
          <w:lang w:val="en-US" w:eastAsia="en-GB"/>
        </w:rPr>
        <w:t xml:space="preserve">The </w:t>
      </w:r>
      <w:r w:rsidR="00C1790C">
        <w:rPr>
          <w:lang w:val="en-US" w:eastAsia="en-GB"/>
        </w:rPr>
        <w:t xml:space="preserve">downward adjustment </w:t>
      </w:r>
      <w:r w:rsidR="00672849">
        <w:rPr>
          <w:lang w:val="en-US" w:eastAsia="en-GB"/>
        </w:rPr>
        <w:t xml:space="preserve">in subsequent years </w:t>
      </w:r>
      <w:r w:rsidR="003215D0">
        <w:rPr>
          <w:lang w:val="en-US" w:eastAsia="en-GB"/>
        </w:rPr>
        <w:t>for the methane component depends on</w:t>
      </w:r>
      <w:r w:rsidR="00C44F0C">
        <w:rPr>
          <w:lang w:val="en-US" w:eastAsia="en-GB"/>
        </w:rPr>
        <w:t xml:space="preserve"> </w:t>
      </w:r>
      <w:r w:rsidR="00BB5173">
        <w:rPr>
          <w:lang w:val="en-US" w:eastAsia="en-GB"/>
        </w:rPr>
        <w:t xml:space="preserve">whether the methane is flared </w:t>
      </w:r>
      <w:r w:rsidR="00FC6A46">
        <w:rPr>
          <w:lang w:val="en-US" w:eastAsia="en-GB"/>
        </w:rPr>
        <w:t>or</w:t>
      </w:r>
      <w:r w:rsidR="00BB5173">
        <w:rPr>
          <w:lang w:val="en-US" w:eastAsia="en-GB"/>
        </w:rPr>
        <w:t xml:space="preserve"> utilized</w:t>
      </w:r>
      <w:r w:rsidR="00366B55">
        <w:rPr>
          <w:rFonts w:hint="cs"/>
          <w:rtl/>
          <w:lang w:val="en-US" w:eastAsia="en-GB"/>
        </w:rPr>
        <w:t>.</w:t>
      </w:r>
    </w:p>
    <w:p w14:paraId="12B626FA" w14:textId="2DA1B8F9" w:rsidR="00A56D86" w:rsidRDefault="00A56D86" w:rsidP="00DA05CE">
      <w:pPr>
        <w:pStyle w:val="SDMPara"/>
        <w:keepNext/>
      </w:pPr>
      <w:bookmarkStart w:id="305" w:name="_Ref211201338"/>
      <w:r>
        <w:t xml:space="preserve">For the purpose of determining the downward adjusted baseline emissions, in a first step a downward adjusted </w:t>
      </w:r>
      <w:r w:rsidR="00174A65">
        <w:t xml:space="preserve">amount </w:t>
      </w:r>
      <w:r>
        <w:t xml:space="preserve">of methane destruction is determined. That amount is determined separately for </w:t>
      </w:r>
      <w:r w:rsidR="006B3532">
        <w:t xml:space="preserve">different </w:t>
      </w:r>
      <w:r w:rsidR="00A744EE">
        <w:t>sub-</w:t>
      </w:r>
      <w:r w:rsidR="006B3532">
        <w:t>amounts of methane, depending on how the</w:t>
      </w:r>
      <w:r w:rsidR="00D56940">
        <w:t xml:space="preserve"> methane is destroyed</w:t>
      </w:r>
      <w:r w:rsidR="00A744EE">
        <w:t>,</w:t>
      </w:r>
      <w:r w:rsidR="006B3532">
        <w:t xml:space="preserve"> as follows:</w:t>
      </w:r>
      <w:bookmarkEnd w:id="305"/>
    </w:p>
    <w:p w14:paraId="7A1A2D81" w14:textId="13A44883" w:rsidR="00B57617" w:rsidRDefault="002A7C67" w:rsidP="00DA05CE">
      <w:pPr>
        <w:pStyle w:val="SDMSubPara1"/>
        <w:keepNext/>
      </w:pPr>
      <w:bookmarkStart w:id="306" w:name="_Ref211201088"/>
      <w:r>
        <w:t xml:space="preserve">For the amount of </w:t>
      </w:r>
      <w:r w:rsidR="00DE561D">
        <w:t xml:space="preserve">methane in the </w:t>
      </w:r>
      <w:r w:rsidR="00D415CA">
        <w:t xml:space="preserve">LFG that </w:t>
      </w:r>
      <w:r w:rsidR="00090EFE">
        <w:t>is</w:t>
      </w:r>
      <w:r w:rsidR="00D415CA">
        <w:t xml:space="preserve"> destroyed in flares, the </w:t>
      </w:r>
      <w:r w:rsidR="0044102B">
        <w:t xml:space="preserve">downward adjusted </w:t>
      </w:r>
      <w:r w:rsidR="00BA53F6">
        <w:t xml:space="preserve">amount of </w:t>
      </w:r>
      <w:r w:rsidR="0044102B">
        <w:t xml:space="preserve">methane </w:t>
      </w:r>
      <w:r w:rsidR="00BA53F6">
        <w:t xml:space="preserve">is </w:t>
      </w:r>
      <w:r w:rsidR="0044102B">
        <w:t>determined as follows:</w:t>
      </w:r>
      <w:bookmarkEnd w:id="306"/>
    </w:p>
    <w:tbl>
      <w:tblPr>
        <w:tblStyle w:val="SDMMethTableEquation"/>
        <w:tblW w:w="8760" w:type="dxa"/>
        <w:tblLook w:val="0600" w:firstRow="0" w:lastRow="0" w:firstColumn="0" w:lastColumn="0" w:noHBand="1" w:noVBand="1"/>
      </w:tblPr>
      <w:tblGrid>
        <w:gridCol w:w="7025"/>
        <w:gridCol w:w="1632"/>
        <w:gridCol w:w="103"/>
      </w:tblGrid>
      <w:tr w:rsidR="00417315" w:rsidRPr="00E32F75" w14:paraId="014423ED" w14:textId="77777777" w:rsidTr="007E5A9B">
        <w:tc>
          <w:tcPr>
            <w:tcW w:w="7224" w:type="dxa"/>
          </w:tcPr>
          <w:p w14:paraId="5CB4F2A6" w14:textId="410BDEDE" w:rsidR="00417315" w:rsidRPr="00F21BF2" w:rsidRDefault="00302468" w:rsidP="00B47215">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CH4,Primary-Flare,adj,y</m:t>
                    </m:r>
                  </m:sub>
                </m:sSub>
                <m:r>
                  <w:rPr>
                    <w:rFonts w:ascii="Cambria Math" w:hAnsi="Cambria Math"/>
                  </w:rPr>
                  <m:t>= MAX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CH4,Primary-Flare,y</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DA</m:t>
                            </m:r>
                          </m:e>
                          <m:sub>
                            <m:r>
                              <w:rPr>
                                <w:rFonts w:ascii="Cambria Math" w:hAnsi="Cambria Math"/>
                              </w:rPr>
                              <m:t>CH4,Primary-Flare,y1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CH4,Primary-Flare,y</m:t>
                            </m:r>
                          </m:sub>
                        </m:sSub>
                        <m:r>
                          <w:rPr>
                            <w:rFonts w:ascii="Cambria Math" w:hAnsi="Cambria Math"/>
                          </w:rPr>
                          <m:t>×</m:t>
                        </m:r>
                        <m:sSub>
                          <m:sSubPr>
                            <m:ctrlPr>
                              <w:rPr>
                                <w:rFonts w:ascii="Cambria Math" w:hAnsi="Cambria Math"/>
                                <w:i/>
                              </w:rPr>
                            </m:ctrlPr>
                          </m:sSubPr>
                          <m:e>
                            <m:r>
                              <w:rPr>
                                <w:rFonts w:ascii="Cambria Math" w:hAnsi="Cambria Math"/>
                              </w:rPr>
                              <m:t>INDA</m:t>
                            </m:r>
                          </m:e>
                          <m:sub>
                            <m:r>
                              <w:rPr>
                                <w:rFonts w:ascii="Cambria Math" w:hAnsi="Cambria Math"/>
                              </w:rPr>
                              <m:t>flare</m:t>
                            </m:r>
                          </m:sub>
                        </m:sSub>
                        <m:r>
                          <w:rPr>
                            <w:rFonts w:ascii="Cambria Math" w:hAnsi="Cambria Math"/>
                          </w:rPr>
                          <m:t xml:space="preserve"> ×</m:t>
                        </m:r>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e>
                        </m:d>
                      </m:e>
                    </m:d>
                    <m:r>
                      <w:rPr>
                        <w:rFonts w:ascii="Cambria Math" w:hAnsi="Cambria Math"/>
                      </w:rPr>
                      <m:t>;0</m:t>
                    </m:r>
                  </m:e>
                </m:d>
              </m:oMath>
            </m:oMathPara>
          </w:p>
        </w:tc>
        <w:tc>
          <w:tcPr>
            <w:tcW w:w="1701" w:type="dxa"/>
            <w:gridSpan w:val="2"/>
          </w:tcPr>
          <w:p w14:paraId="24CDABCA" w14:textId="77777777" w:rsidR="00417315" w:rsidRPr="00F21BF2" w:rsidRDefault="00417315" w:rsidP="00C67B31">
            <w:pPr>
              <w:pStyle w:val="SDMMethEquationNr"/>
              <w:numPr>
                <w:ilvl w:val="0"/>
                <w:numId w:val="15"/>
              </w:numPr>
              <w:rPr>
                <w:sz w:val="22"/>
              </w:rPr>
            </w:pPr>
          </w:p>
        </w:tc>
      </w:tr>
      <w:tr w:rsidR="00417315" w:rsidRPr="00E32F75" w14:paraId="1828078F" w14:textId="77777777" w:rsidTr="007E5A9B">
        <w:trPr>
          <w:gridAfter w:val="1"/>
          <w:wAfter w:w="108" w:type="dxa"/>
        </w:trPr>
        <w:tc>
          <w:tcPr>
            <w:tcW w:w="7224" w:type="dxa"/>
          </w:tcPr>
          <w:p w14:paraId="45F13E6E" w14:textId="2A60C25E" w:rsidR="00417315" w:rsidRPr="00F21BF2" w:rsidRDefault="00302468" w:rsidP="00B47215">
            <w:pPr>
              <w:pStyle w:val="SDMMethEquation"/>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CH4,Backup-Flare,adj,y</m:t>
                    </m:r>
                  </m:sub>
                </m:sSub>
                <m:r>
                  <w:rPr>
                    <w:rFonts w:ascii="Cambria Math" w:hAnsi="Cambria Math"/>
                  </w:rPr>
                  <m:t>= MAX</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CH4,Backup-Flare,y</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DA</m:t>
                            </m:r>
                          </m:e>
                          <m:sub>
                            <m:r>
                              <w:rPr>
                                <w:rFonts w:ascii="Cambria Math" w:hAnsi="Cambria Math"/>
                              </w:rPr>
                              <m:t>CH4,Backup-Flare,y1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CH4,Backup-Flare,y</m:t>
                            </m:r>
                          </m:sub>
                        </m:sSub>
                        <m:r>
                          <w:rPr>
                            <w:rFonts w:ascii="Cambria Math" w:hAnsi="Cambria Math"/>
                          </w:rPr>
                          <m:t>×</m:t>
                        </m:r>
                        <m:sSub>
                          <m:sSubPr>
                            <m:ctrlPr>
                              <w:rPr>
                                <w:rFonts w:ascii="Cambria Math" w:hAnsi="Cambria Math"/>
                                <w:i/>
                              </w:rPr>
                            </m:ctrlPr>
                          </m:sSubPr>
                          <m:e>
                            <m:r>
                              <w:rPr>
                                <w:rFonts w:ascii="Cambria Math" w:hAnsi="Cambria Math"/>
                              </w:rPr>
                              <m:t>INDA</m:t>
                            </m:r>
                          </m:e>
                          <m:sub>
                            <m:r>
                              <w:rPr>
                                <w:rFonts w:ascii="Cambria Math" w:hAnsi="Cambria Math"/>
                              </w:rPr>
                              <m:t>flare</m:t>
                            </m:r>
                          </m:sub>
                        </m:sSub>
                        <m:r>
                          <w:rPr>
                            <w:rFonts w:ascii="Cambria Math" w:hAnsi="Cambria Math"/>
                          </w:rPr>
                          <m:t xml:space="preserve"> ×</m:t>
                        </m:r>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e>
                        </m:d>
                      </m:e>
                    </m:d>
                    <m:r>
                      <w:rPr>
                        <w:rFonts w:ascii="Cambria Math" w:hAnsi="Cambria Math"/>
                      </w:rPr>
                      <m:t>;0</m:t>
                    </m:r>
                  </m:e>
                </m:d>
              </m:oMath>
            </m:oMathPara>
          </w:p>
        </w:tc>
        <w:tc>
          <w:tcPr>
            <w:tcW w:w="1701" w:type="dxa"/>
          </w:tcPr>
          <w:p w14:paraId="52F4E5FD" w14:textId="77777777" w:rsidR="00417315" w:rsidRPr="00F21BF2" w:rsidRDefault="00417315" w:rsidP="00C67B31">
            <w:pPr>
              <w:pStyle w:val="SDMMethEquationNr"/>
              <w:numPr>
                <w:ilvl w:val="0"/>
                <w:numId w:val="15"/>
              </w:numPr>
              <w:rPr>
                <w:sz w:val="22"/>
              </w:rPr>
            </w:pPr>
          </w:p>
        </w:tc>
      </w:tr>
    </w:tbl>
    <w:p w14:paraId="52B6BAF6" w14:textId="77777777" w:rsidR="00417315" w:rsidRDefault="00417315"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2101"/>
        <w:gridCol w:w="345"/>
        <w:gridCol w:w="6314"/>
      </w:tblGrid>
      <w:tr w:rsidR="00417315" w:rsidRPr="00F21BF2" w14:paraId="28DA246C" w14:textId="77777777" w:rsidTr="007E5A9B">
        <w:tc>
          <w:tcPr>
            <w:tcW w:w="2101" w:type="dxa"/>
            <w:vAlign w:val="top"/>
          </w:tcPr>
          <w:p w14:paraId="472F4A2E" w14:textId="706CAB2B" w:rsidR="00417315" w:rsidRPr="00F21BF2"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Primary-Flare,adj,y</m:t>
                    </m:r>
                  </m:sub>
                </m:sSub>
              </m:oMath>
            </m:oMathPara>
          </w:p>
        </w:tc>
        <w:tc>
          <w:tcPr>
            <w:tcW w:w="345" w:type="dxa"/>
            <w:vAlign w:val="top"/>
          </w:tcPr>
          <w:p w14:paraId="7C3DA63E" w14:textId="683D8447" w:rsidR="00417315" w:rsidRPr="00F21BF2" w:rsidRDefault="00417315" w:rsidP="00081FD4">
            <w:pPr>
              <w:pStyle w:val="SDMTableBoxParaNotNumbered"/>
            </w:pPr>
            <w:r w:rsidRPr="00F21BF2">
              <w:rPr>
                <w:rFonts w:cs="Arial"/>
              </w:rPr>
              <w:t>=</w:t>
            </w:r>
          </w:p>
        </w:tc>
        <w:tc>
          <w:tcPr>
            <w:tcW w:w="0" w:type="auto"/>
            <w:vAlign w:val="top"/>
          </w:tcPr>
          <w:p w14:paraId="641F8910" w14:textId="42B25345" w:rsidR="00417315" w:rsidRPr="00F21BF2" w:rsidRDefault="00E22EC7" w:rsidP="00081FD4">
            <w:pPr>
              <w:pStyle w:val="SDMTableBoxParaNotNumbered"/>
            </w:pPr>
            <w:r w:rsidRPr="00F21BF2">
              <w:t>Downward adjusted amount of methane in the LFG which is flared in the primary flare in year</w:t>
            </w:r>
            <w:r w:rsidR="00DA0B1A">
              <w:t> </w:t>
            </w:r>
            <w:r w:rsidRPr="00F21BF2">
              <w:rPr>
                <w:i/>
                <w:iCs/>
              </w:rPr>
              <w:t>y</w:t>
            </w:r>
            <w:r w:rsidRPr="00F21BF2">
              <w:t xml:space="preserve"> </w:t>
            </w:r>
            <w:r w:rsidRPr="00F21BF2">
              <w:rPr>
                <w:lang w:val="en-US"/>
              </w:rPr>
              <w:t>(t CH</w:t>
            </w:r>
            <w:r w:rsidRPr="00F21BF2">
              <w:rPr>
                <w:vertAlign w:val="subscript"/>
                <w:lang w:val="en-US"/>
              </w:rPr>
              <w:t>4</w:t>
            </w:r>
            <w:r w:rsidRPr="00F21BF2">
              <w:rPr>
                <w:lang w:val="en-US"/>
              </w:rPr>
              <w:t>/year)</w:t>
            </w:r>
          </w:p>
        </w:tc>
      </w:tr>
      <w:tr w:rsidR="00417315" w:rsidRPr="00F21BF2" w14:paraId="4DA08D9D" w14:textId="77777777" w:rsidTr="007E5A9B">
        <w:tc>
          <w:tcPr>
            <w:tcW w:w="2101" w:type="dxa"/>
            <w:vAlign w:val="top"/>
          </w:tcPr>
          <w:p w14:paraId="3C056CE3" w14:textId="78946FF6" w:rsidR="00417315" w:rsidRPr="00F21BF2"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Primary-Flare,y</m:t>
                    </m:r>
                  </m:sub>
                </m:sSub>
              </m:oMath>
            </m:oMathPara>
          </w:p>
        </w:tc>
        <w:tc>
          <w:tcPr>
            <w:tcW w:w="345" w:type="dxa"/>
            <w:vAlign w:val="top"/>
          </w:tcPr>
          <w:p w14:paraId="372F17E8" w14:textId="7198306B" w:rsidR="00417315" w:rsidRPr="00F21BF2" w:rsidRDefault="00417315" w:rsidP="00081FD4">
            <w:pPr>
              <w:pStyle w:val="SDMTableBoxParaNotNumbered"/>
              <w:rPr>
                <w:rFonts w:cs="Arial"/>
              </w:rPr>
            </w:pPr>
            <w:r w:rsidRPr="00F21BF2">
              <w:t>=</w:t>
            </w:r>
          </w:p>
        </w:tc>
        <w:tc>
          <w:tcPr>
            <w:tcW w:w="0" w:type="auto"/>
            <w:vAlign w:val="top"/>
          </w:tcPr>
          <w:p w14:paraId="24B4F826" w14:textId="2A50B321" w:rsidR="00417315" w:rsidRPr="00F21BF2" w:rsidRDefault="00417315" w:rsidP="00081FD4">
            <w:pPr>
              <w:pStyle w:val="SDMTableBoxParaNotNumbered"/>
              <w:rPr>
                <w:rFonts w:cs="Arial"/>
              </w:rPr>
            </w:pPr>
            <w:r w:rsidRPr="00F21BF2">
              <w:t>Amount of methane in the LFG which is flared in the primary flare in year</w:t>
            </w:r>
            <w:r w:rsidR="00DA0B1A">
              <w:t> </w:t>
            </w:r>
            <w:r w:rsidRPr="00F21BF2">
              <w:rPr>
                <w:i/>
                <w:iCs/>
              </w:rPr>
              <w:t>y</w:t>
            </w:r>
            <w:r w:rsidRPr="00F21BF2">
              <w:t xml:space="preserve"> </w:t>
            </w:r>
            <w:r w:rsidRPr="00F21BF2">
              <w:rPr>
                <w:lang w:val="en-US"/>
              </w:rPr>
              <w:t>(tCH</w:t>
            </w:r>
            <w:r w:rsidRPr="00F21BF2">
              <w:rPr>
                <w:vertAlign w:val="subscript"/>
                <w:lang w:val="en-US"/>
              </w:rPr>
              <w:t>4</w:t>
            </w:r>
            <w:r w:rsidRPr="00F21BF2">
              <w:rPr>
                <w:lang w:val="en-US"/>
              </w:rPr>
              <w:t xml:space="preserve">/year), determined based on </w:t>
            </w:r>
            <w:r w:rsidR="008D0EB8">
              <w:rPr>
                <w:lang w:val="en-US"/>
              </w:rPr>
              <w:t>E</w:t>
            </w:r>
            <w:r w:rsidRPr="00F21BF2">
              <w:rPr>
                <w:lang w:val="en-US"/>
              </w:rPr>
              <w:t>quation (</w:t>
            </w:r>
            <w:r w:rsidR="00D92A05" w:rsidRPr="00F21BF2">
              <w:rPr>
                <w:lang w:val="en-US"/>
              </w:rPr>
              <w:t>4</w:t>
            </w:r>
            <w:r w:rsidRPr="00F21BF2">
              <w:rPr>
                <w:lang w:val="en-US"/>
              </w:rPr>
              <w:t>)</w:t>
            </w:r>
          </w:p>
        </w:tc>
      </w:tr>
      <w:tr w:rsidR="00D92A05" w:rsidRPr="00F21BF2" w14:paraId="58B8D93E" w14:textId="77777777" w:rsidTr="007E5A9B">
        <w:tc>
          <w:tcPr>
            <w:tcW w:w="2101" w:type="dxa"/>
            <w:vAlign w:val="top"/>
          </w:tcPr>
          <w:p w14:paraId="4F73F9AA" w14:textId="0906FB1E" w:rsidR="00D92A05" w:rsidRPr="00F21BF2"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DA</m:t>
                    </m:r>
                  </m:e>
                  <m:sub>
                    <m:r>
                      <w:rPr>
                        <w:rFonts w:ascii="Cambria Math" w:hAnsi="Cambria Math"/>
                      </w:rPr>
                      <m:t>CH4,Primary-Flare</m:t>
                    </m:r>
                  </m:sub>
                </m:sSub>
              </m:oMath>
            </m:oMathPara>
          </w:p>
        </w:tc>
        <w:tc>
          <w:tcPr>
            <w:tcW w:w="345" w:type="dxa"/>
            <w:vAlign w:val="top"/>
          </w:tcPr>
          <w:p w14:paraId="2F3DD2B7" w14:textId="6BDC5B14" w:rsidR="00D92A05" w:rsidRPr="00F21BF2" w:rsidRDefault="00D92A05" w:rsidP="00081FD4">
            <w:pPr>
              <w:pStyle w:val="SDMTableBoxParaNotNumbered"/>
            </w:pPr>
            <w:r w:rsidRPr="00F21BF2">
              <w:t>=</w:t>
            </w:r>
          </w:p>
        </w:tc>
        <w:tc>
          <w:tcPr>
            <w:tcW w:w="0" w:type="auto"/>
            <w:vAlign w:val="top"/>
          </w:tcPr>
          <w:p w14:paraId="71C975CB" w14:textId="6C468358" w:rsidR="00D92A05" w:rsidRPr="00F21BF2" w:rsidRDefault="00D92A05" w:rsidP="00081FD4">
            <w:pPr>
              <w:pStyle w:val="SDMTableBoxParaNotNumbered"/>
            </w:pPr>
            <w:r w:rsidRPr="00F21BF2">
              <w:t xml:space="preserve">Initial downward adjustment to the amount of methane in the LFG which is flared in the primary flare in year </w:t>
            </w:r>
            <w:r w:rsidRPr="00F21BF2">
              <w:rPr>
                <w:rFonts w:cs="Arial"/>
              </w:rPr>
              <w:t>(t CH</w:t>
            </w:r>
            <w:r w:rsidRPr="00F21BF2">
              <w:rPr>
                <w:rFonts w:cs="Arial"/>
                <w:vertAlign w:val="subscript"/>
              </w:rPr>
              <w:t>4</w:t>
            </w:r>
            <w:r w:rsidRPr="00F21BF2">
              <w:rPr>
                <w:rFonts w:cs="Arial"/>
              </w:rPr>
              <w:t xml:space="preserve">/year), determined by replacing </w:t>
            </w:r>
            <m:oMath>
              <m:sSub>
                <m:sSubPr>
                  <m:ctrlPr>
                    <w:rPr>
                      <w:rFonts w:ascii="Cambria Math" w:hAnsi="Cambria Math"/>
                      <w:i/>
                    </w:rPr>
                  </m:ctrlPr>
                </m:sSubPr>
                <m:e>
                  <m:r>
                    <w:rPr>
                      <w:rFonts w:ascii="Cambria Math" w:hAnsi="Cambria Math"/>
                    </w:rPr>
                    <m:t>BE</m:t>
                  </m:r>
                </m:e>
                <m:sub>
                  <m:r>
                    <w:rPr>
                      <w:rFonts w:ascii="Cambria Math" w:hAnsi="Cambria Math"/>
                    </w:rPr>
                    <m:t>act/hist,i,y1</m:t>
                  </m:r>
                </m:sub>
              </m:sSub>
            </m:oMath>
            <w:r w:rsidRPr="00F21BF2">
              <w:t xml:space="preserve"> by </w:t>
            </w:r>
            <m:oMath>
              <m:sSub>
                <m:sSubPr>
                  <m:ctrlPr>
                    <w:rPr>
                      <w:rFonts w:ascii="Cambria Math" w:hAnsi="Cambria Math"/>
                      <w:i/>
                    </w:rPr>
                  </m:ctrlPr>
                </m:sSubPr>
                <m:e>
                  <m:r>
                    <w:rPr>
                      <w:rFonts w:ascii="Cambria Math" w:hAnsi="Cambria Math"/>
                    </w:rPr>
                    <m:t>F</m:t>
                  </m:r>
                </m:e>
                <m:sub>
                  <m:r>
                    <w:rPr>
                      <w:rFonts w:ascii="Cambria Math" w:hAnsi="Cambria Math"/>
                    </w:rPr>
                    <m:t>CH4,Primary-flare,y1</m:t>
                  </m:r>
                </m:sub>
              </m:sSub>
            </m:oMath>
            <w:r w:rsidRPr="00F21BF2">
              <w:t xml:space="preserve"> and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act/hist,i,CP1</m:t>
                      </m:r>
                    </m:sub>
                  </m:sSub>
                </m:sub>
              </m:sSub>
            </m:oMath>
            <w:r w:rsidRPr="00F21BF2">
              <w:t xml:space="preserve"> by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F</m:t>
                      </m:r>
                    </m:e>
                    <m:sub>
                      <m:r>
                        <w:rPr>
                          <w:rFonts w:ascii="Cambria Math" w:hAnsi="Cambria Math"/>
                        </w:rPr>
                        <m:t>CH4,primary-flare,CP1</m:t>
                      </m:r>
                    </m:sub>
                  </m:sSub>
                </m:sub>
              </m:sSub>
            </m:oMath>
            <w:r w:rsidRPr="00F21BF2">
              <w:t xml:space="preserve"> </w:t>
            </w:r>
            <w:r w:rsidRPr="00F21BF2">
              <w:rPr>
                <w:rFonts w:cs="Arial"/>
              </w:rPr>
              <w:t xml:space="preserve">in </w:t>
            </w:r>
            <w:r w:rsidR="008D0EB8">
              <w:rPr>
                <w:rFonts w:cs="Arial"/>
              </w:rPr>
              <w:t>E</w:t>
            </w:r>
            <w:r w:rsidRPr="00F21BF2">
              <w:rPr>
                <w:rFonts w:cs="Arial"/>
              </w:rPr>
              <w:t>quation (27)</w:t>
            </w:r>
          </w:p>
        </w:tc>
      </w:tr>
      <w:tr w:rsidR="00153101" w:rsidRPr="00F21BF2" w14:paraId="7C2FDD4B" w14:textId="77777777" w:rsidTr="007E5A9B">
        <w:tc>
          <w:tcPr>
            <w:tcW w:w="2101" w:type="dxa"/>
            <w:vAlign w:val="top"/>
          </w:tcPr>
          <w:p w14:paraId="60EF44FB" w14:textId="5D6D3397" w:rsidR="00153101" w:rsidRPr="00F21BF2" w:rsidRDefault="00153101" w:rsidP="00081FD4">
            <w:pPr>
              <w:pStyle w:val="SDMTableBoxParaNotNumbered"/>
            </w:pPr>
            <m:oMathPara>
              <m:oMathParaPr>
                <m:jc m:val="left"/>
              </m:oMathParaPr>
              <m:oMath>
                <m:r>
                  <w:rPr>
                    <w:rFonts w:ascii="Cambria Math" w:hAnsi="Cambria Math"/>
                  </w:rPr>
                  <m:t>IN</m:t>
                </m:r>
                <m:sSub>
                  <m:sSubPr>
                    <m:ctrlPr>
                      <w:rPr>
                        <w:rFonts w:ascii="Cambria Math" w:hAnsi="Cambria Math"/>
                        <w:i/>
                      </w:rPr>
                    </m:ctrlPr>
                  </m:sSubPr>
                  <m:e>
                    <m:r>
                      <w:rPr>
                        <w:rFonts w:ascii="Cambria Math" w:hAnsi="Cambria Math"/>
                      </w:rPr>
                      <m:t>DA</m:t>
                    </m:r>
                  </m:e>
                  <m:sub>
                    <m:r>
                      <w:rPr>
                        <w:rFonts w:ascii="Cambria Math" w:hAnsi="Cambria Math"/>
                      </w:rPr>
                      <m:t>flare</m:t>
                    </m:r>
                  </m:sub>
                </m:sSub>
              </m:oMath>
            </m:oMathPara>
          </w:p>
        </w:tc>
        <w:tc>
          <w:tcPr>
            <w:tcW w:w="345" w:type="dxa"/>
            <w:vAlign w:val="top"/>
          </w:tcPr>
          <w:p w14:paraId="56363AFB" w14:textId="51D27E6F" w:rsidR="00153101" w:rsidRPr="00F21BF2" w:rsidRDefault="00E22EC7" w:rsidP="00081FD4">
            <w:pPr>
              <w:pStyle w:val="SDMTableBoxParaNotNumbered"/>
            </w:pPr>
            <w:r w:rsidRPr="00F21BF2">
              <w:t>=</w:t>
            </w:r>
          </w:p>
        </w:tc>
        <w:tc>
          <w:tcPr>
            <w:tcW w:w="0" w:type="auto"/>
            <w:vAlign w:val="top"/>
          </w:tcPr>
          <w:p w14:paraId="79819B4D" w14:textId="33C4B1F5" w:rsidR="00153101" w:rsidRPr="00F21BF2" w:rsidRDefault="002C3052" w:rsidP="00081FD4">
            <w:pPr>
              <w:pStyle w:val="SDMTableBoxParaNotNumbered"/>
            </w:pPr>
            <w:r w:rsidRPr="00F21BF2">
              <w:rPr>
                <w:rFonts w:cs="Arial"/>
              </w:rPr>
              <w:t>Increase in the downward adjustment in subsequent years for the amount of methane in the LFG which is flared (unitless)</w:t>
            </w:r>
          </w:p>
        </w:tc>
      </w:tr>
      <w:tr w:rsidR="00D92A05" w:rsidRPr="00F21BF2" w14:paraId="7FED5402" w14:textId="77777777" w:rsidTr="007E5A9B">
        <w:tc>
          <w:tcPr>
            <w:tcW w:w="2101" w:type="dxa"/>
            <w:vAlign w:val="top"/>
          </w:tcPr>
          <w:p w14:paraId="3FE9D216" w14:textId="590E7AA2" w:rsidR="00D92A05" w:rsidRPr="00F21BF2"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CH4,Primary-Flare,</m:t>
                    </m:r>
                    <m:sSub>
                      <m:sSubPr>
                        <m:ctrlPr>
                          <w:rPr>
                            <w:rFonts w:ascii="Cambria Math" w:hAnsi="Cambria Math" w:cs="Calibri"/>
                            <w:i/>
                          </w:rPr>
                        </m:ctrlPr>
                      </m:sSubPr>
                      <m:e>
                        <m:r>
                          <w:rPr>
                            <w:rFonts w:ascii="Cambria Math" w:hAnsi="Cambria Math"/>
                          </w:rPr>
                          <m:t>y</m:t>
                        </m:r>
                      </m:e>
                      <m:sub>
                        <m:r>
                          <w:rPr>
                            <w:rFonts w:ascii="Cambria Math" w:hAnsi="Cambria Math"/>
                          </w:rPr>
                          <m:t>1</m:t>
                        </m:r>
                      </m:sub>
                    </m:sSub>
                  </m:sub>
                </m:sSub>
              </m:oMath>
            </m:oMathPara>
          </w:p>
        </w:tc>
        <w:tc>
          <w:tcPr>
            <w:tcW w:w="345" w:type="dxa"/>
            <w:vAlign w:val="top"/>
          </w:tcPr>
          <w:p w14:paraId="082D6233" w14:textId="1B838BCB" w:rsidR="00D92A05" w:rsidRPr="00F21BF2" w:rsidRDefault="00D92A05" w:rsidP="00081FD4">
            <w:pPr>
              <w:pStyle w:val="SDMTableBoxParaNotNumbered"/>
            </w:pPr>
            <w:r w:rsidRPr="00F21BF2">
              <w:t>=</w:t>
            </w:r>
          </w:p>
        </w:tc>
        <w:tc>
          <w:tcPr>
            <w:tcW w:w="0" w:type="auto"/>
            <w:vAlign w:val="top"/>
          </w:tcPr>
          <w:p w14:paraId="501CE796" w14:textId="0BAED4EC" w:rsidR="00D92A05" w:rsidRPr="00F21BF2" w:rsidRDefault="00D92A05" w:rsidP="00081FD4">
            <w:pPr>
              <w:pStyle w:val="SDMTableBoxParaNotNumbered"/>
            </w:pPr>
            <w:r w:rsidRPr="00F21BF2">
              <w:rPr>
                <w:rFonts w:cs="Arial"/>
              </w:rPr>
              <w:t>Amount of methane in the LFG which is flared in the primary flare in the calendar year of the start date of the crediting period (t CH</w:t>
            </w:r>
            <w:r w:rsidRPr="00F21BF2">
              <w:rPr>
                <w:rFonts w:cs="Arial"/>
                <w:vertAlign w:val="subscript"/>
              </w:rPr>
              <w:t>4</w:t>
            </w:r>
            <w:r w:rsidRPr="00F21BF2">
              <w:rPr>
                <w:rFonts w:cs="Arial"/>
              </w:rPr>
              <w:t>/year)</w:t>
            </w:r>
          </w:p>
        </w:tc>
      </w:tr>
      <w:tr w:rsidR="00D92A05" w:rsidRPr="00F21BF2" w14:paraId="647E18EB" w14:textId="77777777" w:rsidTr="007E5A9B">
        <w:tc>
          <w:tcPr>
            <w:tcW w:w="2101" w:type="dxa"/>
            <w:vAlign w:val="top"/>
          </w:tcPr>
          <w:p w14:paraId="074C1137" w14:textId="6FF5604F" w:rsidR="00D92A05" w:rsidRPr="00F21BF2"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Backup-Flare,adj,y</m:t>
                    </m:r>
                  </m:sub>
                </m:sSub>
              </m:oMath>
            </m:oMathPara>
          </w:p>
        </w:tc>
        <w:tc>
          <w:tcPr>
            <w:tcW w:w="345" w:type="dxa"/>
            <w:vAlign w:val="top"/>
          </w:tcPr>
          <w:p w14:paraId="0C3D182A" w14:textId="337CA2D2" w:rsidR="00D92A05" w:rsidRPr="00F21BF2" w:rsidRDefault="00D92A05" w:rsidP="00081FD4">
            <w:pPr>
              <w:pStyle w:val="SDMTableBoxParaNotNumbered"/>
            </w:pPr>
            <w:r w:rsidRPr="00F21BF2">
              <w:t>=</w:t>
            </w:r>
          </w:p>
        </w:tc>
        <w:tc>
          <w:tcPr>
            <w:tcW w:w="0" w:type="auto"/>
            <w:vAlign w:val="top"/>
          </w:tcPr>
          <w:p w14:paraId="1ED4CB0B" w14:textId="4F7F3053" w:rsidR="00D92A05" w:rsidRPr="00F21BF2" w:rsidRDefault="00D92A05" w:rsidP="00081FD4">
            <w:pPr>
              <w:pStyle w:val="SDMTableBoxParaNotNumbered"/>
              <w:rPr>
                <w:rFonts w:cs="Arial"/>
              </w:rPr>
            </w:pPr>
            <w:r w:rsidRPr="00F21BF2">
              <w:t xml:space="preserve">Downward adjusted amount of methane in the LFG which is flared in the backup flare in year </w:t>
            </w:r>
            <w:r w:rsidRPr="00F21BF2">
              <w:rPr>
                <w:i/>
                <w:iCs/>
              </w:rPr>
              <w:t>y</w:t>
            </w:r>
            <w:r w:rsidRPr="00F21BF2">
              <w:t xml:space="preserve"> </w:t>
            </w:r>
            <w:r w:rsidRPr="00F21BF2">
              <w:rPr>
                <w:lang w:val="en-US"/>
              </w:rPr>
              <w:t>(t CH</w:t>
            </w:r>
            <w:r w:rsidRPr="00F21BF2">
              <w:rPr>
                <w:vertAlign w:val="subscript"/>
                <w:lang w:val="en-US"/>
              </w:rPr>
              <w:t>4</w:t>
            </w:r>
            <w:r w:rsidRPr="00F21BF2">
              <w:rPr>
                <w:lang w:val="en-US"/>
              </w:rPr>
              <w:t>/year)</w:t>
            </w:r>
          </w:p>
        </w:tc>
      </w:tr>
      <w:tr w:rsidR="00D92A05" w:rsidRPr="00F21BF2" w14:paraId="6B9820F8" w14:textId="77777777" w:rsidTr="007E5A9B">
        <w:tc>
          <w:tcPr>
            <w:tcW w:w="2101" w:type="dxa"/>
            <w:vAlign w:val="top"/>
          </w:tcPr>
          <w:p w14:paraId="7927F9F7" w14:textId="1718A437" w:rsidR="00D92A05" w:rsidRPr="00F21BF2"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Backup-Flare,y</m:t>
                    </m:r>
                  </m:sub>
                </m:sSub>
              </m:oMath>
            </m:oMathPara>
          </w:p>
        </w:tc>
        <w:tc>
          <w:tcPr>
            <w:tcW w:w="345" w:type="dxa"/>
            <w:vAlign w:val="top"/>
          </w:tcPr>
          <w:p w14:paraId="0DAD6621" w14:textId="276080BD" w:rsidR="00D92A05" w:rsidRPr="00F21BF2" w:rsidRDefault="00D92A05" w:rsidP="00081FD4">
            <w:pPr>
              <w:pStyle w:val="SDMTableBoxParaNotNumbered"/>
            </w:pPr>
            <w:r w:rsidRPr="00F21BF2">
              <w:t>=</w:t>
            </w:r>
          </w:p>
        </w:tc>
        <w:tc>
          <w:tcPr>
            <w:tcW w:w="0" w:type="auto"/>
            <w:vAlign w:val="top"/>
          </w:tcPr>
          <w:p w14:paraId="5033BAF5" w14:textId="533EBCD4" w:rsidR="00D92A05" w:rsidRPr="00F21BF2" w:rsidRDefault="00D92A05" w:rsidP="00081FD4">
            <w:pPr>
              <w:pStyle w:val="SDMTableBoxParaNotNumbered"/>
            </w:pPr>
            <w:r w:rsidRPr="00F21BF2">
              <w:t>Amount of methane in the LFG which is flared in the backup flare in year</w:t>
            </w:r>
            <w:r w:rsidR="00DA0B1A">
              <w:t> </w:t>
            </w:r>
            <w:r w:rsidRPr="00F21BF2">
              <w:rPr>
                <w:i/>
                <w:iCs/>
              </w:rPr>
              <w:t>y</w:t>
            </w:r>
            <w:r w:rsidRPr="00F21BF2">
              <w:t xml:space="preserve"> </w:t>
            </w:r>
            <w:r w:rsidRPr="00F21BF2">
              <w:rPr>
                <w:lang w:val="en-US"/>
              </w:rPr>
              <w:t>(t CH</w:t>
            </w:r>
            <w:r w:rsidRPr="00F21BF2">
              <w:rPr>
                <w:vertAlign w:val="subscript"/>
                <w:lang w:val="en-US"/>
              </w:rPr>
              <w:t>4</w:t>
            </w:r>
            <w:r w:rsidRPr="00F21BF2">
              <w:rPr>
                <w:lang w:val="en-US"/>
              </w:rPr>
              <w:t>/year)</w:t>
            </w:r>
          </w:p>
        </w:tc>
      </w:tr>
      <w:tr w:rsidR="00D92A05" w:rsidRPr="00F21BF2" w14:paraId="017F5E62" w14:textId="77777777" w:rsidTr="007E5A9B">
        <w:tc>
          <w:tcPr>
            <w:tcW w:w="2101" w:type="dxa"/>
            <w:vAlign w:val="top"/>
          </w:tcPr>
          <w:p w14:paraId="5D89C3A6" w14:textId="5FAF64F3" w:rsidR="00D92A05" w:rsidRPr="00F21BF2"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DA</m:t>
                    </m:r>
                  </m:e>
                  <m:sub>
                    <m:r>
                      <w:rPr>
                        <w:rFonts w:ascii="Cambria Math" w:hAnsi="Cambria Math"/>
                      </w:rPr>
                      <m:t>CH4,Backup-Flare</m:t>
                    </m:r>
                  </m:sub>
                </m:sSub>
              </m:oMath>
            </m:oMathPara>
          </w:p>
        </w:tc>
        <w:tc>
          <w:tcPr>
            <w:tcW w:w="345" w:type="dxa"/>
            <w:vAlign w:val="top"/>
          </w:tcPr>
          <w:p w14:paraId="09239651" w14:textId="66C0B064" w:rsidR="00D92A05" w:rsidRPr="00F21BF2" w:rsidRDefault="00D92A05" w:rsidP="00081FD4">
            <w:pPr>
              <w:pStyle w:val="SDMTableBoxParaNotNumbered"/>
            </w:pPr>
            <w:r w:rsidRPr="00F21BF2">
              <w:t>=</w:t>
            </w:r>
          </w:p>
        </w:tc>
        <w:tc>
          <w:tcPr>
            <w:tcW w:w="0" w:type="auto"/>
            <w:vAlign w:val="top"/>
          </w:tcPr>
          <w:p w14:paraId="354A6131" w14:textId="2488C338" w:rsidR="00D92A05" w:rsidRPr="00F21BF2" w:rsidRDefault="00D92A05" w:rsidP="00081FD4">
            <w:pPr>
              <w:pStyle w:val="SDMTableBoxParaNotNumbered"/>
            </w:pPr>
            <w:r w:rsidRPr="00F21BF2">
              <w:t xml:space="preserve">Initial downward adjustment to the amount of methane in the LFG which is flared in the backup flare in year </w:t>
            </w:r>
            <w:r w:rsidRPr="00F21BF2">
              <w:rPr>
                <w:i/>
                <w:iCs/>
              </w:rPr>
              <w:t>y</w:t>
            </w:r>
            <w:r w:rsidRPr="00F21BF2">
              <w:t xml:space="preserve"> </w:t>
            </w:r>
            <w:r w:rsidRPr="00F21BF2">
              <w:rPr>
                <w:rFonts w:cs="Arial"/>
              </w:rPr>
              <w:t>(t CH</w:t>
            </w:r>
            <w:r w:rsidRPr="00F21BF2">
              <w:rPr>
                <w:rFonts w:cs="Arial"/>
                <w:vertAlign w:val="subscript"/>
              </w:rPr>
              <w:t>4</w:t>
            </w:r>
            <w:r w:rsidRPr="00F21BF2">
              <w:rPr>
                <w:rFonts w:cs="Arial"/>
              </w:rPr>
              <w:t xml:space="preserve">/year) determined by replacing </w:t>
            </w:r>
            <m:oMath>
              <m:sSub>
                <m:sSubPr>
                  <m:ctrlPr>
                    <w:rPr>
                      <w:rFonts w:ascii="Cambria Math" w:hAnsi="Cambria Math"/>
                      <w:i/>
                    </w:rPr>
                  </m:ctrlPr>
                </m:sSubPr>
                <m:e>
                  <m:r>
                    <w:rPr>
                      <w:rFonts w:ascii="Cambria Math" w:hAnsi="Cambria Math"/>
                    </w:rPr>
                    <m:t>BE</m:t>
                  </m:r>
                </m:e>
                <m:sub>
                  <m:r>
                    <w:rPr>
                      <w:rFonts w:ascii="Cambria Math" w:hAnsi="Cambria Math"/>
                    </w:rPr>
                    <m:t>act/hist,i,y1</m:t>
                  </m:r>
                </m:sub>
              </m:sSub>
            </m:oMath>
            <w:r w:rsidRPr="00F21BF2">
              <w:t xml:space="preserve"> by </w:t>
            </w:r>
            <m:oMath>
              <m:sSub>
                <m:sSubPr>
                  <m:ctrlPr>
                    <w:rPr>
                      <w:rFonts w:ascii="Cambria Math" w:hAnsi="Cambria Math"/>
                      <w:i/>
                    </w:rPr>
                  </m:ctrlPr>
                </m:sSubPr>
                <m:e>
                  <m:r>
                    <w:rPr>
                      <w:rFonts w:ascii="Cambria Math" w:hAnsi="Cambria Math"/>
                    </w:rPr>
                    <m:t>F</m:t>
                  </m:r>
                </m:e>
                <m:sub>
                  <m:r>
                    <w:rPr>
                      <w:rFonts w:ascii="Cambria Math" w:hAnsi="Cambria Math"/>
                    </w:rPr>
                    <m:t>CH4,Backup-flare,y1</m:t>
                  </m:r>
                </m:sub>
              </m:sSub>
            </m:oMath>
            <w:r w:rsidRPr="00F21BF2">
              <w:t xml:space="preserve"> and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act/hist,i,CP1</m:t>
                      </m:r>
                    </m:sub>
                  </m:sSub>
                </m:sub>
              </m:sSub>
            </m:oMath>
            <w:r w:rsidRPr="00F21BF2">
              <w:t xml:space="preserve"> by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F</m:t>
                      </m:r>
                    </m:e>
                    <m:sub>
                      <m:r>
                        <w:rPr>
                          <w:rFonts w:ascii="Cambria Math" w:hAnsi="Cambria Math"/>
                        </w:rPr>
                        <m:t>CH4,Backup-flare,CP1</m:t>
                      </m:r>
                    </m:sub>
                  </m:sSub>
                </m:sub>
              </m:sSub>
            </m:oMath>
            <w:r w:rsidRPr="00F21BF2">
              <w:t xml:space="preserve"> </w:t>
            </w:r>
            <w:r w:rsidRPr="00F21BF2">
              <w:rPr>
                <w:rFonts w:cs="Arial"/>
              </w:rPr>
              <w:t xml:space="preserve">in </w:t>
            </w:r>
            <w:r w:rsidR="008D0EB8">
              <w:rPr>
                <w:rFonts w:cs="Arial"/>
              </w:rPr>
              <w:t>E</w:t>
            </w:r>
            <w:r w:rsidRPr="00F21BF2">
              <w:rPr>
                <w:rFonts w:cs="Arial"/>
              </w:rPr>
              <w:t>quation (27)</w:t>
            </w:r>
          </w:p>
        </w:tc>
      </w:tr>
      <w:tr w:rsidR="00D92A05" w:rsidRPr="00F21BF2" w14:paraId="70A03FBD" w14:textId="77777777" w:rsidTr="007E5A9B">
        <w:tc>
          <w:tcPr>
            <w:tcW w:w="2101" w:type="dxa"/>
            <w:vAlign w:val="top"/>
          </w:tcPr>
          <w:p w14:paraId="508664C3" w14:textId="05ECBFBB" w:rsidR="00D92A05" w:rsidRPr="00F21BF2"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CH4,Backup-Flare,</m:t>
                    </m:r>
                    <m:sSub>
                      <m:sSubPr>
                        <m:ctrlPr>
                          <w:rPr>
                            <w:rFonts w:ascii="Cambria Math" w:hAnsi="Cambria Math" w:cs="Calibri"/>
                            <w:i/>
                          </w:rPr>
                        </m:ctrlPr>
                      </m:sSubPr>
                      <m:e>
                        <m:r>
                          <w:rPr>
                            <w:rFonts w:ascii="Cambria Math" w:hAnsi="Cambria Math"/>
                          </w:rPr>
                          <m:t>y</m:t>
                        </m:r>
                      </m:e>
                      <m:sub>
                        <m:r>
                          <w:rPr>
                            <w:rFonts w:ascii="Cambria Math" w:hAnsi="Cambria Math"/>
                          </w:rPr>
                          <m:t>1</m:t>
                        </m:r>
                      </m:sub>
                    </m:sSub>
                  </m:sub>
                </m:sSub>
              </m:oMath>
            </m:oMathPara>
          </w:p>
        </w:tc>
        <w:tc>
          <w:tcPr>
            <w:tcW w:w="345" w:type="dxa"/>
            <w:vAlign w:val="top"/>
          </w:tcPr>
          <w:p w14:paraId="4ED467E1" w14:textId="66842699" w:rsidR="00D92A05" w:rsidRPr="00F21BF2" w:rsidRDefault="00D92A05" w:rsidP="00081FD4">
            <w:pPr>
              <w:pStyle w:val="SDMTableBoxParaNotNumbered"/>
            </w:pPr>
            <w:r w:rsidRPr="00F21BF2">
              <w:t>=</w:t>
            </w:r>
          </w:p>
        </w:tc>
        <w:tc>
          <w:tcPr>
            <w:tcW w:w="0" w:type="auto"/>
            <w:vAlign w:val="top"/>
          </w:tcPr>
          <w:p w14:paraId="45A1F0D0" w14:textId="61197A31" w:rsidR="00D92A05" w:rsidRPr="00F21BF2" w:rsidRDefault="00D92A05" w:rsidP="00081FD4">
            <w:pPr>
              <w:pStyle w:val="SDMTableBoxParaNotNumbered"/>
            </w:pPr>
            <w:r w:rsidRPr="00F21BF2">
              <w:rPr>
                <w:rFonts w:cs="Arial"/>
              </w:rPr>
              <w:t>Amount of methane in the LFG which is flared in the backup flare in the calendar year of the start date of the crediting period (t CH</w:t>
            </w:r>
            <w:r w:rsidRPr="00F21BF2">
              <w:rPr>
                <w:rFonts w:cs="Arial"/>
                <w:vertAlign w:val="subscript"/>
              </w:rPr>
              <w:t>4</w:t>
            </w:r>
            <w:r w:rsidRPr="00F21BF2">
              <w:rPr>
                <w:rFonts w:cs="Arial"/>
              </w:rPr>
              <w:t>/year)</w:t>
            </w:r>
            <w:r w:rsidRPr="00F21BF2">
              <w:t xml:space="preserve"> </w:t>
            </w:r>
          </w:p>
        </w:tc>
      </w:tr>
      <w:tr w:rsidR="00D92A05" w:rsidRPr="00F21BF2" w14:paraId="3B800B4B" w14:textId="77777777" w:rsidTr="007E5A9B">
        <w:tc>
          <w:tcPr>
            <w:tcW w:w="2101" w:type="dxa"/>
            <w:vAlign w:val="top"/>
          </w:tcPr>
          <w:p w14:paraId="0C525564" w14:textId="77777777" w:rsidR="00D92A05" w:rsidRPr="00F21BF2" w:rsidRDefault="00D92A05" w:rsidP="00081FD4">
            <w:pPr>
              <w:pStyle w:val="SDMTableBoxParaNotNumbered"/>
            </w:pPr>
            <m:oMathPara>
              <m:oMathParaPr>
                <m:jc m:val="left"/>
              </m:oMathParaPr>
              <m:oMath>
                <m:r>
                  <w:rPr>
                    <w:rFonts w:ascii="Cambria Math" w:hAnsi="Cambria Math" w:cs="Arial"/>
                  </w:rPr>
                  <m:t>y</m:t>
                </m:r>
              </m:oMath>
            </m:oMathPara>
          </w:p>
        </w:tc>
        <w:tc>
          <w:tcPr>
            <w:tcW w:w="345" w:type="dxa"/>
            <w:vAlign w:val="top"/>
          </w:tcPr>
          <w:p w14:paraId="4DA295D3" w14:textId="77777777" w:rsidR="00D92A05" w:rsidRPr="00F21BF2" w:rsidRDefault="00D92A05" w:rsidP="00081FD4">
            <w:pPr>
              <w:pStyle w:val="SDMTableBoxParaNotNumbered"/>
            </w:pPr>
            <w:r w:rsidRPr="00F21BF2">
              <w:rPr>
                <w:rFonts w:cs="Arial"/>
              </w:rPr>
              <w:t>=</w:t>
            </w:r>
          </w:p>
        </w:tc>
        <w:tc>
          <w:tcPr>
            <w:tcW w:w="0" w:type="auto"/>
            <w:vAlign w:val="top"/>
          </w:tcPr>
          <w:p w14:paraId="715A97D7" w14:textId="77777777" w:rsidR="00D92A05" w:rsidRPr="00F21BF2" w:rsidRDefault="00D92A05" w:rsidP="00081FD4">
            <w:pPr>
              <w:pStyle w:val="SDMTableBoxParaNotNumbered"/>
            </w:pPr>
            <w:r w:rsidRPr="00F21BF2">
              <w:rPr>
                <w:rFonts w:cs="Arial"/>
              </w:rPr>
              <w:t>Calendar years of the crediting period after the calendar year of the start date of the crediting period</w:t>
            </w:r>
          </w:p>
        </w:tc>
      </w:tr>
      <w:tr w:rsidR="00D92A05" w:rsidRPr="00F21BF2" w14:paraId="6FCED6C9" w14:textId="77777777" w:rsidTr="007E5A9B">
        <w:tc>
          <w:tcPr>
            <w:tcW w:w="2101" w:type="dxa"/>
            <w:vAlign w:val="top"/>
          </w:tcPr>
          <w:p w14:paraId="3A3DFD36" w14:textId="7B771CE1" w:rsidR="00D92A05" w:rsidRPr="00F21BF2" w:rsidRDefault="00302468" w:rsidP="00081FD4">
            <w:pPr>
              <w:pStyle w:val="SDMTableBoxParaNotNumbered"/>
              <w:rPr>
                <w:i/>
              </w:rPr>
            </w:pPr>
            <m:oMathPara>
              <m:oMathParaPr>
                <m:jc m:val="left"/>
              </m:oMathParaP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oMath>
            </m:oMathPara>
          </w:p>
        </w:tc>
        <w:tc>
          <w:tcPr>
            <w:tcW w:w="345" w:type="dxa"/>
            <w:vAlign w:val="top"/>
          </w:tcPr>
          <w:p w14:paraId="7727C699" w14:textId="77777777" w:rsidR="00D92A05" w:rsidRPr="00F21BF2" w:rsidRDefault="00D92A05" w:rsidP="00081FD4">
            <w:pPr>
              <w:pStyle w:val="SDMTableBoxParaNotNumbered"/>
            </w:pPr>
            <w:r w:rsidRPr="00F21BF2">
              <w:rPr>
                <w:rFonts w:cs="Arial"/>
              </w:rPr>
              <w:t>=</w:t>
            </w:r>
          </w:p>
        </w:tc>
        <w:tc>
          <w:tcPr>
            <w:tcW w:w="0" w:type="auto"/>
            <w:vAlign w:val="top"/>
          </w:tcPr>
          <w:p w14:paraId="4BFACE72" w14:textId="77777777" w:rsidR="00D92A05" w:rsidRPr="00F21BF2" w:rsidRDefault="00D92A05" w:rsidP="00081FD4">
            <w:pPr>
              <w:pStyle w:val="SDMTableBoxParaNotNumbered"/>
            </w:pPr>
            <w:r w:rsidRPr="00F21BF2">
              <w:rPr>
                <w:rFonts w:cs="Arial"/>
              </w:rPr>
              <w:t>Calendar year of the start date of the crediting period</w:t>
            </w:r>
          </w:p>
        </w:tc>
      </w:tr>
    </w:tbl>
    <w:p w14:paraId="70F240B6" w14:textId="1F5A1EEB" w:rsidR="002A7C67" w:rsidRDefault="00B57617" w:rsidP="00DA05CE">
      <w:pPr>
        <w:pStyle w:val="SDMSubPara1"/>
        <w:keepNext/>
      </w:pPr>
      <w:r>
        <w:t xml:space="preserve">For the amount of </w:t>
      </w:r>
      <w:r w:rsidR="00BA53F6">
        <w:t xml:space="preserve">methane in the </w:t>
      </w:r>
      <w:r>
        <w:t xml:space="preserve">LFG that is </w:t>
      </w:r>
      <w:r w:rsidR="00C46715">
        <w:t>utilized</w:t>
      </w:r>
      <w:r>
        <w:t xml:space="preserve"> </w:t>
      </w:r>
      <w:r w:rsidR="00DB4FE4">
        <w:t xml:space="preserve">for electricity </w:t>
      </w:r>
      <w:r w:rsidR="00CE5028">
        <w:t xml:space="preserve">or heat </w:t>
      </w:r>
      <w:r w:rsidR="00DB4FE4">
        <w:t>generation</w:t>
      </w:r>
      <w:r w:rsidR="00CE5028">
        <w:t xml:space="preserve"> or </w:t>
      </w:r>
      <w:r w:rsidR="008A703A">
        <w:t>that is supplied to consumers</w:t>
      </w:r>
      <w:r w:rsidR="002A47BB">
        <w:t xml:space="preserve">, the downward adjusted </w:t>
      </w:r>
      <w:r w:rsidR="00BA53F6">
        <w:t xml:space="preserve">amount of </w:t>
      </w:r>
      <w:r w:rsidR="002A47BB">
        <w:t xml:space="preserve">methane </w:t>
      </w:r>
      <w:r w:rsidR="00BA53F6">
        <w:t xml:space="preserve">is </w:t>
      </w:r>
      <w:r w:rsidR="002A47BB">
        <w:t>determined as follows:</w:t>
      </w:r>
    </w:p>
    <w:tbl>
      <w:tblPr>
        <w:tblStyle w:val="SDMMethTableEquation"/>
        <w:tblW w:w="8751" w:type="dxa"/>
        <w:tblInd w:w="709" w:type="dxa"/>
        <w:tblLook w:val="0600" w:firstRow="0" w:lastRow="0" w:firstColumn="0" w:lastColumn="0" w:noHBand="1" w:noVBand="1"/>
      </w:tblPr>
      <w:tblGrid>
        <w:gridCol w:w="6946"/>
        <w:gridCol w:w="1805"/>
      </w:tblGrid>
      <w:tr w:rsidR="008D724E" w:rsidRPr="00885A21" w14:paraId="293447B9" w14:textId="77777777" w:rsidTr="007E5A9B">
        <w:tc>
          <w:tcPr>
            <w:tcW w:w="6946" w:type="dxa"/>
          </w:tcPr>
          <w:p w14:paraId="065F73CC" w14:textId="77777777" w:rsidR="008D724E" w:rsidRPr="00F21BF2" w:rsidRDefault="00302468">
            <w:pPr>
              <w:pStyle w:val="SDMMethEquation"/>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CH4,EL,adj,y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CH4,EL,y</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DA</m:t>
                        </m:r>
                      </m:e>
                      <m:sub>
                        <m:r>
                          <w:rPr>
                            <w:rFonts w:ascii="Cambria Math" w:hAnsi="Cambria Math"/>
                          </w:rPr>
                          <m:t>CH4,EL,y1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CH4,EL,</m:t>
                        </m:r>
                        <m:sSub>
                          <m:sSubPr>
                            <m:ctrlPr>
                              <w:rPr>
                                <w:rFonts w:ascii="Cambria Math" w:hAnsi="Cambria Math" w:cs="Calibri"/>
                                <w:i/>
                              </w:rPr>
                            </m:ctrlPr>
                          </m:sSubPr>
                          <m:e>
                            <m:r>
                              <w:rPr>
                                <w:rFonts w:ascii="Cambria Math" w:hAnsi="Cambria Math"/>
                              </w:rPr>
                              <m:t>y</m:t>
                            </m:r>
                          </m:e>
                          <m:sub>
                            <m:r>
                              <w:rPr>
                                <w:rFonts w:ascii="Cambria Math" w:hAnsi="Cambria Math"/>
                              </w:rPr>
                              <m:t>1</m:t>
                            </m:r>
                          </m:sub>
                        </m:sSub>
                      </m:sub>
                    </m:sSub>
                    <m:r>
                      <w:rPr>
                        <w:rFonts w:ascii="Cambria Math" w:hAnsi="Cambria Math"/>
                      </w:rPr>
                      <m:t>×0.01×</m:t>
                    </m:r>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e>
                    </m:d>
                  </m:e>
                </m:d>
              </m:oMath>
            </m:oMathPara>
          </w:p>
        </w:tc>
        <w:tc>
          <w:tcPr>
            <w:tcW w:w="1805" w:type="dxa"/>
          </w:tcPr>
          <w:p w14:paraId="16E9FA4E" w14:textId="77777777" w:rsidR="008D724E" w:rsidRPr="00F21BF2" w:rsidRDefault="008D724E" w:rsidP="00247E9F">
            <w:pPr>
              <w:pStyle w:val="SDMMethEquationNr"/>
              <w:numPr>
                <w:ilvl w:val="0"/>
                <w:numId w:val="7"/>
              </w:numPr>
              <w:ind w:left="288" w:hanging="288"/>
              <w:rPr>
                <w:sz w:val="22"/>
              </w:rPr>
            </w:pPr>
          </w:p>
        </w:tc>
      </w:tr>
      <w:tr w:rsidR="00E260D0" w:rsidRPr="00E260D0" w14:paraId="39C04B6D" w14:textId="77777777" w:rsidTr="007E5A9B">
        <w:tc>
          <w:tcPr>
            <w:tcW w:w="6946" w:type="dxa"/>
          </w:tcPr>
          <w:p w14:paraId="22AFDC4B" w14:textId="1CE1F2F8" w:rsidR="00E260D0" w:rsidRPr="00F21BF2" w:rsidRDefault="00302468">
            <w:pPr>
              <w:pStyle w:val="SDMMethEquation"/>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CH4,HG,adj,y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CH4,HG,y</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DA</m:t>
                        </m:r>
                      </m:e>
                      <m:sub>
                        <m:r>
                          <w:rPr>
                            <w:rFonts w:ascii="Cambria Math" w:hAnsi="Cambria Math"/>
                          </w:rPr>
                          <m:t>CH4,HG,y1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CH4,HG,</m:t>
                        </m:r>
                        <m:sSub>
                          <m:sSubPr>
                            <m:ctrlPr>
                              <w:rPr>
                                <w:rFonts w:ascii="Cambria Math" w:hAnsi="Cambria Math" w:cs="Calibri"/>
                                <w:i/>
                              </w:rPr>
                            </m:ctrlPr>
                          </m:sSubPr>
                          <m:e>
                            <m:r>
                              <w:rPr>
                                <w:rFonts w:ascii="Cambria Math" w:hAnsi="Cambria Math"/>
                              </w:rPr>
                              <m:t>y</m:t>
                            </m:r>
                          </m:e>
                          <m:sub>
                            <m:r>
                              <w:rPr>
                                <w:rFonts w:ascii="Cambria Math" w:hAnsi="Cambria Math"/>
                              </w:rPr>
                              <m:t>1</m:t>
                            </m:r>
                          </m:sub>
                        </m:sSub>
                      </m:sub>
                    </m:sSub>
                    <m:r>
                      <w:rPr>
                        <w:rFonts w:ascii="Cambria Math" w:hAnsi="Cambria Math"/>
                      </w:rPr>
                      <m:t>×0.01×</m:t>
                    </m:r>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e>
                    </m:d>
                  </m:e>
                </m:d>
              </m:oMath>
            </m:oMathPara>
          </w:p>
        </w:tc>
        <w:tc>
          <w:tcPr>
            <w:tcW w:w="1805" w:type="dxa"/>
          </w:tcPr>
          <w:p w14:paraId="4FA2F5E6" w14:textId="77777777" w:rsidR="00E260D0" w:rsidRPr="00F21BF2" w:rsidRDefault="00E260D0" w:rsidP="00247E9F">
            <w:pPr>
              <w:pStyle w:val="SDMMethEquationNr"/>
              <w:numPr>
                <w:ilvl w:val="0"/>
                <w:numId w:val="7"/>
              </w:numPr>
              <w:ind w:left="288" w:hanging="288"/>
              <w:rPr>
                <w:sz w:val="22"/>
              </w:rPr>
            </w:pPr>
          </w:p>
        </w:tc>
      </w:tr>
      <w:tr w:rsidR="00B63C2E" w:rsidRPr="00E260D0" w14:paraId="44B0CE3B" w14:textId="77777777" w:rsidTr="007E5A9B">
        <w:tc>
          <w:tcPr>
            <w:tcW w:w="6946" w:type="dxa"/>
          </w:tcPr>
          <w:p w14:paraId="72360D5F" w14:textId="19FFA3F1" w:rsidR="00B63C2E" w:rsidRPr="00F21BF2" w:rsidRDefault="00302468">
            <w:pPr>
              <w:pStyle w:val="SDMMethEquation"/>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CH4,NG,adj,y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CH4,NG,y</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DA</m:t>
                            </m:r>
                          </m:e>
                          <m:sub>
                            <m:r>
                              <w:rPr>
                                <w:rFonts w:ascii="Cambria Math" w:hAnsi="Cambria Math"/>
                              </w:rPr>
                              <m:t>CH4,NG,y1</m:t>
                            </m:r>
                          </m:sub>
                        </m:sSub>
                        <m:r>
                          <w:rPr>
                            <w:rFonts w:ascii="Cambria Math" w:hAnsi="Cambria Math"/>
                          </w:rPr>
                          <m:t>+F</m:t>
                        </m:r>
                      </m:e>
                      <m:sub>
                        <m:r>
                          <w:rPr>
                            <w:rFonts w:ascii="Cambria Math" w:hAnsi="Cambria Math"/>
                          </w:rPr>
                          <m:t>CH4,NG,</m:t>
                        </m:r>
                        <m:sSub>
                          <m:sSubPr>
                            <m:ctrlPr>
                              <w:rPr>
                                <w:rFonts w:ascii="Cambria Math" w:hAnsi="Cambria Math" w:cs="Calibri"/>
                                <w:i/>
                              </w:rPr>
                            </m:ctrlPr>
                          </m:sSubPr>
                          <m:e>
                            <m:r>
                              <w:rPr>
                                <w:rFonts w:ascii="Cambria Math" w:hAnsi="Cambria Math"/>
                              </w:rPr>
                              <m:t>y</m:t>
                            </m:r>
                          </m:e>
                          <m:sub>
                            <m:r>
                              <w:rPr>
                                <w:rFonts w:ascii="Cambria Math" w:hAnsi="Cambria Math"/>
                              </w:rPr>
                              <m:t>1</m:t>
                            </m:r>
                          </m:sub>
                        </m:sSub>
                      </m:sub>
                    </m:sSub>
                    <m:r>
                      <w:rPr>
                        <w:rFonts w:ascii="Cambria Math" w:hAnsi="Cambria Math"/>
                      </w:rPr>
                      <m:t>×0.01×</m:t>
                    </m:r>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e>
                    </m:d>
                  </m:e>
                </m:d>
              </m:oMath>
            </m:oMathPara>
          </w:p>
        </w:tc>
        <w:tc>
          <w:tcPr>
            <w:tcW w:w="1805" w:type="dxa"/>
          </w:tcPr>
          <w:p w14:paraId="1EABED06" w14:textId="77777777" w:rsidR="00B63C2E" w:rsidRPr="00F21BF2" w:rsidRDefault="00B63C2E" w:rsidP="00247E9F">
            <w:pPr>
              <w:pStyle w:val="SDMMethEquationNr"/>
              <w:numPr>
                <w:ilvl w:val="0"/>
                <w:numId w:val="7"/>
              </w:numPr>
              <w:ind w:left="288" w:hanging="288"/>
              <w:rPr>
                <w:sz w:val="22"/>
              </w:rPr>
            </w:pPr>
          </w:p>
        </w:tc>
      </w:tr>
    </w:tbl>
    <w:p w14:paraId="550EFD35" w14:textId="77777777" w:rsidR="008D724E" w:rsidRPr="00032083" w:rsidRDefault="008D724E" w:rsidP="00DA05CE">
      <w:pPr>
        <w:pStyle w:val="SDMMethCaptionEquationParametersTable"/>
      </w:pPr>
      <w:r w:rsidRPr="00032083">
        <w:t>Where:</w:t>
      </w:r>
    </w:p>
    <w:tbl>
      <w:tblPr>
        <w:tblStyle w:val="SDMMethTableEquationParameters"/>
        <w:tblW w:w="8760" w:type="dxa"/>
        <w:tblLook w:val="04A0" w:firstRow="1" w:lastRow="0" w:firstColumn="1" w:lastColumn="0" w:noHBand="0" w:noVBand="1"/>
      </w:tblPr>
      <w:tblGrid>
        <w:gridCol w:w="1701"/>
        <w:gridCol w:w="345"/>
        <w:gridCol w:w="6714"/>
      </w:tblGrid>
      <w:tr w:rsidR="008D724E" w:rsidRPr="00885A21" w14:paraId="42B400DD" w14:textId="77777777" w:rsidTr="007E5A9B">
        <w:tc>
          <w:tcPr>
            <w:tcW w:w="1701" w:type="dxa"/>
            <w:vAlign w:val="top"/>
          </w:tcPr>
          <w:p w14:paraId="3B14AE79" w14:textId="77777777" w:rsidR="008D724E" w:rsidRPr="00032083"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CH4,EL,adj,y</m:t>
                    </m:r>
                  </m:sub>
                </m:sSub>
              </m:oMath>
            </m:oMathPara>
          </w:p>
        </w:tc>
        <w:tc>
          <w:tcPr>
            <w:tcW w:w="345" w:type="dxa"/>
            <w:vAlign w:val="top"/>
          </w:tcPr>
          <w:p w14:paraId="23763818" w14:textId="77777777" w:rsidR="008D724E" w:rsidRPr="00032083" w:rsidRDefault="008D724E" w:rsidP="00081FD4">
            <w:pPr>
              <w:pStyle w:val="SDMTableBoxParaNotNumbered"/>
            </w:pPr>
            <w:r w:rsidRPr="00032083">
              <w:t>=</w:t>
            </w:r>
          </w:p>
        </w:tc>
        <w:tc>
          <w:tcPr>
            <w:tcW w:w="0" w:type="auto"/>
            <w:vAlign w:val="top"/>
          </w:tcPr>
          <w:p w14:paraId="0952A5EC" w14:textId="75786EB1" w:rsidR="008D724E" w:rsidRPr="00032083" w:rsidRDefault="008D724E" w:rsidP="00081FD4">
            <w:pPr>
              <w:pStyle w:val="SDMTableBoxParaNotNumbered"/>
            </w:pPr>
            <w:r w:rsidRPr="00032083">
              <w:rPr>
                <w:rFonts w:cs="Arial"/>
              </w:rPr>
              <w:t xml:space="preserve">Downward adjusted </w:t>
            </w:r>
            <w:r w:rsidR="000361AB">
              <w:rPr>
                <w:rFonts w:cs="Arial"/>
              </w:rPr>
              <w:t>amount of</w:t>
            </w:r>
            <w:r w:rsidR="000361AB" w:rsidRPr="00032083">
              <w:rPr>
                <w:rFonts w:cs="Arial"/>
              </w:rPr>
              <w:t xml:space="preserve"> </w:t>
            </w:r>
            <w:r w:rsidRPr="00032083">
              <w:rPr>
                <w:rFonts w:cs="Arial"/>
              </w:rPr>
              <w:t>the methane</w:t>
            </w:r>
            <w:r w:rsidR="00A075E3" w:rsidRPr="00032083">
              <w:rPr>
                <w:rFonts w:cs="Arial"/>
              </w:rPr>
              <w:t xml:space="preserve"> in the LFG or in the biomethane</w:t>
            </w:r>
            <w:r w:rsidRPr="00032083">
              <w:rPr>
                <w:rFonts w:cs="Arial"/>
              </w:rPr>
              <w:t xml:space="preserve"> which is used for electricity generation in year </w:t>
            </w:r>
            <w:r w:rsidRPr="00032083">
              <w:rPr>
                <w:rFonts w:cs="Arial"/>
                <w:i/>
              </w:rPr>
              <w:t>y</w:t>
            </w:r>
            <w:r w:rsidRPr="00032083">
              <w:rPr>
                <w:rFonts w:cs="Arial"/>
              </w:rPr>
              <w:t xml:space="preserve"> (t</w:t>
            </w:r>
            <w:r w:rsidR="001F115D">
              <w:rPr>
                <w:rFonts w:cs="Arial"/>
              </w:rPr>
              <w:t> </w:t>
            </w:r>
            <w:r w:rsidRPr="00032083">
              <w:rPr>
                <w:rFonts w:cs="Arial"/>
              </w:rPr>
              <w:t>CH</w:t>
            </w:r>
            <w:r w:rsidRPr="00032083">
              <w:rPr>
                <w:rFonts w:cs="Arial"/>
                <w:vertAlign w:val="subscript"/>
              </w:rPr>
              <w:t>4</w:t>
            </w:r>
            <w:r w:rsidRPr="00032083">
              <w:rPr>
                <w:rFonts w:cs="Arial"/>
              </w:rPr>
              <w:t>/year)</w:t>
            </w:r>
          </w:p>
        </w:tc>
      </w:tr>
      <w:tr w:rsidR="008D724E" w:rsidRPr="00885A21" w14:paraId="7C9EB223" w14:textId="77777777" w:rsidTr="007E5A9B">
        <w:tc>
          <w:tcPr>
            <w:tcW w:w="1701" w:type="dxa"/>
            <w:vAlign w:val="top"/>
          </w:tcPr>
          <w:p w14:paraId="0E91E59F" w14:textId="77777777" w:rsidR="008D724E" w:rsidRPr="00032083"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CH4,HG,adj,y</m:t>
                    </m:r>
                  </m:sub>
                </m:sSub>
              </m:oMath>
            </m:oMathPara>
          </w:p>
        </w:tc>
        <w:tc>
          <w:tcPr>
            <w:tcW w:w="345" w:type="dxa"/>
            <w:vAlign w:val="top"/>
          </w:tcPr>
          <w:p w14:paraId="0E22B53E" w14:textId="77777777" w:rsidR="008D724E" w:rsidRPr="00032083" w:rsidRDefault="008D724E" w:rsidP="00081FD4">
            <w:pPr>
              <w:pStyle w:val="SDMTableBoxParaNotNumbered"/>
            </w:pPr>
            <w:r w:rsidRPr="00032083">
              <w:t>=</w:t>
            </w:r>
          </w:p>
        </w:tc>
        <w:tc>
          <w:tcPr>
            <w:tcW w:w="0" w:type="auto"/>
            <w:vAlign w:val="top"/>
          </w:tcPr>
          <w:p w14:paraId="648FD301" w14:textId="41984BEB" w:rsidR="008D724E" w:rsidRPr="00032083" w:rsidRDefault="008D724E" w:rsidP="00081FD4">
            <w:pPr>
              <w:pStyle w:val="SDMTableBoxParaNotNumbered"/>
            </w:pPr>
            <w:r w:rsidRPr="00032083">
              <w:rPr>
                <w:rFonts w:cs="Arial"/>
              </w:rPr>
              <w:t xml:space="preserve">Downward adjusted </w:t>
            </w:r>
            <w:r w:rsidR="00C51CEA">
              <w:rPr>
                <w:rFonts w:cs="Arial"/>
              </w:rPr>
              <w:t>amount of</w:t>
            </w:r>
            <w:r w:rsidR="00C51CEA" w:rsidRPr="00032083">
              <w:rPr>
                <w:rFonts w:cs="Arial"/>
              </w:rPr>
              <w:t xml:space="preserve"> </w:t>
            </w:r>
            <w:r w:rsidRPr="00032083">
              <w:rPr>
                <w:rFonts w:cs="Arial"/>
              </w:rPr>
              <w:t xml:space="preserve">methane </w:t>
            </w:r>
            <w:r w:rsidR="00A075E3" w:rsidRPr="00032083">
              <w:rPr>
                <w:rFonts w:cs="Arial"/>
              </w:rPr>
              <w:t xml:space="preserve">in the LFG or in the biomethane </w:t>
            </w:r>
            <w:r w:rsidRPr="00032083">
              <w:rPr>
                <w:rFonts w:cs="Arial"/>
              </w:rPr>
              <w:t>which is used for heat generation in year </w:t>
            </w:r>
            <w:r w:rsidRPr="00032083">
              <w:rPr>
                <w:rFonts w:cs="Arial"/>
                <w:i/>
              </w:rPr>
              <w:t>y</w:t>
            </w:r>
            <w:r w:rsidRPr="00032083">
              <w:rPr>
                <w:rFonts w:cs="Arial"/>
              </w:rPr>
              <w:t xml:space="preserve"> (t</w:t>
            </w:r>
            <w:r w:rsidR="001F115D">
              <w:rPr>
                <w:rFonts w:cs="Arial"/>
              </w:rPr>
              <w:t> </w:t>
            </w:r>
            <w:r w:rsidRPr="00032083">
              <w:rPr>
                <w:rFonts w:cs="Arial"/>
              </w:rPr>
              <w:t>CH</w:t>
            </w:r>
            <w:r w:rsidRPr="00032083">
              <w:rPr>
                <w:rFonts w:cs="Arial"/>
                <w:vertAlign w:val="subscript"/>
              </w:rPr>
              <w:t>4</w:t>
            </w:r>
            <w:r w:rsidRPr="00032083">
              <w:rPr>
                <w:rFonts w:cs="Arial"/>
              </w:rPr>
              <w:t>/year)</w:t>
            </w:r>
          </w:p>
        </w:tc>
      </w:tr>
      <w:tr w:rsidR="008D724E" w:rsidRPr="00885A21" w14:paraId="5B5E6FF8" w14:textId="77777777" w:rsidTr="007E5A9B">
        <w:tc>
          <w:tcPr>
            <w:tcW w:w="1701" w:type="dxa"/>
            <w:vAlign w:val="top"/>
          </w:tcPr>
          <w:p w14:paraId="6F24F4AE" w14:textId="77777777" w:rsidR="008D724E" w:rsidRPr="00032083"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CH4,NG,adj,y</m:t>
                    </m:r>
                  </m:sub>
                </m:sSub>
              </m:oMath>
            </m:oMathPara>
          </w:p>
        </w:tc>
        <w:tc>
          <w:tcPr>
            <w:tcW w:w="345" w:type="dxa"/>
            <w:vAlign w:val="top"/>
          </w:tcPr>
          <w:p w14:paraId="77CB9CBC" w14:textId="77777777" w:rsidR="008D724E" w:rsidRPr="00032083" w:rsidRDefault="008D724E" w:rsidP="00081FD4">
            <w:pPr>
              <w:pStyle w:val="SDMTableBoxParaNotNumbered"/>
            </w:pPr>
            <w:r w:rsidRPr="00032083">
              <w:t>=</w:t>
            </w:r>
          </w:p>
        </w:tc>
        <w:tc>
          <w:tcPr>
            <w:tcW w:w="0" w:type="auto"/>
            <w:vAlign w:val="top"/>
          </w:tcPr>
          <w:p w14:paraId="5948DD4B" w14:textId="497D521B" w:rsidR="008D724E" w:rsidRPr="00032083" w:rsidRDefault="008D724E" w:rsidP="00081FD4">
            <w:pPr>
              <w:pStyle w:val="SDMTableBoxParaNotNumbered"/>
            </w:pPr>
            <w:r w:rsidRPr="00032083">
              <w:rPr>
                <w:rFonts w:cs="Arial"/>
              </w:rPr>
              <w:t xml:space="preserve">Downward adjusted </w:t>
            </w:r>
            <w:r w:rsidR="00C51CEA">
              <w:rPr>
                <w:rFonts w:cs="Arial"/>
              </w:rPr>
              <w:t>amount of</w:t>
            </w:r>
            <w:r w:rsidR="00C51CEA" w:rsidRPr="00032083">
              <w:rPr>
                <w:rFonts w:cs="Arial"/>
              </w:rPr>
              <w:t xml:space="preserve"> </w:t>
            </w:r>
            <w:r w:rsidRPr="00032083">
              <w:rPr>
                <w:rFonts w:cs="Arial"/>
              </w:rPr>
              <w:t xml:space="preserve">the methane </w:t>
            </w:r>
            <w:r w:rsidR="00A46AD5" w:rsidRPr="00032083">
              <w:rPr>
                <w:rFonts w:cs="Arial"/>
              </w:rPr>
              <w:t xml:space="preserve">in the LFG or in the biomethane </w:t>
            </w:r>
            <w:r w:rsidRPr="00032083">
              <w:rPr>
                <w:rFonts w:cs="Arial"/>
              </w:rPr>
              <w:t>which is supplied to consumers in year </w:t>
            </w:r>
            <w:r w:rsidRPr="00032083">
              <w:rPr>
                <w:rFonts w:cs="Arial"/>
                <w:i/>
              </w:rPr>
              <w:t>y</w:t>
            </w:r>
            <w:r w:rsidRPr="00032083">
              <w:rPr>
                <w:rFonts w:cs="Arial"/>
              </w:rPr>
              <w:t xml:space="preserve"> (t</w:t>
            </w:r>
            <w:r w:rsidR="001F115D">
              <w:rPr>
                <w:rFonts w:cs="Arial"/>
              </w:rPr>
              <w:t> </w:t>
            </w:r>
            <w:r w:rsidRPr="00032083">
              <w:rPr>
                <w:rFonts w:cs="Arial"/>
              </w:rPr>
              <w:t>CH</w:t>
            </w:r>
            <w:r w:rsidRPr="00032083">
              <w:rPr>
                <w:rFonts w:cs="Arial"/>
                <w:vertAlign w:val="subscript"/>
              </w:rPr>
              <w:t>4</w:t>
            </w:r>
            <w:r w:rsidRPr="00032083">
              <w:rPr>
                <w:rFonts w:cs="Arial"/>
              </w:rPr>
              <w:t>/year)</w:t>
            </w:r>
          </w:p>
        </w:tc>
      </w:tr>
      <w:tr w:rsidR="008D724E" w:rsidRPr="00885A21" w14:paraId="4BFBF4E3" w14:textId="77777777" w:rsidTr="007E5A9B">
        <w:tc>
          <w:tcPr>
            <w:tcW w:w="1701" w:type="dxa"/>
            <w:vAlign w:val="top"/>
          </w:tcPr>
          <w:p w14:paraId="50FA623F" w14:textId="77777777" w:rsidR="008D724E" w:rsidRPr="00032083"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CH4,EL,y</m:t>
                    </m:r>
                  </m:sub>
                </m:sSub>
              </m:oMath>
            </m:oMathPara>
          </w:p>
        </w:tc>
        <w:tc>
          <w:tcPr>
            <w:tcW w:w="345" w:type="dxa"/>
            <w:vAlign w:val="top"/>
          </w:tcPr>
          <w:p w14:paraId="3097ECF8" w14:textId="77777777" w:rsidR="008D724E" w:rsidRPr="00032083" w:rsidRDefault="008D724E" w:rsidP="00081FD4">
            <w:pPr>
              <w:pStyle w:val="SDMTableBoxParaNotNumbered"/>
            </w:pPr>
            <w:r w:rsidRPr="00032083">
              <w:t>=</w:t>
            </w:r>
          </w:p>
        </w:tc>
        <w:tc>
          <w:tcPr>
            <w:tcW w:w="0" w:type="auto"/>
            <w:vAlign w:val="top"/>
          </w:tcPr>
          <w:p w14:paraId="4F6AB704" w14:textId="2CADF68C" w:rsidR="008D724E" w:rsidRPr="00032083" w:rsidRDefault="008D724E" w:rsidP="00081FD4">
            <w:pPr>
              <w:pStyle w:val="SDMTableBoxParaNotNumbered"/>
            </w:pPr>
            <w:r w:rsidRPr="00032083">
              <w:t xml:space="preserve">Amount of methane in the LFG </w:t>
            </w:r>
            <w:r w:rsidR="0090605F" w:rsidRPr="00032083">
              <w:t xml:space="preserve">or </w:t>
            </w:r>
            <w:r w:rsidR="00A075E3" w:rsidRPr="00032083">
              <w:t xml:space="preserve">in the </w:t>
            </w:r>
            <w:r w:rsidR="0090605F" w:rsidRPr="00032083">
              <w:t xml:space="preserve">biomethane </w:t>
            </w:r>
            <w:r w:rsidRPr="00032083">
              <w:t>which is used for electricity generation in year </w:t>
            </w:r>
            <w:r w:rsidRPr="00032083">
              <w:rPr>
                <w:i/>
              </w:rPr>
              <w:t>y</w:t>
            </w:r>
            <w:r w:rsidRPr="00032083">
              <w:t xml:space="preserve"> (t CH</w:t>
            </w:r>
            <w:r w:rsidRPr="00032083">
              <w:rPr>
                <w:vertAlign w:val="subscript"/>
              </w:rPr>
              <w:t>4</w:t>
            </w:r>
            <w:r w:rsidRPr="00032083">
              <w:t>/year)</w:t>
            </w:r>
            <w:r w:rsidRPr="00032083">
              <w:rPr>
                <w:rFonts w:cs="Arial"/>
              </w:rPr>
              <w:t xml:space="preserve">, determined based on </w:t>
            </w:r>
            <w:r w:rsidR="00D92A05">
              <w:rPr>
                <w:rFonts w:cs="Arial"/>
              </w:rPr>
              <w:t xml:space="preserve">paragraphs </w:t>
            </w:r>
            <w:r w:rsidR="00D92A05">
              <w:rPr>
                <w:rFonts w:cs="Arial"/>
              </w:rPr>
              <w:fldChar w:fldCharType="begin"/>
            </w:r>
            <w:r w:rsidR="00D92A05">
              <w:rPr>
                <w:rFonts w:cs="Arial"/>
              </w:rPr>
              <w:instrText xml:space="preserve"> REF _Ref211523014 \r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83</w:t>
            </w:r>
            <w:r w:rsidR="00D92A05">
              <w:rPr>
                <w:rFonts w:cs="Arial"/>
              </w:rPr>
              <w:fldChar w:fldCharType="end"/>
            </w:r>
            <w:r w:rsidR="00D92A05">
              <w:rPr>
                <w:rFonts w:cs="Arial"/>
              </w:rPr>
              <w:t xml:space="preserve"> and </w:t>
            </w:r>
            <w:r w:rsidR="00D92A05">
              <w:rPr>
                <w:rFonts w:cs="Arial"/>
              </w:rPr>
              <w:fldChar w:fldCharType="begin"/>
            </w:r>
            <w:r w:rsidR="00D92A05">
              <w:rPr>
                <w:rFonts w:cs="Arial"/>
              </w:rPr>
              <w:instrText xml:space="preserve"> REF _Ref211523023 \r \p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84 above</w:t>
            </w:r>
            <w:r w:rsidR="00D92A05">
              <w:rPr>
                <w:rFonts w:cs="Arial"/>
              </w:rPr>
              <w:fldChar w:fldCharType="end"/>
            </w:r>
          </w:p>
        </w:tc>
      </w:tr>
      <w:tr w:rsidR="008D724E" w:rsidRPr="00885A21" w14:paraId="440C0F66" w14:textId="77777777" w:rsidTr="007E5A9B">
        <w:tc>
          <w:tcPr>
            <w:tcW w:w="1701" w:type="dxa"/>
            <w:vAlign w:val="top"/>
          </w:tcPr>
          <w:p w14:paraId="1BEE798A" w14:textId="77777777" w:rsidR="008D724E" w:rsidRPr="00032083"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CH4,HG,y</m:t>
                    </m:r>
                  </m:sub>
                </m:sSub>
              </m:oMath>
            </m:oMathPara>
          </w:p>
        </w:tc>
        <w:tc>
          <w:tcPr>
            <w:tcW w:w="345" w:type="dxa"/>
            <w:vAlign w:val="top"/>
          </w:tcPr>
          <w:p w14:paraId="26B96B24" w14:textId="77777777" w:rsidR="008D724E" w:rsidRPr="00032083" w:rsidRDefault="008D724E" w:rsidP="00081FD4">
            <w:pPr>
              <w:pStyle w:val="SDMTableBoxParaNotNumbered"/>
            </w:pPr>
            <w:r w:rsidRPr="00032083">
              <w:t>=</w:t>
            </w:r>
          </w:p>
        </w:tc>
        <w:tc>
          <w:tcPr>
            <w:tcW w:w="0" w:type="auto"/>
            <w:vAlign w:val="top"/>
          </w:tcPr>
          <w:p w14:paraId="32500CE9" w14:textId="65A9B52D" w:rsidR="008D724E" w:rsidRPr="00032083" w:rsidRDefault="008D724E" w:rsidP="00081FD4">
            <w:pPr>
              <w:pStyle w:val="SDMTableBoxParaNotNumbered"/>
            </w:pPr>
            <w:r w:rsidRPr="00032083">
              <w:t xml:space="preserve">Amount of methane </w:t>
            </w:r>
            <w:r w:rsidR="00A075E3" w:rsidRPr="00032083">
              <w:rPr>
                <w:rFonts w:cs="Arial"/>
              </w:rPr>
              <w:t xml:space="preserve">in the LFG or in the biomethane </w:t>
            </w:r>
            <w:r w:rsidRPr="00032083">
              <w:t>which is used for heat generation in year </w:t>
            </w:r>
            <w:r w:rsidRPr="00032083">
              <w:rPr>
                <w:i/>
              </w:rPr>
              <w:t>y</w:t>
            </w:r>
            <w:r w:rsidRPr="00032083">
              <w:t xml:space="preserve"> (t CH</w:t>
            </w:r>
            <w:r w:rsidRPr="00032083">
              <w:rPr>
                <w:vertAlign w:val="subscript"/>
              </w:rPr>
              <w:t>4</w:t>
            </w:r>
            <w:r w:rsidRPr="00032083">
              <w:t>/year)</w:t>
            </w:r>
            <w:r w:rsidRPr="00032083">
              <w:rPr>
                <w:rFonts w:cs="Arial"/>
              </w:rPr>
              <w:t xml:space="preserve">, determined based </w:t>
            </w:r>
            <w:r w:rsidR="00D92A05">
              <w:rPr>
                <w:rFonts w:cs="Arial"/>
              </w:rPr>
              <w:t xml:space="preserve">on paragraphs </w:t>
            </w:r>
            <w:r w:rsidR="00D92A05">
              <w:rPr>
                <w:rFonts w:cs="Arial"/>
              </w:rPr>
              <w:fldChar w:fldCharType="begin"/>
            </w:r>
            <w:r w:rsidR="00D92A05">
              <w:rPr>
                <w:rFonts w:cs="Arial"/>
              </w:rPr>
              <w:instrText xml:space="preserve"> REF _Ref211523014 \r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83</w:t>
            </w:r>
            <w:r w:rsidR="00D92A05">
              <w:rPr>
                <w:rFonts w:cs="Arial"/>
              </w:rPr>
              <w:fldChar w:fldCharType="end"/>
            </w:r>
            <w:r w:rsidR="00D92A05">
              <w:rPr>
                <w:rFonts w:cs="Arial"/>
              </w:rPr>
              <w:t xml:space="preserve"> and </w:t>
            </w:r>
            <w:r w:rsidR="00D92A05">
              <w:rPr>
                <w:rFonts w:cs="Arial"/>
              </w:rPr>
              <w:fldChar w:fldCharType="begin"/>
            </w:r>
            <w:r w:rsidR="00D92A05">
              <w:rPr>
                <w:rFonts w:cs="Arial"/>
              </w:rPr>
              <w:instrText xml:space="preserve"> REF _Ref211523023 \r \p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84 above</w:t>
            </w:r>
            <w:r w:rsidR="00D92A05">
              <w:rPr>
                <w:rFonts w:cs="Arial"/>
              </w:rPr>
              <w:fldChar w:fldCharType="end"/>
            </w:r>
          </w:p>
        </w:tc>
      </w:tr>
      <w:tr w:rsidR="008D724E" w:rsidRPr="00885A21" w14:paraId="158CE7CE" w14:textId="77777777" w:rsidTr="007E5A9B">
        <w:tc>
          <w:tcPr>
            <w:tcW w:w="1701" w:type="dxa"/>
            <w:vAlign w:val="top"/>
          </w:tcPr>
          <w:p w14:paraId="1DB7A435" w14:textId="77777777" w:rsidR="008D724E" w:rsidRPr="00032083"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CH4,NG,y</m:t>
                    </m:r>
                  </m:sub>
                </m:sSub>
              </m:oMath>
            </m:oMathPara>
          </w:p>
        </w:tc>
        <w:tc>
          <w:tcPr>
            <w:tcW w:w="345" w:type="dxa"/>
            <w:vAlign w:val="top"/>
          </w:tcPr>
          <w:p w14:paraId="29234B2A" w14:textId="77777777" w:rsidR="008D724E" w:rsidRPr="00032083" w:rsidRDefault="008D724E" w:rsidP="00081FD4">
            <w:pPr>
              <w:pStyle w:val="SDMTableBoxParaNotNumbered"/>
            </w:pPr>
            <w:r w:rsidRPr="00032083">
              <w:t>=</w:t>
            </w:r>
          </w:p>
        </w:tc>
        <w:tc>
          <w:tcPr>
            <w:tcW w:w="0" w:type="auto"/>
            <w:vAlign w:val="top"/>
          </w:tcPr>
          <w:p w14:paraId="4A074FCA" w14:textId="308496D0" w:rsidR="008D724E" w:rsidRPr="00032083" w:rsidRDefault="008D724E" w:rsidP="00081FD4">
            <w:pPr>
              <w:pStyle w:val="SDMTableBoxParaNotNumbered"/>
            </w:pPr>
            <w:r w:rsidRPr="00032083">
              <w:t xml:space="preserve">Amount of methane </w:t>
            </w:r>
            <w:r w:rsidR="00A075E3" w:rsidRPr="00032083">
              <w:rPr>
                <w:rFonts w:cs="Arial"/>
              </w:rPr>
              <w:t xml:space="preserve">in the LFG or in the biomethane </w:t>
            </w:r>
            <w:r w:rsidRPr="00032083">
              <w:t>which is supplied to consumers in year </w:t>
            </w:r>
            <w:r w:rsidRPr="00032083">
              <w:rPr>
                <w:i/>
              </w:rPr>
              <w:t>y</w:t>
            </w:r>
            <w:r w:rsidRPr="00032083">
              <w:t xml:space="preserve"> (t CH</w:t>
            </w:r>
            <w:r w:rsidRPr="00032083">
              <w:rPr>
                <w:vertAlign w:val="subscript"/>
              </w:rPr>
              <w:t>4</w:t>
            </w:r>
            <w:r w:rsidRPr="00032083">
              <w:t>/year)</w:t>
            </w:r>
            <w:r w:rsidRPr="00032083">
              <w:rPr>
                <w:rFonts w:cs="Arial"/>
              </w:rPr>
              <w:t xml:space="preserve">, determined based </w:t>
            </w:r>
            <w:r w:rsidR="00D92A05">
              <w:rPr>
                <w:rFonts w:cs="Arial"/>
              </w:rPr>
              <w:t xml:space="preserve">on paragraphs </w:t>
            </w:r>
            <w:r w:rsidR="00D92A05">
              <w:rPr>
                <w:rFonts w:cs="Arial"/>
              </w:rPr>
              <w:fldChar w:fldCharType="begin"/>
            </w:r>
            <w:r w:rsidR="00D92A05">
              <w:rPr>
                <w:rFonts w:cs="Arial"/>
              </w:rPr>
              <w:instrText xml:space="preserve"> REF _Ref211523014 \r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83</w:t>
            </w:r>
            <w:r w:rsidR="00D92A05">
              <w:rPr>
                <w:rFonts w:cs="Arial"/>
              </w:rPr>
              <w:fldChar w:fldCharType="end"/>
            </w:r>
            <w:r w:rsidR="00D92A05">
              <w:rPr>
                <w:rFonts w:cs="Arial"/>
              </w:rPr>
              <w:t xml:space="preserve"> and </w:t>
            </w:r>
            <w:r w:rsidR="00D92A05">
              <w:rPr>
                <w:rFonts w:cs="Arial"/>
              </w:rPr>
              <w:fldChar w:fldCharType="begin"/>
            </w:r>
            <w:r w:rsidR="00D92A05">
              <w:rPr>
                <w:rFonts w:cs="Arial"/>
              </w:rPr>
              <w:instrText xml:space="preserve"> REF _Ref211523023 \r \p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84 above</w:t>
            </w:r>
            <w:r w:rsidR="00D92A05">
              <w:rPr>
                <w:rFonts w:cs="Arial"/>
              </w:rPr>
              <w:fldChar w:fldCharType="end"/>
            </w:r>
          </w:p>
        </w:tc>
      </w:tr>
      <w:tr w:rsidR="008D724E" w:rsidRPr="00885A21" w14:paraId="11732882" w14:textId="77777777" w:rsidTr="007E5A9B">
        <w:tc>
          <w:tcPr>
            <w:tcW w:w="1701" w:type="dxa"/>
            <w:vAlign w:val="top"/>
          </w:tcPr>
          <w:p w14:paraId="59A58122" w14:textId="42EC6024" w:rsidR="002510AE" w:rsidRPr="00032083"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DA</m:t>
                    </m:r>
                  </m:e>
                  <m:sub>
                    <m:r>
                      <w:rPr>
                        <w:rFonts w:ascii="Cambria Math" w:hAnsi="Cambria Math"/>
                      </w:rPr>
                      <m:t>CH4,EL,y1</m:t>
                    </m:r>
                  </m:sub>
                </m:sSub>
              </m:oMath>
            </m:oMathPara>
          </w:p>
        </w:tc>
        <w:tc>
          <w:tcPr>
            <w:tcW w:w="345" w:type="dxa"/>
            <w:vAlign w:val="top"/>
          </w:tcPr>
          <w:p w14:paraId="3D57D124" w14:textId="77777777" w:rsidR="008D724E" w:rsidRPr="00032083" w:rsidRDefault="008D724E" w:rsidP="00081FD4">
            <w:pPr>
              <w:pStyle w:val="SDMTableBoxParaNotNumbered"/>
            </w:pPr>
            <w:r w:rsidRPr="00032083">
              <w:t>=</w:t>
            </w:r>
          </w:p>
        </w:tc>
        <w:tc>
          <w:tcPr>
            <w:tcW w:w="0" w:type="auto"/>
            <w:vAlign w:val="top"/>
          </w:tcPr>
          <w:p w14:paraId="6CFF191C" w14:textId="38BFD2A4" w:rsidR="008D724E" w:rsidRPr="00032083" w:rsidRDefault="008D724E" w:rsidP="00081FD4">
            <w:pPr>
              <w:pStyle w:val="SDMTableBoxParaNotNumbered"/>
            </w:pPr>
            <w:r w:rsidRPr="00032083">
              <w:t xml:space="preserve">Initial downward adjustment to the </w:t>
            </w:r>
            <w:r w:rsidR="0058342E">
              <w:t xml:space="preserve">amount of </w:t>
            </w:r>
            <w:r w:rsidRPr="00032083">
              <w:t xml:space="preserve">methane in the LFG </w:t>
            </w:r>
            <w:r w:rsidR="00A97644" w:rsidRPr="00032083">
              <w:t xml:space="preserve">or in the biomethane </w:t>
            </w:r>
            <w:r w:rsidRPr="00032083">
              <w:t>which is used for electricity generation (t CH</w:t>
            </w:r>
            <w:r w:rsidRPr="00032083">
              <w:rPr>
                <w:vertAlign w:val="subscript"/>
              </w:rPr>
              <w:t>4</w:t>
            </w:r>
            <w:r w:rsidRPr="00032083">
              <w:t>/year)</w:t>
            </w:r>
            <w:r w:rsidR="009E6FF2" w:rsidRPr="00032083">
              <w:rPr>
                <w:rFonts w:cs="Arial"/>
              </w:rPr>
              <w:t xml:space="preserve">, determined by replacing </w:t>
            </w:r>
            <m:oMath>
              <m:sSub>
                <m:sSubPr>
                  <m:ctrlPr>
                    <w:rPr>
                      <w:rFonts w:ascii="Cambria Math" w:hAnsi="Cambria Math"/>
                      <w:i/>
                    </w:rPr>
                  </m:ctrlPr>
                </m:sSubPr>
                <m:e>
                  <m:r>
                    <w:rPr>
                      <w:rFonts w:ascii="Cambria Math" w:hAnsi="Cambria Math"/>
                    </w:rPr>
                    <m:t>BE</m:t>
                  </m:r>
                </m:e>
                <m:sub>
                  <m:r>
                    <w:rPr>
                      <w:rFonts w:ascii="Cambria Math" w:hAnsi="Cambria Math"/>
                    </w:rPr>
                    <m:t>act/hist,i,y1</m:t>
                  </m:r>
                </m:sub>
              </m:sSub>
            </m:oMath>
            <w:r w:rsidR="009E6FF2" w:rsidRPr="00032083">
              <w:t xml:space="preserve"> by </w:t>
            </w:r>
            <m:oMath>
              <m:sSub>
                <m:sSubPr>
                  <m:ctrlPr>
                    <w:rPr>
                      <w:rFonts w:ascii="Cambria Math" w:hAnsi="Cambria Math"/>
                      <w:i/>
                    </w:rPr>
                  </m:ctrlPr>
                </m:sSubPr>
                <m:e>
                  <m:r>
                    <w:rPr>
                      <w:rFonts w:ascii="Cambria Math" w:hAnsi="Cambria Math"/>
                    </w:rPr>
                    <m:t>F</m:t>
                  </m:r>
                </m:e>
                <m:sub>
                  <m:r>
                    <w:rPr>
                      <w:rFonts w:ascii="Cambria Math" w:hAnsi="Cambria Math"/>
                    </w:rPr>
                    <m:t>CH4,EL,y1</m:t>
                  </m:r>
                </m:sub>
              </m:sSub>
            </m:oMath>
            <w:r w:rsidR="004F16FE" w:rsidRPr="00357AE3">
              <w:t xml:space="preserve"> </w:t>
            </w:r>
            <w:r w:rsidR="004F16FE">
              <w:t xml:space="preserve">and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act/hist,i,y1</m:t>
                      </m:r>
                    </m:sub>
                  </m:sSub>
                </m:sub>
              </m:sSub>
            </m:oMath>
            <w:r w:rsidR="004F16FE" w:rsidRPr="00357AE3">
              <w:t xml:space="preserve"> by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F</m:t>
                      </m:r>
                    </m:e>
                    <m:sub>
                      <m:r>
                        <w:rPr>
                          <w:rFonts w:ascii="Cambria Math" w:hAnsi="Cambria Math"/>
                        </w:rPr>
                        <m:t>CH4,EL,y1</m:t>
                      </m:r>
                    </m:sub>
                  </m:sSub>
                </m:sub>
              </m:sSub>
            </m:oMath>
            <w:r w:rsidR="00332CA7" w:rsidRPr="00032083">
              <w:t xml:space="preserve"> </w:t>
            </w:r>
            <w:r w:rsidR="00332CA7" w:rsidRPr="00032083">
              <w:rPr>
                <w:rFonts w:cs="Arial"/>
              </w:rPr>
              <w:t xml:space="preserve">in </w:t>
            </w:r>
            <w:r w:rsidR="008D0EB8">
              <w:rPr>
                <w:rFonts w:cs="Arial"/>
              </w:rPr>
              <w:t>E</w:t>
            </w:r>
            <w:r w:rsidR="00D92A05">
              <w:rPr>
                <w:rFonts w:cs="Arial"/>
              </w:rPr>
              <w:t xml:space="preserve">quation </w:t>
            </w:r>
            <w:r w:rsidR="002A39A3">
              <w:rPr>
                <w:rFonts w:cs="Arial"/>
              </w:rPr>
              <w:t>(</w:t>
            </w:r>
            <w:r w:rsidR="00D92A05">
              <w:rPr>
                <w:rFonts w:cs="Arial"/>
              </w:rPr>
              <w:t>27</w:t>
            </w:r>
            <w:r w:rsidR="002A39A3">
              <w:rPr>
                <w:rFonts w:cs="Arial"/>
              </w:rPr>
              <w:t>)</w:t>
            </w:r>
          </w:p>
        </w:tc>
      </w:tr>
      <w:tr w:rsidR="008D724E" w:rsidRPr="00885A21" w14:paraId="359AE840" w14:textId="77777777" w:rsidTr="007E5A9B">
        <w:tc>
          <w:tcPr>
            <w:tcW w:w="1701" w:type="dxa"/>
            <w:vAlign w:val="top"/>
          </w:tcPr>
          <w:p w14:paraId="09E5B4E8" w14:textId="77777777" w:rsidR="008D724E" w:rsidRPr="00032083"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DA</m:t>
                    </m:r>
                  </m:e>
                  <m:sub>
                    <m:r>
                      <w:rPr>
                        <w:rFonts w:ascii="Cambria Math" w:hAnsi="Cambria Math"/>
                      </w:rPr>
                      <m:t>CH4,HG,y1</m:t>
                    </m:r>
                  </m:sub>
                </m:sSub>
              </m:oMath>
            </m:oMathPara>
          </w:p>
        </w:tc>
        <w:tc>
          <w:tcPr>
            <w:tcW w:w="345" w:type="dxa"/>
            <w:vAlign w:val="top"/>
          </w:tcPr>
          <w:p w14:paraId="4C59EC2A" w14:textId="77777777" w:rsidR="008D724E" w:rsidRPr="00032083" w:rsidRDefault="008D724E" w:rsidP="00081FD4">
            <w:pPr>
              <w:pStyle w:val="SDMTableBoxParaNotNumbered"/>
            </w:pPr>
            <w:r w:rsidRPr="00032083">
              <w:t>=</w:t>
            </w:r>
          </w:p>
        </w:tc>
        <w:tc>
          <w:tcPr>
            <w:tcW w:w="0" w:type="auto"/>
            <w:vAlign w:val="top"/>
          </w:tcPr>
          <w:p w14:paraId="30C5F6D4" w14:textId="60193A96" w:rsidR="008D724E" w:rsidRPr="00032083" w:rsidRDefault="008D724E" w:rsidP="00081FD4">
            <w:pPr>
              <w:pStyle w:val="SDMTableBoxParaNotNumbered"/>
            </w:pPr>
            <w:r w:rsidRPr="00032083">
              <w:t xml:space="preserve">Initial downward adjustment to the </w:t>
            </w:r>
            <w:r w:rsidR="0058342E">
              <w:t>amount of</w:t>
            </w:r>
            <w:r w:rsidRPr="00032083">
              <w:t xml:space="preserve"> methane in the LFG </w:t>
            </w:r>
            <w:r w:rsidR="00A97644" w:rsidRPr="00032083">
              <w:t xml:space="preserve">or in the biomethane </w:t>
            </w:r>
            <w:r w:rsidRPr="00032083">
              <w:t xml:space="preserve">which is used for </w:t>
            </w:r>
            <w:r w:rsidR="00A97644" w:rsidRPr="00032083">
              <w:t>heat</w:t>
            </w:r>
            <w:r w:rsidRPr="00032083">
              <w:t xml:space="preserve"> generation in year </w:t>
            </w:r>
            <w:r w:rsidRPr="00032083">
              <w:rPr>
                <w:i/>
              </w:rPr>
              <w:t>y</w:t>
            </w:r>
            <w:r w:rsidRPr="00032083">
              <w:t xml:space="preserve"> (t CH</w:t>
            </w:r>
            <w:r w:rsidRPr="00032083">
              <w:rPr>
                <w:vertAlign w:val="subscript"/>
              </w:rPr>
              <w:t>4</w:t>
            </w:r>
            <w:r w:rsidRPr="00032083">
              <w:t>/year)</w:t>
            </w:r>
            <w:r w:rsidR="00CB7054" w:rsidRPr="00032083">
              <w:rPr>
                <w:rFonts w:cs="Arial"/>
              </w:rPr>
              <w:t xml:space="preserve">, determined by replacing </w:t>
            </w:r>
            <m:oMath>
              <m:sSub>
                <m:sSubPr>
                  <m:ctrlPr>
                    <w:rPr>
                      <w:rFonts w:ascii="Cambria Math" w:hAnsi="Cambria Math"/>
                      <w:i/>
                    </w:rPr>
                  </m:ctrlPr>
                </m:sSubPr>
                <m:e>
                  <m:r>
                    <w:rPr>
                      <w:rFonts w:ascii="Cambria Math" w:hAnsi="Cambria Math"/>
                    </w:rPr>
                    <m:t>BE</m:t>
                  </m:r>
                </m:e>
                <m:sub>
                  <m:r>
                    <w:rPr>
                      <w:rFonts w:ascii="Cambria Math" w:hAnsi="Cambria Math"/>
                    </w:rPr>
                    <m:t>act/hist,i,y1</m:t>
                  </m:r>
                </m:sub>
              </m:sSub>
            </m:oMath>
            <w:r w:rsidR="00CB7054" w:rsidRPr="00032083">
              <w:t xml:space="preserve"> by </w:t>
            </w:r>
            <m:oMath>
              <m:sSub>
                <m:sSubPr>
                  <m:ctrlPr>
                    <w:rPr>
                      <w:rFonts w:ascii="Cambria Math" w:hAnsi="Cambria Math"/>
                      <w:i/>
                    </w:rPr>
                  </m:ctrlPr>
                </m:sSubPr>
                <m:e>
                  <m:r>
                    <w:rPr>
                      <w:rFonts w:ascii="Cambria Math" w:hAnsi="Cambria Math"/>
                    </w:rPr>
                    <m:t>F</m:t>
                  </m:r>
                </m:e>
                <m:sub>
                  <m:r>
                    <w:rPr>
                      <w:rFonts w:ascii="Cambria Math" w:hAnsi="Cambria Math"/>
                    </w:rPr>
                    <m:t>CH4,HG,y1</m:t>
                  </m:r>
                </m:sub>
              </m:sSub>
            </m:oMath>
            <w:r w:rsidR="000B4A5D" w:rsidRPr="00357AE3">
              <w:t xml:space="preserve"> </w:t>
            </w:r>
            <w:r w:rsidR="000B4A5D">
              <w:t xml:space="preserve">and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act/hist,i,y1</m:t>
                      </m:r>
                    </m:sub>
                  </m:sSub>
                </m:sub>
              </m:sSub>
            </m:oMath>
            <w:r w:rsidR="000B4A5D" w:rsidRPr="00357AE3">
              <w:t xml:space="preserve"> by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F</m:t>
                      </m:r>
                    </m:e>
                    <m:sub>
                      <m:r>
                        <w:rPr>
                          <w:rFonts w:ascii="Cambria Math" w:hAnsi="Cambria Math"/>
                        </w:rPr>
                        <m:t>CH4,HG,y1</m:t>
                      </m:r>
                    </m:sub>
                  </m:sSub>
                </m:sub>
              </m:sSub>
            </m:oMath>
            <w:r w:rsidR="00CB7054" w:rsidRPr="00032083">
              <w:rPr>
                <w:i/>
              </w:rPr>
              <w:t xml:space="preserve"> </w:t>
            </w:r>
            <w:r w:rsidR="00CB7054" w:rsidRPr="00032083">
              <w:rPr>
                <w:rFonts w:cs="Arial"/>
              </w:rPr>
              <w:t xml:space="preserve">in </w:t>
            </w:r>
            <w:r w:rsidR="008D0EB8">
              <w:rPr>
                <w:rFonts w:cs="Arial"/>
              </w:rPr>
              <w:t>E</w:t>
            </w:r>
            <w:r w:rsidR="00D92A05">
              <w:rPr>
                <w:rFonts w:cs="Arial"/>
              </w:rPr>
              <w:t xml:space="preserve">quation </w:t>
            </w:r>
            <w:r w:rsidR="002A39A3">
              <w:rPr>
                <w:rFonts w:cs="Arial"/>
              </w:rPr>
              <w:t>(27)</w:t>
            </w:r>
          </w:p>
        </w:tc>
      </w:tr>
      <w:tr w:rsidR="008D724E" w:rsidRPr="00885A21" w14:paraId="31B18005" w14:textId="77777777" w:rsidTr="007E5A9B">
        <w:tc>
          <w:tcPr>
            <w:tcW w:w="1701" w:type="dxa"/>
            <w:vAlign w:val="top"/>
          </w:tcPr>
          <w:p w14:paraId="12CCB2CC" w14:textId="77777777" w:rsidR="008D724E" w:rsidRPr="00032083"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DA</m:t>
                    </m:r>
                  </m:e>
                  <m:sub>
                    <m:r>
                      <w:rPr>
                        <w:rFonts w:ascii="Cambria Math" w:hAnsi="Cambria Math"/>
                      </w:rPr>
                      <m:t>CH4,NG,y1</m:t>
                    </m:r>
                  </m:sub>
                </m:sSub>
              </m:oMath>
            </m:oMathPara>
          </w:p>
        </w:tc>
        <w:tc>
          <w:tcPr>
            <w:tcW w:w="345" w:type="dxa"/>
            <w:vAlign w:val="top"/>
          </w:tcPr>
          <w:p w14:paraId="51F403E4" w14:textId="77777777" w:rsidR="008D724E" w:rsidRPr="00032083" w:rsidRDefault="008D724E" w:rsidP="00081FD4">
            <w:pPr>
              <w:pStyle w:val="SDMTableBoxParaNotNumbered"/>
            </w:pPr>
            <w:r w:rsidRPr="00032083">
              <w:t>=</w:t>
            </w:r>
          </w:p>
        </w:tc>
        <w:tc>
          <w:tcPr>
            <w:tcW w:w="0" w:type="auto"/>
            <w:vAlign w:val="top"/>
          </w:tcPr>
          <w:p w14:paraId="19461C1F" w14:textId="100D30C9" w:rsidR="008D724E" w:rsidRPr="00032083" w:rsidRDefault="008D724E" w:rsidP="00081FD4">
            <w:pPr>
              <w:pStyle w:val="SDMTableBoxParaNotNumbered"/>
            </w:pPr>
            <w:r w:rsidRPr="00032083">
              <w:t xml:space="preserve">Initial downward adjustment to the </w:t>
            </w:r>
            <w:r w:rsidR="00017494">
              <w:t xml:space="preserve">amount of </w:t>
            </w:r>
            <w:r w:rsidRPr="00032083">
              <w:t>methane in the LFG or in the biomethane which is supplied to consumers in year </w:t>
            </w:r>
            <w:r w:rsidRPr="00032083">
              <w:rPr>
                <w:i/>
              </w:rPr>
              <w:t>y</w:t>
            </w:r>
            <w:r w:rsidRPr="00032083">
              <w:t xml:space="preserve"> (t CH</w:t>
            </w:r>
            <w:r w:rsidRPr="00032083">
              <w:rPr>
                <w:vertAlign w:val="subscript"/>
              </w:rPr>
              <w:t>4</w:t>
            </w:r>
            <w:r w:rsidRPr="00032083">
              <w:t>/year)</w:t>
            </w:r>
            <w:r w:rsidR="00596A03" w:rsidRPr="00032083">
              <w:rPr>
                <w:rFonts w:cs="Arial"/>
              </w:rPr>
              <w:t xml:space="preserve">, determined by replacing </w:t>
            </w:r>
            <m:oMath>
              <m:sSub>
                <m:sSubPr>
                  <m:ctrlPr>
                    <w:rPr>
                      <w:rFonts w:ascii="Cambria Math" w:hAnsi="Cambria Math"/>
                      <w:i/>
                    </w:rPr>
                  </m:ctrlPr>
                </m:sSubPr>
                <m:e>
                  <m:r>
                    <w:rPr>
                      <w:rFonts w:ascii="Cambria Math" w:hAnsi="Cambria Math"/>
                    </w:rPr>
                    <m:t>BE</m:t>
                  </m:r>
                </m:e>
                <m:sub>
                  <m:r>
                    <w:rPr>
                      <w:rFonts w:ascii="Cambria Math" w:hAnsi="Cambria Math"/>
                    </w:rPr>
                    <m:t>act/hist,i,y1</m:t>
                  </m:r>
                </m:sub>
              </m:sSub>
            </m:oMath>
            <w:r w:rsidR="000B4A5D" w:rsidRPr="00357AE3">
              <w:t xml:space="preserve"> by </w:t>
            </w:r>
            <m:oMath>
              <m:sSub>
                <m:sSubPr>
                  <m:ctrlPr>
                    <w:rPr>
                      <w:rFonts w:ascii="Cambria Math" w:hAnsi="Cambria Math"/>
                      <w:i/>
                    </w:rPr>
                  </m:ctrlPr>
                </m:sSubPr>
                <m:e>
                  <m:r>
                    <w:rPr>
                      <w:rFonts w:ascii="Cambria Math" w:hAnsi="Cambria Math"/>
                    </w:rPr>
                    <m:t>F</m:t>
                  </m:r>
                </m:e>
                <m:sub>
                  <m:r>
                    <w:rPr>
                      <w:rFonts w:ascii="Cambria Math" w:hAnsi="Cambria Math"/>
                    </w:rPr>
                    <m:t>CH4,NG,y1</m:t>
                  </m:r>
                </m:sub>
              </m:sSub>
            </m:oMath>
            <w:r w:rsidR="000B4A5D" w:rsidRPr="00357AE3">
              <w:t xml:space="preserve"> </w:t>
            </w:r>
            <w:r w:rsidR="000B4A5D">
              <w:t xml:space="preserve">and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act/hist,i,y1</m:t>
                      </m:r>
                    </m:sub>
                  </m:sSub>
                </m:sub>
              </m:sSub>
            </m:oMath>
            <w:r w:rsidR="000B4A5D" w:rsidRPr="00357AE3">
              <w:t xml:space="preserve"> by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F</m:t>
                      </m:r>
                    </m:e>
                    <m:sub>
                      <m:r>
                        <w:rPr>
                          <w:rFonts w:ascii="Cambria Math" w:hAnsi="Cambria Math"/>
                        </w:rPr>
                        <m:t>CH4,NG,y1</m:t>
                      </m:r>
                    </m:sub>
                  </m:sSub>
                </m:sub>
              </m:sSub>
            </m:oMath>
            <w:r w:rsidR="00596A03" w:rsidRPr="00032083">
              <w:rPr>
                <w:i/>
              </w:rPr>
              <w:t xml:space="preserve"> </w:t>
            </w:r>
            <w:r w:rsidR="00596A03" w:rsidRPr="00032083">
              <w:rPr>
                <w:rFonts w:cs="Arial"/>
              </w:rPr>
              <w:t xml:space="preserve">in </w:t>
            </w:r>
            <w:r w:rsidR="008D0EB8">
              <w:rPr>
                <w:rFonts w:cs="Arial"/>
              </w:rPr>
              <w:t>E</w:t>
            </w:r>
            <w:r w:rsidR="00D92A05">
              <w:rPr>
                <w:rFonts w:cs="Arial"/>
              </w:rPr>
              <w:t xml:space="preserve">quation </w:t>
            </w:r>
            <w:r w:rsidR="002A39A3">
              <w:rPr>
                <w:rFonts w:cs="Arial"/>
              </w:rPr>
              <w:t>(27)</w:t>
            </w:r>
          </w:p>
        </w:tc>
      </w:tr>
      <w:tr w:rsidR="008D724E" w:rsidRPr="00885A21" w14:paraId="2B34C35E" w14:textId="77777777" w:rsidTr="007E5A9B">
        <w:tc>
          <w:tcPr>
            <w:tcW w:w="1701" w:type="dxa"/>
            <w:vAlign w:val="top"/>
          </w:tcPr>
          <w:p w14:paraId="0189007C" w14:textId="77777777" w:rsidR="008D724E" w:rsidRPr="00032083"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CH4,EL,</m:t>
                    </m:r>
                    <m:sSub>
                      <m:sSubPr>
                        <m:ctrlPr>
                          <w:rPr>
                            <w:rFonts w:ascii="Cambria Math" w:hAnsi="Cambria Math" w:cs="Calibri"/>
                            <w:i/>
                            <w:sz w:val="24"/>
                            <w:szCs w:val="24"/>
                          </w:rPr>
                        </m:ctrlPr>
                      </m:sSubPr>
                      <m:e>
                        <m:r>
                          <w:rPr>
                            <w:rFonts w:ascii="Cambria Math" w:hAnsi="Cambria Math"/>
                          </w:rPr>
                          <m:t>y</m:t>
                        </m:r>
                      </m:e>
                      <m:sub>
                        <m:r>
                          <w:rPr>
                            <w:rFonts w:ascii="Cambria Math" w:hAnsi="Cambria Math"/>
                          </w:rPr>
                          <m:t>1</m:t>
                        </m:r>
                      </m:sub>
                    </m:sSub>
                  </m:sub>
                </m:sSub>
              </m:oMath>
            </m:oMathPara>
          </w:p>
        </w:tc>
        <w:tc>
          <w:tcPr>
            <w:tcW w:w="345" w:type="dxa"/>
            <w:vAlign w:val="top"/>
          </w:tcPr>
          <w:p w14:paraId="7FE43F27" w14:textId="77777777" w:rsidR="008D724E" w:rsidRPr="00032083" w:rsidRDefault="008D724E" w:rsidP="00081FD4">
            <w:pPr>
              <w:pStyle w:val="SDMTableBoxParaNotNumbered"/>
            </w:pPr>
            <w:r w:rsidRPr="00032083">
              <w:t>=</w:t>
            </w:r>
          </w:p>
        </w:tc>
        <w:tc>
          <w:tcPr>
            <w:tcW w:w="0" w:type="auto"/>
            <w:vAlign w:val="top"/>
          </w:tcPr>
          <w:p w14:paraId="7257BE84" w14:textId="1779CBCE" w:rsidR="008D724E" w:rsidRPr="00032083" w:rsidRDefault="003F2A7A" w:rsidP="00081FD4">
            <w:pPr>
              <w:pStyle w:val="SDMTableBoxParaNotNumbered"/>
            </w:pPr>
            <w:r>
              <w:rPr>
                <w:rFonts w:cs="Arial"/>
              </w:rPr>
              <w:t>Amount of</w:t>
            </w:r>
            <w:r w:rsidR="008D724E" w:rsidRPr="00032083">
              <w:rPr>
                <w:rFonts w:cs="Arial"/>
              </w:rPr>
              <w:t xml:space="preserve"> methane </w:t>
            </w:r>
            <w:r>
              <w:rPr>
                <w:rFonts w:cs="Arial"/>
              </w:rPr>
              <w:t>in the LFG or in the biomethane</w:t>
            </w:r>
            <w:r w:rsidR="008D724E" w:rsidRPr="00032083">
              <w:rPr>
                <w:rFonts w:cs="Arial"/>
              </w:rPr>
              <w:t xml:space="preserve"> which is used for electricity generation in the calendar year of the start date of the crediting period (t</w:t>
            </w:r>
            <w:r w:rsidR="002555F2">
              <w:rPr>
                <w:rFonts w:cs="Arial"/>
              </w:rPr>
              <w:t> </w:t>
            </w:r>
            <w:r w:rsidR="008D724E" w:rsidRPr="00032083">
              <w:rPr>
                <w:rFonts w:cs="Arial"/>
              </w:rPr>
              <w:t>CH</w:t>
            </w:r>
            <w:r w:rsidR="008D724E" w:rsidRPr="00032083">
              <w:rPr>
                <w:rFonts w:cs="Arial"/>
                <w:vertAlign w:val="subscript"/>
              </w:rPr>
              <w:t>4</w:t>
            </w:r>
            <w:r w:rsidR="008D724E" w:rsidRPr="00032083">
              <w:rPr>
                <w:rFonts w:cs="Arial"/>
              </w:rPr>
              <w:t>/year)</w:t>
            </w:r>
            <w:r w:rsidR="00D92A05">
              <w:rPr>
                <w:rFonts w:cs="Arial"/>
              </w:rPr>
              <w:t xml:space="preserve">, determined based on paragraphs </w:t>
            </w:r>
            <w:r w:rsidR="00D92A05">
              <w:rPr>
                <w:rFonts w:cs="Arial"/>
              </w:rPr>
              <w:fldChar w:fldCharType="begin"/>
            </w:r>
            <w:r w:rsidR="00D92A05">
              <w:rPr>
                <w:rFonts w:cs="Arial"/>
              </w:rPr>
              <w:instrText xml:space="preserve"> REF _Ref211523014 \r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83</w:t>
            </w:r>
            <w:r w:rsidR="00D92A05">
              <w:rPr>
                <w:rFonts w:cs="Arial"/>
              </w:rPr>
              <w:fldChar w:fldCharType="end"/>
            </w:r>
            <w:r w:rsidR="00D92A05">
              <w:rPr>
                <w:rFonts w:cs="Arial"/>
              </w:rPr>
              <w:fldChar w:fldCharType="begin"/>
            </w:r>
            <w:r w:rsidR="00D92A05">
              <w:rPr>
                <w:rFonts w:cs="Arial"/>
              </w:rPr>
              <w:instrText xml:space="preserve"> REF _Ref211523014 \r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83</w:t>
            </w:r>
            <w:r w:rsidR="00D92A05">
              <w:rPr>
                <w:rFonts w:cs="Arial"/>
              </w:rPr>
              <w:fldChar w:fldCharType="end"/>
            </w:r>
            <w:r w:rsidR="00D92A05">
              <w:rPr>
                <w:rFonts w:cs="Arial"/>
              </w:rPr>
              <w:t xml:space="preserve"> and </w:t>
            </w:r>
            <w:r w:rsidR="00D92A05">
              <w:rPr>
                <w:rFonts w:cs="Arial"/>
              </w:rPr>
              <w:fldChar w:fldCharType="begin"/>
            </w:r>
            <w:r w:rsidR="00D92A05">
              <w:rPr>
                <w:rFonts w:cs="Arial"/>
              </w:rPr>
              <w:instrText xml:space="preserve"> REF _Ref211523023 \r \p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84 above</w:t>
            </w:r>
            <w:r w:rsidR="00D92A05">
              <w:rPr>
                <w:rFonts w:cs="Arial"/>
              </w:rPr>
              <w:fldChar w:fldCharType="end"/>
            </w:r>
          </w:p>
        </w:tc>
      </w:tr>
      <w:tr w:rsidR="008D724E" w:rsidRPr="00885A21" w14:paraId="0735E06D" w14:textId="77777777" w:rsidTr="007E5A9B">
        <w:tc>
          <w:tcPr>
            <w:tcW w:w="1701" w:type="dxa"/>
            <w:vAlign w:val="top"/>
          </w:tcPr>
          <w:p w14:paraId="2237B8E7" w14:textId="77777777" w:rsidR="008D724E" w:rsidRPr="00032083"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CH4,HG,</m:t>
                    </m:r>
                    <m:sSub>
                      <m:sSubPr>
                        <m:ctrlPr>
                          <w:rPr>
                            <w:rFonts w:ascii="Cambria Math" w:hAnsi="Cambria Math" w:cs="Calibri"/>
                            <w:i/>
                            <w:sz w:val="24"/>
                            <w:szCs w:val="24"/>
                          </w:rPr>
                        </m:ctrlPr>
                      </m:sSubPr>
                      <m:e>
                        <m:r>
                          <w:rPr>
                            <w:rFonts w:ascii="Cambria Math" w:hAnsi="Cambria Math"/>
                          </w:rPr>
                          <m:t>y</m:t>
                        </m:r>
                      </m:e>
                      <m:sub>
                        <m:r>
                          <w:rPr>
                            <w:rFonts w:ascii="Cambria Math" w:hAnsi="Cambria Math"/>
                          </w:rPr>
                          <m:t>1</m:t>
                        </m:r>
                      </m:sub>
                    </m:sSub>
                  </m:sub>
                </m:sSub>
              </m:oMath>
            </m:oMathPara>
          </w:p>
        </w:tc>
        <w:tc>
          <w:tcPr>
            <w:tcW w:w="345" w:type="dxa"/>
            <w:vAlign w:val="top"/>
          </w:tcPr>
          <w:p w14:paraId="4EBD41E5" w14:textId="77777777" w:rsidR="008D724E" w:rsidRPr="00032083" w:rsidRDefault="008D724E" w:rsidP="00081FD4">
            <w:pPr>
              <w:pStyle w:val="SDMTableBoxParaNotNumbered"/>
            </w:pPr>
            <w:r w:rsidRPr="00032083">
              <w:t>=</w:t>
            </w:r>
          </w:p>
        </w:tc>
        <w:tc>
          <w:tcPr>
            <w:tcW w:w="0" w:type="auto"/>
            <w:vAlign w:val="top"/>
          </w:tcPr>
          <w:p w14:paraId="4D95CF13" w14:textId="43A7FB9A" w:rsidR="008D724E" w:rsidRPr="00032083" w:rsidRDefault="003F2A7A" w:rsidP="00081FD4">
            <w:pPr>
              <w:pStyle w:val="SDMTableBoxParaNotNumbered"/>
              <w:rPr>
                <w:rFonts w:cs="Arial"/>
              </w:rPr>
            </w:pPr>
            <w:r>
              <w:rPr>
                <w:rFonts w:cs="Arial"/>
              </w:rPr>
              <w:t>Amount of</w:t>
            </w:r>
            <w:r w:rsidR="008D724E" w:rsidRPr="00032083">
              <w:rPr>
                <w:rFonts w:cs="Arial"/>
              </w:rPr>
              <w:t xml:space="preserve"> methane </w:t>
            </w:r>
            <w:r>
              <w:rPr>
                <w:rFonts w:cs="Arial"/>
              </w:rPr>
              <w:t>in the LFG or in the biomethane</w:t>
            </w:r>
            <w:r w:rsidR="008D724E" w:rsidRPr="00032083">
              <w:rPr>
                <w:rFonts w:cs="Arial"/>
              </w:rPr>
              <w:t xml:space="preserve"> which is used for heat generation in the calendar year of the start date of the crediting period (t</w:t>
            </w:r>
            <w:r w:rsidR="002555F2">
              <w:rPr>
                <w:rFonts w:cs="Arial"/>
              </w:rPr>
              <w:t> </w:t>
            </w:r>
            <w:r w:rsidR="008D724E" w:rsidRPr="00032083">
              <w:rPr>
                <w:rFonts w:cs="Arial"/>
              </w:rPr>
              <w:t>CH</w:t>
            </w:r>
            <w:r w:rsidR="008D724E" w:rsidRPr="00032083">
              <w:rPr>
                <w:rFonts w:cs="Arial"/>
                <w:vertAlign w:val="subscript"/>
              </w:rPr>
              <w:t>4</w:t>
            </w:r>
            <w:r w:rsidR="008D724E" w:rsidRPr="00032083">
              <w:rPr>
                <w:rFonts w:cs="Arial"/>
              </w:rPr>
              <w:t>/year)</w:t>
            </w:r>
            <w:r w:rsidR="00D92A05">
              <w:rPr>
                <w:rFonts w:cs="Arial"/>
              </w:rPr>
              <w:t xml:space="preserve">, determined based on paragraphs </w:t>
            </w:r>
            <w:r w:rsidR="00D92A05">
              <w:rPr>
                <w:rFonts w:cs="Arial"/>
              </w:rPr>
              <w:fldChar w:fldCharType="begin"/>
            </w:r>
            <w:r w:rsidR="00D92A05">
              <w:rPr>
                <w:rFonts w:cs="Arial"/>
              </w:rPr>
              <w:instrText xml:space="preserve"> REF _Ref211523014 \r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83</w:t>
            </w:r>
            <w:r w:rsidR="00D92A05">
              <w:rPr>
                <w:rFonts w:cs="Arial"/>
              </w:rPr>
              <w:fldChar w:fldCharType="end"/>
            </w:r>
            <w:r w:rsidR="00D92A05">
              <w:rPr>
                <w:rFonts w:cs="Arial"/>
              </w:rPr>
              <w:fldChar w:fldCharType="begin"/>
            </w:r>
            <w:r w:rsidR="00D92A05">
              <w:rPr>
                <w:rFonts w:cs="Arial"/>
              </w:rPr>
              <w:instrText xml:space="preserve"> REF _Ref211523014 \r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83</w:t>
            </w:r>
            <w:r w:rsidR="00D92A05">
              <w:rPr>
                <w:rFonts w:cs="Arial"/>
              </w:rPr>
              <w:fldChar w:fldCharType="end"/>
            </w:r>
            <w:r w:rsidR="00D92A05">
              <w:rPr>
                <w:rFonts w:cs="Arial"/>
              </w:rPr>
              <w:t xml:space="preserve"> and </w:t>
            </w:r>
            <w:r w:rsidR="00D92A05">
              <w:rPr>
                <w:rFonts w:cs="Arial"/>
              </w:rPr>
              <w:fldChar w:fldCharType="begin"/>
            </w:r>
            <w:r w:rsidR="00D92A05">
              <w:rPr>
                <w:rFonts w:cs="Arial"/>
              </w:rPr>
              <w:instrText xml:space="preserve"> REF _Ref211523023 \r \p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84 above</w:t>
            </w:r>
            <w:r w:rsidR="00D92A05">
              <w:rPr>
                <w:rFonts w:cs="Arial"/>
              </w:rPr>
              <w:fldChar w:fldCharType="end"/>
            </w:r>
          </w:p>
        </w:tc>
      </w:tr>
      <w:tr w:rsidR="008D724E" w:rsidRPr="00885A21" w14:paraId="42E8959E" w14:textId="77777777" w:rsidTr="007E5A9B">
        <w:tc>
          <w:tcPr>
            <w:tcW w:w="1701" w:type="dxa"/>
            <w:vAlign w:val="top"/>
          </w:tcPr>
          <w:p w14:paraId="38EF64E1" w14:textId="77777777" w:rsidR="008D724E" w:rsidRPr="00032083"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CH4,NG,</m:t>
                    </m:r>
                    <m:sSub>
                      <m:sSubPr>
                        <m:ctrlPr>
                          <w:rPr>
                            <w:rFonts w:ascii="Cambria Math" w:hAnsi="Cambria Math" w:cs="Calibri"/>
                            <w:i/>
                            <w:sz w:val="24"/>
                            <w:szCs w:val="24"/>
                          </w:rPr>
                        </m:ctrlPr>
                      </m:sSubPr>
                      <m:e>
                        <m:r>
                          <w:rPr>
                            <w:rFonts w:ascii="Cambria Math" w:hAnsi="Cambria Math"/>
                          </w:rPr>
                          <m:t>y</m:t>
                        </m:r>
                      </m:e>
                      <m:sub>
                        <m:r>
                          <w:rPr>
                            <w:rFonts w:ascii="Cambria Math" w:hAnsi="Cambria Math"/>
                          </w:rPr>
                          <m:t>1</m:t>
                        </m:r>
                      </m:sub>
                    </m:sSub>
                  </m:sub>
                </m:sSub>
              </m:oMath>
            </m:oMathPara>
          </w:p>
        </w:tc>
        <w:tc>
          <w:tcPr>
            <w:tcW w:w="345" w:type="dxa"/>
            <w:vAlign w:val="top"/>
          </w:tcPr>
          <w:p w14:paraId="52FDD6D1" w14:textId="77777777" w:rsidR="008D724E" w:rsidRPr="00032083" w:rsidRDefault="008D724E" w:rsidP="00081FD4">
            <w:pPr>
              <w:pStyle w:val="SDMTableBoxParaNotNumbered"/>
            </w:pPr>
            <w:r w:rsidRPr="00032083">
              <w:t>=</w:t>
            </w:r>
          </w:p>
        </w:tc>
        <w:tc>
          <w:tcPr>
            <w:tcW w:w="0" w:type="auto"/>
            <w:vAlign w:val="top"/>
          </w:tcPr>
          <w:p w14:paraId="6F26E9E9" w14:textId="5976F190" w:rsidR="008D724E" w:rsidRPr="00032083" w:rsidRDefault="002555F2" w:rsidP="00081FD4">
            <w:pPr>
              <w:pStyle w:val="SDMTableBoxParaNotNumbered"/>
              <w:rPr>
                <w:rFonts w:cs="Arial"/>
              </w:rPr>
            </w:pPr>
            <w:r>
              <w:rPr>
                <w:rFonts w:cs="Arial"/>
              </w:rPr>
              <w:t>Amount of</w:t>
            </w:r>
            <w:r w:rsidR="008D724E" w:rsidRPr="00032083">
              <w:rPr>
                <w:rFonts w:cs="Arial"/>
              </w:rPr>
              <w:t xml:space="preserve"> methane </w:t>
            </w:r>
            <w:r>
              <w:rPr>
                <w:rFonts w:cs="Arial"/>
              </w:rPr>
              <w:t>in the LFG or in the biomethane</w:t>
            </w:r>
            <w:r w:rsidR="008D724E" w:rsidRPr="00032083">
              <w:rPr>
                <w:rFonts w:cs="Arial"/>
              </w:rPr>
              <w:t xml:space="preserve"> which is supplied to consumers in the calendar year of the start date of the crediting period (t</w:t>
            </w:r>
            <w:r>
              <w:rPr>
                <w:rFonts w:cs="Arial"/>
              </w:rPr>
              <w:t> </w:t>
            </w:r>
            <w:r w:rsidR="008D724E" w:rsidRPr="00032083">
              <w:rPr>
                <w:rFonts w:cs="Arial"/>
              </w:rPr>
              <w:t>CH</w:t>
            </w:r>
            <w:r w:rsidR="008D724E" w:rsidRPr="00032083">
              <w:rPr>
                <w:rFonts w:cs="Arial"/>
                <w:vertAlign w:val="subscript"/>
              </w:rPr>
              <w:t>4</w:t>
            </w:r>
            <w:r w:rsidR="008D724E" w:rsidRPr="00032083">
              <w:rPr>
                <w:rFonts w:cs="Arial"/>
              </w:rPr>
              <w:t>/year)</w:t>
            </w:r>
            <w:r w:rsidR="00D92A05">
              <w:rPr>
                <w:rFonts w:cs="Arial"/>
              </w:rPr>
              <w:t xml:space="preserve">, determined based on paragraphs </w:t>
            </w:r>
            <w:r w:rsidR="00D92A05">
              <w:rPr>
                <w:rFonts w:cs="Arial"/>
              </w:rPr>
              <w:fldChar w:fldCharType="begin"/>
            </w:r>
            <w:r w:rsidR="00D92A05">
              <w:rPr>
                <w:rFonts w:cs="Arial"/>
              </w:rPr>
              <w:instrText xml:space="preserve"> REF _Ref211523014 \r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83</w:t>
            </w:r>
            <w:r w:rsidR="00D92A05">
              <w:rPr>
                <w:rFonts w:cs="Arial"/>
              </w:rPr>
              <w:fldChar w:fldCharType="end"/>
            </w:r>
            <w:r w:rsidR="00D92A05">
              <w:rPr>
                <w:rFonts w:cs="Arial"/>
              </w:rPr>
              <w:fldChar w:fldCharType="begin"/>
            </w:r>
            <w:r w:rsidR="00D92A05">
              <w:rPr>
                <w:rFonts w:cs="Arial"/>
              </w:rPr>
              <w:instrText xml:space="preserve"> REF _Ref211523014 \r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83</w:t>
            </w:r>
            <w:r w:rsidR="00D92A05">
              <w:rPr>
                <w:rFonts w:cs="Arial"/>
              </w:rPr>
              <w:fldChar w:fldCharType="end"/>
            </w:r>
            <w:r w:rsidR="00D92A05">
              <w:rPr>
                <w:rFonts w:cs="Arial"/>
              </w:rPr>
              <w:t xml:space="preserve"> and </w:t>
            </w:r>
            <w:r w:rsidR="00D92A05">
              <w:rPr>
                <w:rFonts w:cs="Arial"/>
              </w:rPr>
              <w:fldChar w:fldCharType="begin"/>
            </w:r>
            <w:r w:rsidR="00D92A05">
              <w:rPr>
                <w:rFonts w:cs="Arial"/>
              </w:rPr>
              <w:instrText xml:space="preserve"> REF _Ref211523023 \r \p \h </w:instrText>
            </w:r>
            <w:r w:rsidR="00F21BF2">
              <w:rPr>
                <w:rFonts w:cs="Arial"/>
              </w:rPr>
              <w:instrText xml:space="preserve"> \* MERGEFORMAT </w:instrText>
            </w:r>
            <w:r w:rsidR="00D92A05">
              <w:rPr>
                <w:rFonts w:cs="Arial"/>
              </w:rPr>
            </w:r>
            <w:r w:rsidR="00D92A05">
              <w:rPr>
                <w:rFonts w:cs="Arial"/>
              </w:rPr>
              <w:fldChar w:fldCharType="separate"/>
            </w:r>
            <w:r w:rsidR="00302468">
              <w:rPr>
                <w:rFonts w:cs="Arial"/>
                <w:cs/>
              </w:rPr>
              <w:t>‎</w:t>
            </w:r>
            <w:r w:rsidR="00302468">
              <w:rPr>
                <w:rFonts w:cs="Arial"/>
              </w:rPr>
              <w:t>84 above</w:t>
            </w:r>
            <w:r w:rsidR="00D92A05">
              <w:rPr>
                <w:rFonts w:cs="Arial"/>
              </w:rPr>
              <w:fldChar w:fldCharType="end"/>
            </w:r>
          </w:p>
        </w:tc>
      </w:tr>
      <w:tr w:rsidR="008D724E" w:rsidRPr="00885A21" w14:paraId="10189504" w14:textId="77777777" w:rsidTr="007E5A9B">
        <w:tc>
          <w:tcPr>
            <w:tcW w:w="1701" w:type="dxa"/>
            <w:vAlign w:val="top"/>
          </w:tcPr>
          <w:p w14:paraId="6FC09F8B" w14:textId="77777777" w:rsidR="008D724E" w:rsidRPr="00032083" w:rsidRDefault="00001FD4" w:rsidP="00081FD4">
            <w:pPr>
              <w:pStyle w:val="SDMTableBoxParaNotNumbered"/>
              <w:rPr>
                <w:i/>
              </w:rPr>
            </w:pPr>
            <m:oMathPara>
              <m:oMathParaPr>
                <m:jc m:val="left"/>
              </m:oMathParaPr>
              <m:oMath>
                <m:r>
                  <w:rPr>
                    <w:rFonts w:ascii="Cambria Math" w:hAnsi="Cambria Math" w:cs="Arial"/>
                  </w:rPr>
                  <m:t>y</m:t>
                </m:r>
              </m:oMath>
            </m:oMathPara>
          </w:p>
        </w:tc>
        <w:tc>
          <w:tcPr>
            <w:tcW w:w="345" w:type="dxa"/>
            <w:vAlign w:val="top"/>
          </w:tcPr>
          <w:p w14:paraId="4BB58CD5" w14:textId="77777777" w:rsidR="008D724E" w:rsidRPr="00032083" w:rsidRDefault="008D724E" w:rsidP="00081FD4">
            <w:pPr>
              <w:pStyle w:val="SDMTableBoxParaNotNumbered"/>
            </w:pPr>
            <w:r w:rsidRPr="00032083">
              <w:rPr>
                <w:rFonts w:cs="Arial"/>
              </w:rPr>
              <w:t>=</w:t>
            </w:r>
          </w:p>
        </w:tc>
        <w:tc>
          <w:tcPr>
            <w:tcW w:w="0" w:type="auto"/>
            <w:vAlign w:val="top"/>
          </w:tcPr>
          <w:p w14:paraId="0EE8B29B" w14:textId="256E1202" w:rsidR="008D724E" w:rsidRPr="00032083" w:rsidRDefault="008D724E" w:rsidP="00081FD4">
            <w:pPr>
              <w:pStyle w:val="SDMTableBoxParaNotNumbered"/>
            </w:pPr>
            <w:r w:rsidRPr="00032083">
              <w:rPr>
                <w:rFonts w:cs="Arial"/>
              </w:rPr>
              <w:t>Calendar years of the crediting period after the calendar year of the start date of the first crediting period</w:t>
            </w:r>
          </w:p>
        </w:tc>
      </w:tr>
      <w:tr w:rsidR="008D724E" w:rsidRPr="00885A21" w14:paraId="69DAF824" w14:textId="77777777" w:rsidTr="007E5A9B">
        <w:tc>
          <w:tcPr>
            <w:tcW w:w="1701" w:type="dxa"/>
            <w:vAlign w:val="top"/>
          </w:tcPr>
          <w:p w14:paraId="1A19707B" w14:textId="77777777" w:rsidR="008D724E" w:rsidRPr="00032083" w:rsidRDefault="00302468" w:rsidP="00081FD4">
            <w:pPr>
              <w:pStyle w:val="SDMTableBoxParaNotNumbered"/>
              <w:rPr>
                <w:i/>
              </w:rPr>
            </w:pPr>
            <m:oMathPara>
              <m:oMathParaPr>
                <m:jc m:val="left"/>
              </m:oMathParaP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oMath>
            </m:oMathPara>
          </w:p>
        </w:tc>
        <w:tc>
          <w:tcPr>
            <w:tcW w:w="345" w:type="dxa"/>
            <w:vAlign w:val="top"/>
          </w:tcPr>
          <w:p w14:paraId="5CFCD0BC" w14:textId="77777777" w:rsidR="008D724E" w:rsidRPr="00032083" w:rsidRDefault="008D724E" w:rsidP="00081FD4">
            <w:pPr>
              <w:pStyle w:val="SDMTableBoxParaNotNumbered"/>
            </w:pPr>
            <w:r w:rsidRPr="00032083">
              <w:rPr>
                <w:rFonts w:cs="Arial"/>
              </w:rPr>
              <w:t>=</w:t>
            </w:r>
          </w:p>
        </w:tc>
        <w:tc>
          <w:tcPr>
            <w:tcW w:w="0" w:type="auto"/>
            <w:vAlign w:val="top"/>
          </w:tcPr>
          <w:p w14:paraId="69E0A305" w14:textId="77777777" w:rsidR="008D724E" w:rsidRPr="00885A21" w:rsidRDefault="008D724E" w:rsidP="00081FD4">
            <w:pPr>
              <w:pStyle w:val="SDMTableBoxParaNotNumbered"/>
            </w:pPr>
            <w:r w:rsidRPr="00032083">
              <w:rPr>
                <w:rFonts w:cs="Arial"/>
              </w:rPr>
              <w:t>Calendar year of the start date of the first crediting period</w:t>
            </w:r>
          </w:p>
        </w:tc>
      </w:tr>
    </w:tbl>
    <w:p w14:paraId="19DC3B33" w14:textId="41E282AA" w:rsidR="00001FD4" w:rsidRPr="00032083" w:rsidRDefault="00001FD4" w:rsidP="00E66E80">
      <w:pPr>
        <w:pStyle w:val="SDMPara"/>
      </w:pPr>
      <w:r w:rsidRPr="00032083">
        <w:t xml:space="preserve">For Article 6.4 activities implemented in new SWDSs, </w:t>
      </w:r>
      <w:r w:rsidR="00D14A3E">
        <w:t xml:space="preserve">the parameters </w:t>
      </w:r>
      <m:oMath>
        <m:sSub>
          <m:sSubPr>
            <m:ctrlPr>
              <w:rPr>
                <w:rFonts w:ascii="Cambria Math" w:hAnsi="Cambria Math"/>
              </w:rPr>
            </m:ctrlPr>
          </m:sSubPr>
          <m:e>
            <m:r>
              <w:rPr>
                <w:rFonts w:ascii="Cambria Math" w:hAnsi="Cambria Math"/>
              </w:rPr>
              <m:t>DA</m:t>
            </m:r>
          </m:e>
          <m:sub>
            <m:r>
              <w:rPr>
                <w:rFonts w:ascii="Cambria Math" w:hAnsi="Cambria Math"/>
              </w:rPr>
              <m:t>CH4,flared,y1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 xml:space="preserve"> DA</m:t>
            </m:r>
          </m:e>
          <m:sub>
            <m:r>
              <w:rPr>
                <w:rFonts w:ascii="Cambria Math" w:hAnsi="Cambria Math"/>
              </w:rPr>
              <m:t>CH4,EL,y1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 xml:space="preserve"> DA</m:t>
            </m:r>
          </m:e>
          <m:sub>
            <m:r>
              <w:rPr>
                <w:rFonts w:ascii="Cambria Math" w:hAnsi="Cambria Math"/>
              </w:rPr>
              <m:t>CH4,HG,y1</m:t>
            </m:r>
          </m:sub>
        </m:sSub>
        <m:r>
          <m:rPr>
            <m:sty m:val="p"/>
          </m:rPr>
          <w:rPr>
            <w:rFonts w:ascii="Cambria Math" w:hAnsi="Cambria Math"/>
          </w:rPr>
          <m:t xml:space="preserve"> and </m:t>
        </m:r>
        <m:sSub>
          <m:sSubPr>
            <m:ctrlPr>
              <w:rPr>
                <w:rFonts w:ascii="Cambria Math" w:hAnsi="Cambria Math"/>
              </w:rPr>
            </m:ctrlPr>
          </m:sSubPr>
          <m:e>
            <m:r>
              <w:rPr>
                <w:rFonts w:ascii="Cambria Math" w:hAnsi="Cambria Math"/>
              </w:rPr>
              <m:t>DA</m:t>
            </m:r>
          </m:e>
          <m:sub>
            <m:r>
              <w:rPr>
                <w:rFonts w:ascii="Cambria Math" w:hAnsi="Cambria Math"/>
              </w:rPr>
              <m:t>CH4,NG,y1</m:t>
            </m:r>
          </m:sub>
        </m:sSub>
        <m:r>
          <m:rPr>
            <m:sty m:val="p"/>
          </m:rPr>
          <w:rPr>
            <w:rFonts w:ascii="Cambria Math" w:hAnsi="Cambria Math"/>
          </w:rPr>
          <m:t xml:space="preserve"> </m:t>
        </m:r>
      </m:oMath>
      <w:r w:rsidR="00D14A3E">
        <w:t xml:space="preserve">are </w:t>
      </w:r>
      <w:r w:rsidRPr="00032083">
        <w:t>equal to 0.</w:t>
      </w:r>
    </w:p>
    <w:p w14:paraId="3C5DB45E" w14:textId="4C3C578D" w:rsidR="001678DA" w:rsidRDefault="00CB394A" w:rsidP="00E66E80">
      <w:pPr>
        <w:pStyle w:val="SDMPara"/>
      </w:pPr>
      <w:r w:rsidRPr="00032083">
        <w:t xml:space="preserve">The degree of downward adjustment in subsequent years </w:t>
      </w:r>
      <w:r w:rsidR="00D96008" w:rsidRPr="00032083">
        <w:t xml:space="preserve">in </w:t>
      </w:r>
      <w:r w:rsidR="000E0F13">
        <w:t>E</w:t>
      </w:r>
      <w:r w:rsidRPr="00032083">
        <w:t>quations (</w:t>
      </w:r>
      <w:r w:rsidR="007260FE">
        <w:t>28</w:t>
      </w:r>
      <w:r w:rsidRPr="00032083">
        <w:t>) to (</w:t>
      </w:r>
      <w:r w:rsidR="007260FE">
        <w:t>32</w:t>
      </w:r>
      <w:r w:rsidRPr="00032083">
        <w:t>) is informed by the principles and considerations referred to in paragraph 70 of the</w:t>
      </w:r>
      <w:r w:rsidR="007260FE">
        <w:t xml:space="preserve"> baseline standard</w:t>
      </w:r>
      <w:r w:rsidRPr="00032083">
        <w:t xml:space="preserve">. </w:t>
      </w:r>
      <w:r w:rsidR="00D96008" w:rsidRPr="00032083">
        <w:t>In the case of utilization of the landfill gas, the minimum downward adjustment of 1</w:t>
      </w:r>
      <w:r w:rsidR="00F114C9">
        <w:t xml:space="preserve"> per cent</w:t>
      </w:r>
      <w:r w:rsidR="00D96008" w:rsidRPr="00032083">
        <w:t xml:space="preserve"> per calendar is applied. </w:t>
      </w:r>
      <w:r w:rsidR="00B7267F">
        <w:t xml:space="preserve">This also applies </w:t>
      </w:r>
      <w:r w:rsidR="00D03216">
        <w:t>to any back-up flaring that does not exceed 10</w:t>
      </w:r>
      <w:r w:rsidR="00F114C9">
        <w:t xml:space="preserve"> per cent</w:t>
      </w:r>
      <w:r w:rsidR="00D03216">
        <w:t xml:space="preserve"> of the amount methane utilised</w:t>
      </w:r>
      <w:r w:rsidR="00745028">
        <w:t xml:space="preserve">. </w:t>
      </w:r>
      <w:r w:rsidR="00D96008" w:rsidRPr="00032083">
        <w:t xml:space="preserve">In the case of flaring landfill gas, a higher downward adjustment is applied as an approach to providing incentives for </w:t>
      </w:r>
      <w:r w:rsidR="00217701" w:rsidRPr="00032083">
        <w:t xml:space="preserve">adopting landfill gas utilization which is a less GHG intensive technology and </w:t>
      </w:r>
      <w:r w:rsidR="00281FE7">
        <w:t xml:space="preserve">to reducing the risk of </w:t>
      </w:r>
      <w:r w:rsidR="00217701" w:rsidRPr="00032083">
        <w:t>locking-in the levels of emissions and carbon-intensive technologies associated with landfill gas</w:t>
      </w:r>
      <w:r w:rsidR="00F11784" w:rsidRPr="00032083">
        <w:t xml:space="preserve"> flaring</w:t>
      </w:r>
      <w:r w:rsidR="00217701" w:rsidRPr="00032083">
        <w:t>.</w:t>
      </w:r>
      <w:r w:rsidR="003C07BF">
        <w:t xml:space="preserve"> </w:t>
      </w:r>
      <w:r w:rsidR="003816E8">
        <w:t>In this case, the degree of downward adjustment also depends on the size of the plant and the financial viability of utilizing the LFG.</w:t>
      </w:r>
    </w:p>
    <w:p w14:paraId="2CAF316C" w14:textId="3039ADCB" w:rsidR="00A02396" w:rsidRPr="005746E8" w:rsidRDefault="00254FB5" w:rsidP="00DA05CE">
      <w:pPr>
        <w:pStyle w:val="SDMPara"/>
        <w:keepNext/>
      </w:pPr>
      <w:r w:rsidRPr="005746E8">
        <w:t>Based on these considerations</w:t>
      </w:r>
      <w:r w:rsidR="003C07BF" w:rsidRPr="005746E8">
        <w:t xml:space="preserve">, the </w:t>
      </w:r>
      <w:r w:rsidR="00AF3431" w:rsidRPr="005746E8">
        <w:t xml:space="preserve">increase in the </w:t>
      </w:r>
      <w:r w:rsidR="003C07BF" w:rsidRPr="005746E8">
        <w:t xml:space="preserve">downward adjustment factor </w:t>
      </w:r>
      <w:r w:rsidR="00AF3431" w:rsidRPr="005746E8">
        <w:t>in</w:t>
      </w:r>
      <w:r w:rsidR="00317FCF" w:rsidRPr="005746E8">
        <w:t xml:space="preserve"> subsequent years </w:t>
      </w:r>
      <w:r w:rsidR="001678DA" w:rsidRPr="005746E8">
        <w:t>for the amount of methane in the LFG which is flared (</w:t>
      </w:r>
      <w:r w:rsidR="00AF3431" w:rsidRPr="005746E8">
        <w:rPr>
          <w:i/>
        </w:rPr>
        <w:t>IN</w:t>
      </w:r>
      <w:r w:rsidR="001678DA" w:rsidRPr="005746E8">
        <w:rPr>
          <w:i/>
        </w:rPr>
        <w:t>DA</w:t>
      </w:r>
      <w:r w:rsidR="009F45C5" w:rsidRPr="005746E8">
        <w:rPr>
          <w:i/>
          <w:vertAlign w:val="subscript"/>
        </w:rPr>
        <w:t>flare</w:t>
      </w:r>
      <w:r w:rsidR="009F45C5" w:rsidRPr="005746E8">
        <w:t xml:space="preserve">) </w:t>
      </w:r>
      <w:r w:rsidR="00794A9A" w:rsidRPr="005746E8">
        <w:t>shall be determined as follows:</w:t>
      </w:r>
    </w:p>
    <w:p w14:paraId="6CBBB262" w14:textId="59FC6B71" w:rsidR="001615F7" w:rsidRPr="005746E8" w:rsidRDefault="008C321B" w:rsidP="00DA05CE">
      <w:pPr>
        <w:pStyle w:val="SDMSubPara1"/>
        <w:keepNext/>
      </w:pPr>
      <w:bookmarkStart w:id="307" w:name="_Ref207834364"/>
      <w:bookmarkStart w:id="308" w:name="_Ref205818803"/>
      <w:bookmarkStart w:id="309" w:name="_Ref207181958"/>
      <w:bookmarkStart w:id="310" w:name="_Ref210746911"/>
      <w:r w:rsidRPr="005746E8">
        <w:rPr>
          <w:b/>
        </w:rPr>
        <w:t>Flaring only:</w:t>
      </w:r>
      <w:r w:rsidR="00F94B9D" w:rsidRPr="005746E8">
        <w:t xml:space="preserve"> </w:t>
      </w:r>
      <w:r w:rsidR="001615F7" w:rsidRPr="005746E8">
        <w:t>For Article 6.4 activities that involve flaring only (i.e. no utilization of methane for electricity generation, heat generation and/or supplying consumers):</w:t>
      </w:r>
    </w:p>
    <w:p w14:paraId="3BC8D354" w14:textId="77777777" w:rsidR="001615F7" w:rsidRPr="005746E8" w:rsidRDefault="001615F7" w:rsidP="00DA05CE">
      <w:pPr>
        <w:pStyle w:val="SDMSubPara2"/>
        <w:keepNext/>
      </w:pPr>
      <w:r w:rsidRPr="005746E8">
        <w:t>Use a value of 0.05 if the following conditions apply:</w:t>
      </w:r>
    </w:p>
    <w:p w14:paraId="77B74917" w14:textId="272DFBB4" w:rsidR="001615F7" w:rsidRPr="005746E8" w:rsidRDefault="001615F7" w:rsidP="00E66E80">
      <w:pPr>
        <w:pStyle w:val="SDMSubPara3"/>
      </w:pPr>
      <w:r w:rsidRPr="005746E8">
        <w:t>The amount of LFG captured from the SWDS would not be sufficient to continuously operate an electricity generation plant with a</w:t>
      </w:r>
      <w:r w:rsidR="00D00FA2" w:rsidRPr="005746E8">
        <w:t>n electric</w:t>
      </w:r>
      <w:r w:rsidRPr="005746E8">
        <w:t xml:space="preserve"> capacity equal to or larger than </w:t>
      </w:r>
      <w:r w:rsidR="00615E23" w:rsidRPr="005746E8">
        <w:t>5</w:t>
      </w:r>
      <w:r w:rsidRPr="005746E8">
        <w:t xml:space="preserve"> MW; and</w:t>
      </w:r>
    </w:p>
    <w:p w14:paraId="4D7C0259" w14:textId="0CCD127C" w:rsidR="001615F7" w:rsidRPr="005746E8" w:rsidRDefault="001615F7" w:rsidP="00E66E80">
      <w:pPr>
        <w:pStyle w:val="SDMSubPara3"/>
      </w:pPr>
      <w:r w:rsidRPr="005746E8">
        <w:t xml:space="preserve">The activity participants are able to prove that, for the specific circumstances of the SWDS, </w:t>
      </w:r>
      <w:r w:rsidR="009C58FB" w:rsidRPr="005746E8">
        <w:t>electricity</w:t>
      </w:r>
      <w:r w:rsidRPr="005746E8">
        <w:t xml:space="preserve"> </w:t>
      </w:r>
      <w:r w:rsidR="00B92C93" w:rsidRPr="005746E8">
        <w:t xml:space="preserve">or heat </w:t>
      </w:r>
      <w:r w:rsidRPr="005746E8">
        <w:t>generation or supply of LFG or biomethane to consumers is not financially attractive, even when including the revenues from A6.4ERs;</w:t>
      </w:r>
    </w:p>
    <w:p w14:paraId="25385A5A" w14:textId="5BD74451" w:rsidR="00EC6C22" w:rsidRPr="005746E8" w:rsidRDefault="001615F7" w:rsidP="00E66E80">
      <w:pPr>
        <w:pStyle w:val="SDMSubPara2"/>
      </w:pPr>
      <w:r w:rsidRPr="005746E8">
        <w:t>Use a value of 0.1 where the conditions in (i) above are not met</w:t>
      </w:r>
      <w:r w:rsidR="00F21BF2">
        <w:t>.</w:t>
      </w:r>
    </w:p>
    <w:p w14:paraId="2C08E985" w14:textId="02CD59EB" w:rsidR="00EC6C22" w:rsidRPr="005746E8" w:rsidRDefault="008C321B" w:rsidP="007D034D">
      <w:pPr>
        <w:pStyle w:val="SDMSubPara1"/>
      </w:pPr>
      <w:r w:rsidRPr="005746E8">
        <w:rPr>
          <w:b/>
        </w:rPr>
        <w:t>Utilization with a back-up flare</w:t>
      </w:r>
      <w:r w:rsidR="00F94B9D" w:rsidRPr="005746E8">
        <w:rPr>
          <w:b/>
        </w:rPr>
        <w:t>:</w:t>
      </w:r>
      <w:r w:rsidR="00F94B9D" w:rsidRPr="005746E8">
        <w:t xml:space="preserve"> For Article 6.4 activities that involve the utilization of methane for electricity generation, heat generation and/or supplying consumers and operates a back-up flare:</w:t>
      </w:r>
    </w:p>
    <w:p w14:paraId="1FD66C3C" w14:textId="11ABF9AD" w:rsidR="0087652D" w:rsidRPr="005746E8" w:rsidRDefault="00F94B9D" w:rsidP="00E66E80">
      <w:pPr>
        <w:pStyle w:val="SDMSubPara2"/>
      </w:pPr>
      <w:r w:rsidRPr="005746E8">
        <w:t xml:space="preserve">Use a value of </w:t>
      </w:r>
      <w:r w:rsidR="00426097" w:rsidRPr="005746E8">
        <w:t xml:space="preserve">0.01 for </w:t>
      </w:r>
      <w:r w:rsidR="001764F2" w:rsidRPr="005746E8">
        <w:t>up the</w:t>
      </w:r>
      <w:r w:rsidR="00426097" w:rsidRPr="005746E8">
        <w:t xml:space="preserve"> amount of methane in the LFG that is supplied to the </w:t>
      </w:r>
      <w:r w:rsidR="00A33A57" w:rsidRPr="005746E8">
        <w:t xml:space="preserve">back flare </w:t>
      </w:r>
      <w:r w:rsidR="0087652D" w:rsidRPr="005746E8">
        <w:t>and that does not exceed 10</w:t>
      </w:r>
      <w:r w:rsidR="00F114C9">
        <w:t xml:space="preserve"> per cent</w:t>
      </w:r>
      <w:r w:rsidR="0087652D" w:rsidRPr="005746E8">
        <w:t xml:space="preserve"> of the amount of methane in the LFG or biomethane that is utilized;</w:t>
      </w:r>
    </w:p>
    <w:p w14:paraId="177090D4" w14:textId="6ED46528" w:rsidR="001764F2" w:rsidRPr="005746E8" w:rsidRDefault="001764F2" w:rsidP="00E66E80">
      <w:pPr>
        <w:pStyle w:val="SDMSubPara2"/>
      </w:pPr>
      <w:r w:rsidRPr="005746E8">
        <w:t xml:space="preserve">Use a value of 0.1 for any amount of methane in the LFG that is supplied to the back flare and </w:t>
      </w:r>
      <w:r w:rsidR="000250B9" w:rsidRPr="005746E8">
        <w:t xml:space="preserve">that </w:t>
      </w:r>
      <w:r w:rsidRPr="005746E8">
        <w:t xml:space="preserve">exceeds the </w:t>
      </w:r>
      <w:r w:rsidR="000250B9" w:rsidRPr="005746E8">
        <w:t>amount referred to in sub-paragraph</w:t>
      </w:r>
      <w:r w:rsidR="001210CC">
        <w:t xml:space="preserve"> (i) above</w:t>
      </w:r>
      <w:r w:rsidR="00F21BF2">
        <w:t>.</w:t>
      </w:r>
    </w:p>
    <w:p w14:paraId="1DD25722" w14:textId="46514B20" w:rsidR="00EC6C22" w:rsidRPr="005746E8" w:rsidRDefault="00077286" w:rsidP="00DA05CE">
      <w:pPr>
        <w:pStyle w:val="SDMSubPara1"/>
        <w:keepNext/>
      </w:pPr>
      <w:r w:rsidRPr="005746E8">
        <w:rPr>
          <w:b/>
        </w:rPr>
        <w:t>Flaring and utilization with a back-up flare</w:t>
      </w:r>
      <w:r w:rsidR="00482458" w:rsidRPr="005746E8">
        <w:rPr>
          <w:b/>
        </w:rPr>
        <w:t>:</w:t>
      </w:r>
      <w:r w:rsidR="00482458" w:rsidRPr="005746E8">
        <w:t xml:space="preserve"> For Article 6.4 activities that involve both utilization of methane for electricity generation, heat generation and/or supplying consumers </w:t>
      </w:r>
      <w:r w:rsidR="000B64E8" w:rsidRPr="005746E8">
        <w:t xml:space="preserve">with a back-up flare </w:t>
      </w:r>
      <w:r w:rsidR="00482458" w:rsidRPr="005746E8">
        <w:t>and the operation of a primary flare:</w:t>
      </w:r>
    </w:p>
    <w:p w14:paraId="5A9B1134" w14:textId="3DE70C91" w:rsidR="00DE0815" w:rsidRPr="005746E8" w:rsidRDefault="00DE0815" w:rsidP="00E66E80">
      <w:pPr>
        <w:pStyle w:val="SDMSubPara2"/>
      </w:pPr>
      <w:r w:rsidRPr="005746E8">
        <w:t>Use a value of 0.01 for up the amount of methane in the LFG that is supplied to the back flare and that does not exceed 10</w:t>
      </w:r>
      <w:r w:rsidR="00F114C9">
        <w:t xml:space="preserve"> per cent</w:t>
      </w:r>
      <w:r w:rsidRPr="005746E8">
        <w:t xml:space="preserve"> of the amount of methane in the LFG or biomethane that is utilized;</w:t>
      </w:r>
    </w:p>
    <w:p w14:paraId="57590F91" w14:textId="6383B1B5" w:rsidR="00741E24" w:rsidRPr="005746E8" w:rsidRDefault="00DE0815" w:rsidP="00DA05CE">
      <w:pPr>
        <w:pStyle w:val="SDMSubPara2"/>
        <w:keepNext/>
      </w:pPr>
      <w:r w:rsidRPr="005746E8">
        <w:t>Use a value of 0.1 for any amount of methane in the LFG that is</w:t>
      </w:r>
      <w:r w:rsidR="0048314F" w:rsidRPr="005746E8">
        <w:t>:</w:t>
      </w:r>
    </w:p>
    <w:p w14:paraId="6F8153EF" w14:textId="5D45EA83" w:rsidR="00741E24" w:rsidRPr="005746E8" w:rsidRDefault="00DE0815" w:rsidP="00E66E80">
      <w:pPr>
        <w:pStyle w:val="SDMSubPara3"/>
      </w:pPr>
      <w:r w:rsidRPr="005746E8">
        <w:t>supplied to the back flare and that exceeds the amount referred to in sub-paragraph (i)</w:t>
      </w:r>
      <w:r w:rsidR="00250E9F">
        <w:t xml:space="preserve"> above</w:t>
      </w:r>
      <w:r w:rsidR="00741E24" w:rsidRPr="005746E8">
        <w:t>;</w:t>
      </w:r>
    </w:p>
    <w:p w14:paraId="6B82790C" w14:textId="297CFEAC" w:rsidR="00DE0815" w:rsidRPr="005746E8" w:rsidRDefault="00DE0815" w:rsidP="00E66E80">
      <w:pPr>
        <w:pStyle w:val="SDMSubPara3"/>
      </w:pPr>
      <w:r w:rsidRPr="005746E8">
        <w:t>supplied to the primary flare</w:t>
      </w:r>
      <w:r w:rsidR="00741E24" w:rsidRPr="005746E8">
        <w:t>.</w:t>
      </w:r>
    </w:p>
    <w:bookmarkEnd w:id="307"/>
    <w:bookmarkEnd w:id="308"/>
    <w:bookmarkEnd w:id="309"/>
    <w:bookmarkEnd w:id="310"/>
    <w:p w14:paraId="091BE156" w14:textId="1E3945A7" w:rsidR="000D4168" w:rsidRPr="009A0830" w:rsidRDefault="000C3057" w:rsidP="00E66E80">
      <w:pPr>
        <w:pStyle w:val="SDMPara"/>
      </w:pPr>
      <w:r w:rsidRPr="009A0830">
        <w:t xml:space="preserve">The </w:t>
      </w:r>
      <w:r w:rsidR="00F7094E" w:rsidRPr="009A0830">
        <w:t>downward adjusted baseline emissions from the methane</w:t>
      </w:r>
      <w:r w:rsidR="00C1574C" w:rsidRPr="009A0830">
        <w:t xml:space="preserve"> component</w:t>
      </w:r>
      <w:r w:rsidR="00F7094E" w:rsidRPr="009A0830">
        <w:t xml:space="preserve"> in the SWDS (</w:t>
      </w:r>
      <w:r w:rsidR="00F7094E" w:rsidRPr="00C46A63">
        <w:rPr>
          <w:i/>
        </w:rPr>
        <w:t>BE</w:t>
      </w:r>
      <w:r w:rsidR="00F7094E" w:rsidRPr="00C46A63">
        <w:rPr>
          <w:i/>
          <w:vertAlign w:val="subscript"/>
        </w:rPr>
        <w:t>CH4,</w:t>
      </w:r>
      <w:r w:rsidR="003B7917" w:rsidRPr="00C46A63">
        <w:rPr>
          <w:i/>
          <w:vertAlign w:val="subscript"/>
        </w:rPr>
        <w:t>adj,</w:t>
      </w:r>
      <w:r w:rsidR="00F7094E" w:rsidRPr="00C46A63">
        <w:rPr>
          <w:i/>
          <w:vertAlign w:val="subscript"/>
        </w:rPr>
        <w:t>y</w:t>
      </w:r>
      <w:r w:rsidR="00F7094E" w:rsidRPr="009A0830">
        <w:t xml:space="preserve">) </w:t>
      </w:r>
      <w:r w:rsidR="0003372B">
        <w:t>are</w:t>
      </w:r>
      <w:r w:rsidR="0003372B" w:rsidRPr="009A0830">
        <w:t xml:space="preserve"> </w:t>
      </w:r>
      <w:r w:rsidR="00F7094E" w:rsidRPr="009A0830">
        <w:t xml:space="preserve">determined </w:t>
      </w:r>
      <w:r w:rsidR="00425787" w:rsidRPr="009A0830">
        <w:t xml:space="preserve">by applying </w:t>
      </w:r>
      <w:r w:rsidR="00C5218A" w:rsidRPr="009A0830">
        <w:t xml:space="preserve">the following </w:t>
      </w:r>
      <w:r w:rsidR="003B7917" w:rsidRPr="009A0830">
        <w:t>equation</w:t>
      </w:r>
      <w:r w:rsidR="00C5218A" w:rsidRPr="009A0830">
        <w:t xml:space="preserve"> </w:t>
      </w:r>
      <w:r w:rsidR="003B7917" w:rsidRPr="009A0830">
        <w:t>below</w:t>
      </w:r>
      <w:r w:rsidR="000658B3" w:rsidRPr="009A0830">
        <w:t xml:space="preserve"> base</w:t>
      </w:r>
      <w:r w:rsidR="0003372B">
        <w:t>d</w:t>
      </w:r>
      <w:r w:rsidR="000658B3" w:rsidRPr="009A0830">
        <w:t xml:space="preserve"> on</w:t>
      </w:r>
      <w:r w:rsidR="003B7917" w:rsidRPr="009A0830">
        <w:t xml:space="preserve"> (i) </w:t>
      </w:r>
      <w:r w:rsidR="00425787" w:rsidRPr="009A0830">
        <w:t xml:space="preserve">the downward adjusted </w:t>
      </w:r>
      <w:r w:rsidR="0003372B">
        <w:t>base</w:t>
      </w:r>
      <w:r w:rsidR="008218AF">
        <w:t xml:space="preserve">line </w:t>
      </w:r>
      <w:r w:rsidR="00425787" w:rsidRPr="009A0830">
        <w:t>emissions from methane listed in the equations above</w:t>
      </w:r>
      <w:r w:rsidR="003B7917" w:rsidRPr="009A0830">
        <w:t xml:space="preserve">, (ii) the </w:t>
      </w:r>
      <w:r w:rsidR="008218AF">
        <w:t>oxidation factor (</w:t>
      </w:r>
      <w:r w:rsidR="003B7917" w:rsidRPr="00C46A63">
        <w:rPr>
          <w:i/>
        </w:rPr>
        <w:t>OX</w:t>
      </w:r>
      <w:r w:rsidR="003B7917" w:rsidRPr="00C46A63">
        <w:rPr>
          <w:i/>
          <w:vertAlign w:val="subscript"/>
        </w:rPr>
        <w:t>y</w:t>
      </w:r>
      <w:r w:rsidR="008218AF">
        <w:rPr>
          <w:i/>
        </w:rPr>
        <w:t>)</w:t>
      </w:r>
      <w:r w:rsidR="003B7917" w:rsidRPr="009A0830">
        <w:t xml:space="preserve"> determined based on section </w:t>
      </w:r>
      <w:r w:rsidR="003B7917" w:rsidRPr="009A0830">
        <w:fldChar w:fldCharType="begin"/>
      </w:r>
      <w:r w:rsidR="003B7917" w:rsidRPr="009A0830">
        <w:instrText xml:space="preserve"> REF _Ref209697025 \r \p \h </w:instrText>
      </w:r>
      <w:r w:rsidR="000658B3" w:rsidRPr="00032083">
        <w:instrText xml:space="preserve"> \* MERGEFORMAT </w:instrText>
      </w:r>
      <w:r w:rsidR="003B7917" w:rsidRPr="009A0830">
        <w:fldChar w:fldCharType="separate"/>
      </w:r>
      <w:r w:rsidR="00302468">
        <w:rPr>
          <w:cs/>
        </w:rPr>
        <w:t>‎</w:t>
      </w:r>
      <w:r w:rsidR="00302468">
        <w:t>7.3.2.1.2 above</w:t>
      </w:r>
      <w:r w:rsidR="003B7917" w:rsidRPr="009A0830">
        <w:fldChar w:fldCharType="end"/>
      </w:r>
      <w:r w:rsidR="003B7917" w:rsidRPr="009A0830">
        <w:t xml:space="preserve"> and (iii) the </w:t>
      </w:r>
      <w:r w:rsidR="003B7917" w:rsidRPr="00032083">
        <w:rPr>
          <w:i/>
        </w:rPr>
        <w:t>F</w:t>
      </w:r>
      <w:r w:rsidR="003B7917" w:rsidRPr="00032083">
        <w:rPr>
          <w:i/>
          <w:vertAlign w:val="subscript"/>
        </w:rPr>
        <w:t>CH4,BL,y</w:t>
      </w:r>
      <w:r w:rsidR="003B7917" w:rsidRPr="009A0830">
        <w:t xml:space="preserve"> determined based on section </w:t>
      </w:r>
      <w:r w:rsidR="003B7917" w:rsidRPr="009A0830">
        <w:fldChar w:fldCharType="begin"/>
      </w:r>
      <w:r w:rsidR="003B7917" w:rsidRPr="009A0830">
        <w:instrText xml:space="preserve"> REF _Ref208232146 \r \p \h </w:instrText>
      </w:r>
      <w:r w:rsidR="000658B3" w:rsidRPr="00032083">
        <w:instrText xml:space="preserve"> \* MERGEFORMAT </w:instrText>
      </w:r>
      <w:r w:rsidR="003B7917" w:rsidRPr="009A0830">
        <w:fldChar w:fldCharType="separate"/>
      </w:r>
      <w:r w:rsidR="00302468">
        <w:rPr>
          <w:cs/>
        </w:rPr>
        <w:t>‎</w:t>
      </w:r>
      <w:r w:rsidR="00302468">
        <w:t>7.3.2.1.3 above</w:t>
      </w:r>
      <w:r w:rsidR="003B7917" w:rsidRPr="009A0830">
        <w:fldChar w:fldCharType="end"/>
      </w:r>
      <w:r w:rsidR="003B7917" w:rsidRPr="009A0830">
        <w:t>.</w:t>
      </w:r>
    </w:p>
    <w:tbl>
      <w:tblPr>
        <w:tblStyle w:val="SDMMethTableEquation"/>
        <w:tblW w:w="8760" w:type="dxa"/>
        <w:tblLook w:val="0600" w:firstRow="0" w:lastRow="0" w:firstColumn="0" w:lastColumn="0" w:noHBand="1" w:noVBand="1"/>
      </w:tblPr>
      <w:tblGrid>
        <w:gridCol w:w="7094"/>
        <w:gridCol w:w="1666"/>
      </w:tblGrid>
      <w:tr w:rsidR="000D4168" w:rsidRPr="000658B3" w14:paraId="5004A4C1" w14:textId="77777777" w:rsidTr="007E5A9B">
        <w:tc>
          <w:tcPr>
            <w:tcW w:w="7094" w:type="dxa"/>
          </w:tcPr>
          <w:p w14:paraId="1BDFA05F" w14:textId="03441C68" w:rsidR="000D4168" w:rsidRPr="00F21BF2" w:rsidRDefault="00302468" w:rsidP="0039635F">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CH4,adj,y</m:t>
                    </m:r>
                  </m:sub>
                </m:sSub>
                <m:r>
                  <w:rPr>
                    <w:rFonts w:ascii="Cambria Math" w:hAnsi="Cambria Math"/>
                  </w:rPr>
                  <m:t>=</m:t>
                </m:r>
                <m:d>
                  <m:dPr>
                    <m:begChr m:val="{"/>
                    <m:endChr m:val="}"/>
                    <m:ctrlPr>
                      <w:rPr>
                        <w:rFonts w:ascii="Cambria Math" w:hAnsi="Cambria Math"/>
                        <w:i/>
                      </w:rPr>
                    </m:ctrlPr>
                  </m:d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CH4, Primary-Flare,adj,y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CH4,Backup-Flare,adj,y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 EL,adj, y</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CH4, HG,adj,y</m:t>
                                </m:r>
                              </m:sub>
                            </m:sSub>
                            <m:r>
                              <w:rPr>
                                <w:rFonts w:ascii="Cambria Math" w:hAnsi="Cambria Math"/>
                              </w:rPr>
                              <m:t>×</m:t>
                            </m:r>
                            <m:sSub>
                              <m:sSubPr>
                                <m:ctrlPr>
                                  <w:rPr>
                                    <w:rFonts w:ascii="Cambria Math" w:hAnsi="Cambria Math"/>
                                    <w:i/>
                                  </w:rPr>
                                </m:ctrlPr>
                              </m:sSubPr>
                              <m:e>
                                <m:r>
                                  <w:rPr>
                                    <w:rFonts w:ascii="Cambria Math" w:hAnsi="Cambria Math"/>
                                  </w:rPr>
                                  <m:t>fd</m:t>
                                </m:r>
                              </m:e>
                              <m:sub>
                                <m:r>
                                  <w:rPr>
                                    <w:rFonts w:ascii="Cambria Math" w:hAnsi="Cambria Math"/>
                                  </w:rPr>
                                  <m:t>CH4, HG, j, default</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 NG,adj,y</m:t>
                            </m:r>
                          </m:sub>
                        </m:sSub>
                      </m:e>
                    </m:d>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OX</m:t>
                            </m:r>
                          </m:e>
                          <m:sub>
                            <m:r>
                              <w:rPr>
                                <w:rFonts w:ascii="Cambria Math" w:hAnsi="Cambria Math"/>
                              </w:rPr>
                              <m:t>y</m:t>
                            </m:r>
                          </m:sub>
                        </m:sSub>
                      </m:e>
                    </m:d>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CH4,BL,y</m:t>
                        </m:r>
                      </m:sub>
                    </m:sSub>
                  </m:e>
                </m:d>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hAnsi="Cambria Math"/>
                      </w:rPr>
                      <m:t>CH4</m:t>
                    </m:r>
                  </m:sub>
                </m:sSub>
              </m:oMath>
            </m:oMathPara>
          </w:p>
        </w:tc>
        <w:tc>
          <w:tcPr>
            <w:tcW w:w="1666" w:type="dxa"/>
          </w:tcPr>
          <w:p w14:paraId="6D1815AE" w14:textId="77777777" w:rsidR="000D4168" w:rsidRPr="00F21BF2" w:rsidRDefault="000D4168" w:rsidP="00247E9F">
            <w:pPr>
              <w:pStyle w:val="SDMMethEquationNr"/>
              <w:numPr>
                <w:ilvl w:val="0"/>
                <w:numId w:val="4"/>
              </w:numPr>
              <w:rPr>
                <w:sz w:val="22"/>
              </w:rPr>
            </w:pPr>
          </w:p>
        </w:tc>
      </w:tr>
    </w:tbl>
    <w:p w14:paraId="5D31535B" w14:textId="4B793F73" w:rsidR="000D4168" w:rsidRPr="009A0830" w:rsidRDefault="000D4168" w:rsidP="00DA05CE">
      <w:pPr>
        <w:pStyle w:val="SDMMethCaptionEquationParametersTable"/>
      </w:pPr>
      <w:r w:rsidRPr="009A0830">
        <w:t>Where:</w:t>
      </w:r>
    </w:p>
    <w:tbl>
      <w:tblPr>
        <w:tblStyle w:val="SDMMethTableEquationParameters"/>
        <w:tblW w:w="8760" w:type="dxa"/>
        <w:tblLook w:val="04A0" w:firstRow="1" w:lastRow="0" w:firstColumn="1" w:lastColumn="0" w:noHBand="0" w:noVBand="1"/>
      </w:tblPr>
      <w:tblGrid>
        <w:gridCol w:w="2101"/>
        <w:gridCol w:w="345"/>
        <w:gridCol w:w="6314"/>
      </w:tblGrid>
      <w:tr w:rsidR="002E3621" w:rsidRPr="000658B3" w14:paraId="61EC0295" w14:textId="77777777" w:rsidTr="007E5A9B">
        <w:tc>
          <w:tcPr>
            <w:tcW w:w="2101" w:type="dxa"/>
            <w:vAlign w:val="top"/>
          </w:tcPr>
          <w:p w14:paraId="4857C2B1" w14:textId="1F50F973" w:rsidR="000D4168" w:rsidRPr="009A0830"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adj,CH4,y</m:t>
                    </m:r>
                  </m:sub>
                </m:sSub>
              </m:oMath>
            </m:oMathPara>
          </w:p>
        </w:tc>
        <w:tc>
          <w:tcPr>
            <w:tcW w:w="345" w:type="dxa"/>
            <w:vAlign w:val="top"/>
          </w:tcPr>
          <w:p w14:paraId="69D4EB12" w14:textId="77777777" w:rsidR="000D4168" w:rsidRPr="009A0830" w:rsidRDefault="000D4168" w:rsidP="00081FD4">
            <w:pPr>
              <w:pStyle w:val="SDMTableBoxParaNotNumbered"/>
            </w:pPr>
            <w:r w:rsidRPr="009A0830">
              <w:t>=</w:t>
            </w:r>
          </w:p>
        </w:tc>
        <w:tc>
          <w:tcPr>
            <w:tcW w:w="0" w:type="auto"/>
            <w:vAlign w:val="top"/>
          </w:tcPr>
          <w:p w14:paraId="284B0B86" w14:textId="1984401B" w:rsidR="000D4168" w:rsidRPr="009A0830" w:rsidRDefault="00D44A9F" w:rsidP="00081FD4">
            <w:pPr>
              <w:pStyle w:val="SDMTableBoxParaNotNumbered"/>
            </w:pPr>
            <w:r>
              <w:t>Downward a</w:t>
            </w:r>
            <w:r w:rsidR="000D4168" w:rsidRPr="009A0830">
              <w:t>djusted baseline emissions of methane from the SWDS in year </w:t>
            </w:r>
            <w:r w:rsidR="000D4168" w:rsidRPr="009A0830">
              <w:rPr>
                <w:i/>
              </w:rPr>
              <w:t>y</w:t>
            </w:r>
            <w:r w:rsidR="000D4168" w:rsidRPr="009A0830">
              <w:t xml:space="preserve"> (t CO</w:t>
            </w:r>
            <w:r w:rsidR="000D4168" w:rsidRPr="009A0830">
              <w:rPr>
                <w:vertAlign w:val="subscript"/>
              </w:rPr>
              <w:t>2</w:t>
            </w:r>
            <w:r w:rsidR="000D4168" w:rsidRPr="009A0830">
              <w:t>e/year)</w:t>
            </w:r>
          </w:p>
        </w:tc>
      </w:tr>
      <w:tr w:rsidR="00BE5520" w:rsidRPr="009A0830" w:rsidDel="00BE5520" w14:paraId="0F84D922" w14:textId="77777777" w:rsidTr="007E5A9B">
        <w:tc>
          <w:tcPr>
            <w:tcW w:w="2101" w:type="dxa"/>
            <w:vAlign w:val="top"/>
          </w:tcPr>
          <w:p w14:paraId="7BDFA848" w14:textId="2BD0F213" w:rsidR="00BE5520" w:rsidRPr="00AA5E70" w:rsidDel="00BE5520"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Primary-Flare,adj,y</m:t>
                    </m:r>
                  </m:sub>
                </m:sSub>
              </m:oMath>
            </m:oMathPara>
          </w:p>
        </w:tc>
        <w:tc>
          <w:tcPr>
            <w:tcW w:w="345" w:type="dxa"/>
            <w:vAlign w:val="top"/>
          </w:tcPr>
          <w:p w14:paraId="4E47C5EB" w14:textId="09E389CA" w:rsidR="00BE5520" w:rsidRPr="009A0830" w:rsidDel="00BE5520" w:rsidRDefault="00BE5520" w:rsidP="00081FD4">
            <w:pPr>
              <w:pStyle w:val="SDMTableBoxParaNotNumbered"/>
            </w:pPr>
            <w:r w:rsidRPr="00D40DAB">
              <w:t>=</w:t>
            </w:r>
          </w:p>
        </w:tc>
        <w:tc>
          <w:tcPr>
            <w:tcW w:w="0" w:type="auto"/>
            <w:vAlign w:val="top"/>
          </w:tcPr>
          <w:p w14:paraId="3280BAA3" w14:textId="553013DC" w:rsidR="00BE5520" w:rsidRPr="009A0830" w:rsidDel="00BE5520" w:rsidRDefault="00BE5520" w:rsidP="00081FD4">
            <w:pPr>
              <w:pStyle w:val="SDMTableBoxParaNotNumbered"/>
              <w:rPr>
                <w:rFonts w:cs="Arial"/>
              </w:rPr>
            </w:pPr>
            <w:r w:rsidRPr="00D40DAB">
              <w:t xml:space="preserve">Downward adjusted amount of methane </w:t>
            </w:r>
            <w:r>
              <w:t xml:space="preserve">in the LFG which is </w:t>
            </w:r>
            <w:r w:rsidRPr="00D40DAB">
              <w:t>flared in the primary flare in year</w:t>
            </w:r>
            <w:r w:rsidR="00DA0B1A">
              <w:t> </w:t>
            </w:r>
            <w:r w:rsidRPr="00D40DAB">
              <w:rPr>
                <w:i/>
                <w:iCs/>
              </w:rPr>
              <w:t>y</w:t>
            </w:r>
            <w:r w:rsidRPr="00D40DAB">
              <w:t xml:space="preserve"> </w:t>
            </w:r>
            <w:r w:rsidRPr="00D40DAB">
              <w:rPr>
                <w:lang w:val="en-US"/>
              </w:rPr>
              <w:t>(tCH</w:t>
            </w:r>
            <w:r w:rsidRPr="00D40DAB">
              <w:rPr>
                <w:vertAlign w:val="subscript"/>
                <w:lang w:val="en-US"/>
              </w:rPr>
              <w:t>4</w:t>
            </w:r>
            <w:r w:rsidRPr="00D40DAB">
              <w:rPr>
                <w:lang w:val="en-US"/>
              </w:rPr>
              <w:t>/year)</w:t>
            </w:r>
            <w:r w:rsidR="00EA5F97">
              <w:rPr>
                <w:lang w:val="en-US"/>
              </w:rPr>
              <w:t xml:space="preserve">, determined based on </w:t>
            </w:r>
            <w:r w:rsidR="000E0F13">
              <w:rPr>
                <w:lang w:val="en-US"/>
              </w:rPr>
              <w:t>E</w:t>
            </w:r>
            <w:r w:rsidR="00EA5F97">
              <w:rPr>
                <w:lang w:val="en-US"/>
              </w:rPr>
              <w:t>quation (28)</w:t>
            </w:r>
          </w:p>
        </w:tc>
      </w:tr>
      <w:tr w:rsidR="00BE5520" w:rsidRPr="009A0830" w:rsidDel="00BE5520" w14:paraId="003FB016" w14:textId="77777777" w:rsidTr="007E5A9B">
        <w:tc>
          <w:tcPr>
            <w:tcW w:w="2101" w:type="dxa"/>
            <w:vAlign w:val="top"/>
          </w:tcPr>
          <w:p w14:paraId="3A680C73" w14:textId="3CCE0CDB" w:rsidR="00BE5520" w:rsidRPr="00AA5E70" w:rsidDel="00BE5520"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Backup-Flare,adj,y</m:t>
                    </m:r>
                  </m:sub>
                </m:sSub>
              </m:oMath>
            </m:oMathPara>
          </w:p>
        </w:tc>
        <w:tc>
          <w:tcPr>
            <w:tcW w:w="345" w:type="dxa"/>
            <w:vAlign w:val="top"/>
          </w:tcPr>
          <w:p w14:paraId="44B26EC5" w14:textId="47D007FF" w:rsidR="00BE5520" w:rsidRPr="009A0830" w:rsidDel="00BE5520" w:rsidRDefault="00112B10" w:rsidP="00081FD4">
            <w:pPr>
              <w:pStyle w:val="SDMTableBoxParaNotNumbered"/>
            </w:pPr>
            <w:r w:rsidRPr="00D40DAB">
              <w:t>=</w:t>
            </w:r>
          </w:p>
        </w:tc>
        <w:tc>
          <w:tcPr>
            <w:tcW w:w="0" w:type="auto"/>
            <w:vAlign w:val="top"/>
          </w:tcPr>
          <w:p w14:paraId="0C5050FD" w14:textId="55F11EA2" w:rsidR="00BE5520" w:rsidRPr="009A0830" w:rsidDel="00BE5520" w:rsidRDefault="00112B10" w:rsidP="00081FD4">
            <w:pPr>
              <w:pStyle w:val="SDMTableBoxParaNotNumbered"/>
              <w:rPr>
                <w:rFonts w:cs="Arial"/>
              </w:rPr>
            </w:pPr>
            <w:r w:rsidRPr="00D40DAB">
              <w:t>Downward adjusted amount of methane</w:t>
            </w:r>
            <w:r>
              <w:t xml:space="preserve"> in the LFG which is</w:t>
            </w:r>
            <w:r w:rsidRPr="00D40DAB">
              <w:t xml:space="preserve"> flared in the backup flare in year</w:t>
            </w:r>
            <w:r w:rsidR="00DA0B1A">
              <w:t> </w:t>
            </w:r>
            <w:r w:rsidRPr="00D40DAB">
              <w:rPr>
                <w:i/>
                <w:iCs/>
              </w:rPr>
              <w:t>y</w:t>
            </w:r>
            <w:r w:rsidRPr="00D40DAB">
              <w:t xml:space="preserve"> </w:t>
            </w:r>
            <w:r w:rsidRPr="00D40DAB">
              <w:rPr>
                <w:lang w:val="en-US"/>
              </w:rPr>
              <w:t>(t</w:t>
            </w:r>
            <w:r>
              <w:rPr>
                <w:lang w:val="en-US"/>
              </w:rPr>
              <w:t> </w:t>
            </w:r>
            <w:r w:rsidRPr="00D40DAB">
              <w:rPr>
                <w:lang w:val="en-US"/>
              </w:rPr>
              <w:t>CH</w:t>
            </w:r>
            <w:r w:rsidRPr="00D40DAB">
              <w:rPr>
                <w:vertAlign w:val="subscript"/>
                <w:lang w:val="en-US"/>
              </w:rPr>
              <w:t>4</w:t>
            </w:r>
            <w:r w:rsidRPr="00D40DAB">
              <w:rPr>
                <w:lang w:val="en-US"/>
              </w:rPr>
              <w:t>/year)</w:t>
            </w:r>
            <w:r w:rsidR="00EA5F97">
              <w:rPr>
                <w:lang w:val="en-US"/>
              </w:rPr>
              <w:t xml:space="preserve">, determined based on </w:t>
            </w:r>
            <w:r w:rsidR="000E0F13">
              <w:rPr>
                <w:lang w:val="en-US"/>
              </w:rPr>
              <w:t>E</w:t>
            </w:r>
            <w:r w:rsidR="00EA5F97">
              <w:rPr>
                <w:lang w:val="en-US"/>
              </w:rPr>
              <w:t>quation (29)</w:t>
            </w:r>
          </w:p>
        </w:tc>
      </w:tr>
      <w:tr w:rsidR="00C5218A" w:rsidRPr="000658B3" w14:paraId="0F22E814" w14:textId="77777777" w:rsidTr="007E5A9B">
        <w:tc>
          <w:tcPr>
            <w:tcW w:w="2101" w:type="dxa"/>
            <w:vAlign w:val="top"/>
          </w:tcPr>
          <w:p w14:paraId="63DEEDDF" w14:textId="200D98C5" w:rsidR="00C5218A" w:rsidRPr="00AA5E70"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EL,adj, y</m:t>
                    </m:r>
                  </m:sub>
                </m:sSub>
              </m:oMath>
            </m:oMathPara>
          </w:p>
        </w:tc>
        <w:tc>
          <w:tcPr>
            <w:tcW w:w="345" w:type="dxa"/>
            <w:vAlign w:val="top"/>
          </w:tcPr>
          <w:p w14:paraId="7A586F02" w14:textId="682DD981" w:rsidR="00C5218A" w:rsidRPr="009A0830" w:rsidRDefault="00C5218A" w:rsidP="00081FD4">
            <w:pPr>
              <w:pStyle w:val="SDMTableBoxParaNotNumbered"/>
            </w:pPr>
            <w:r w:rsidRPr="009A0830">
              <w:t>=</w:t>
            </w:r>
          </w:p>
        </w:tc>
        <w:tc>
          <w:tcPr>
            <w:tcW w:w="0" w:type="auto"/>
            <w:vAlign w:val="top"/>
          </w:tcPr>
          <w:p w14:paraId="2DA78841" w14:textId="5881957E" w:rsidR="00C5218A" w:rsidRPr="009A0830" w:rsidRDefault="00C5218A" w:rsidP="00081FD4">
            <w:pPr>
              <w:pStyle w:val="SDMTableBoxParaNotNumbered"/>
            </w:pPr>
            <w:r w:rsidRPr="009A0830">
              <w:t xml:space="preserve">Downward adjusted </w:t>
            </w:r>
            <w:r w:rsidR="00E70419">
              <w:t>amount of</w:t>
            </w:r>
            <w:r w:rsidRPr="009A0830">
              <w:t xml:space="preserve"> methane </w:t>
            </w:r>
            <w:r w:rsidR="00E70419">
              <w:t xml:space="preserve">in the LFG or biomethane </w:t>
            </w:r>
            <w:r w:rsidRPr="009A0830">
              <w:t>which is used for electricity generation in year y (t</w:t>
            </w:r>
            <w:r w:rsidR="00E70419">
              <w:t> </w:t>
            </w:r>
            <w:r w:rsidRPr="009A0830">
              <w:t>CH4/year)</w:t>
            </w:r>
            <w:r w:rsidR="00AA5E70">
              <w:rPr>
                <w:lang w:val="en-US"/>
              </w:rPr>
              <w:t xml:space="preserve">, determined based on </w:t>
            </w:r>
            <w:r w:rsidR="000E0F13">
              <w:rPr>
                <w:lang w:val="en-US"/>
              </w:rPr>
              <w:t>E</w:t>
            </w:r>
            <w:r w:rsidR="00AA5E70">
              <w:rPr>
                <w:lang w:val="en-US"/>
              </w:rPr>
              <w:t>quation (30)</w:t>
            </w:r>
          </w:p>
        </w:tc>
      </w:tr>
      <w:tr w:rsidR="00C5218A" w:rsidRPr="000658B3" w14:paraId="7A948271" w14:textId="77777777" w:rsidTr="007E5A9B">
        <w:tc>
          <w:tcPr>
            <w:tcW w:w="2101" w:type="dxa"/>
            <w:vAlign w:val="top"/>
          </w:tcPr>
          <w:p w14:paraId="21811D80" w14:textId="0C97D770" w:rsidR="00C5218A" w:rsidRPr="00AA5E70"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HG,adj,y</m:t>
                    </m:r>
                  </m:sub>
                </m:sSub>
              </m:oMath>
            </m:oMathPara>
          </w:p>
        </w:tc>
        <w:tc>
          <w:tcPr>
            <w:tcW w:w="345" w:type="dxa"/>
            <w:vAlign w:val="top"/>
          </w:tcPr>
          <w:p w14:paraId="715573BD" w14:textId="51B447F4" w:rsidR="00C5218A" w:rsidRPr="009A0830" w:rsidRDefault="00C5218A" w:rsidP="00081FD4">
            <w:pPr>
              <w:pStyle w:val="SDMTableBoxParaNotNumbered"/>
            </w:pPr>
            <w:r w:rsidRPr="009A0830">
              <w:t>=</w:t>
            </w:r>
          </w:p>
        </w:tc>
        <w:tc>
          <w:tcPr>
            <w:tcW w:w="0" w:type="auto"/>
            <w:vAlign w:val="top"/>
          </w:tcPr>
          <w:p w14:paraId="76461B5C" w14:textId="7E7A0CB9" w:rsidR="00C5218A" w:rsidRPr="009A0830" w:rsidRDefault="0039635F" w:rsidP="00081FD4">
            <w:pPr>
              <w:pStyle w:val="SDMTableBoxParaNotNumbered"/>
            </w:pPr>
            <w:r w:rsidRPr="009A0830">
              <w:rPr>
                <w:rFonts w:cs="Arial"/>
              </w:rPr>
              <w:t xml:space="preserve">Downward adjusted </w:t>
            </w:r>
            <w:r w:rsidR="00E70419">
              <w:rPr>
                <w:rFonts w:cs="Arial"/>
              </w:rPr>
              <w:t>amount of</w:t>
            </w:r>
            <w:r w:rsidRPr="009A0830">
              <w:rPr>
                <w:rFonts w:cs="Arial"/>
              </w:rPr>
              <w:t xml:space="preserve"> methane </w:t>
            </w:r>
            <w:r w:rsidR="00E70419">
              <w:rPr>
                <w:rFonts w:cs="Arial"/>
              </w:rPr>
              <w:t xml:space="preserve">in the LFG or biomethane </w:t>
            </w:r>
            <w:r w:rsidRPr="009A0830">
              <w:rPr>
                <w:rFonts w:cs="Arial"/>
              </w:rPr>
              <w:t>which is used for heat generation in year </w:t>
            </w:r>
            <w:r w:rsidRPr="009A0830">
              <w:rPr>
                <w:rFonts w:cs="Arial"/>
                <w:i/>
              </w:rPr>
              <w:t>y</w:t>
            </w:r>
            <w:r w:rsidRPr="009A0830">
              <w:rPr>
                <w:rFonts w:cs="Arial"/>
              </w:rPr>
              <w:t xml:space="preserve"> (tCH</w:t>
            </w:r>
            <w:r w:rsidRPr="009A0830">
              <w:rPr>
                <w:rFonts w:cs="Arial"/>
                <w:vertAlign w:val="subscript"/>
              </w:rPr>
              <w:t>4</w:t>
            </w:r>
            <w:r w:rsidRPr="009A0830">
              <w:rPr>
                <w:rFonts w:cs="Arial"/>
              </w:rPr>
              <w:t>/year)</w:t>
            </w:r>
            <w:r w:rsidR="00AA5E70">
              <w:rPr>
                <w:lang w:val="en-US"/>
              </w:rPr>
              <w:t xml:space="preserve">, determined based on </w:t>
            </w:r>
            <w:r w:rsidR="000E0F13">
              <w:rPr>
                <w:lang w:val="en-US"/>
              </w:rPr>
              <w:t>E</w:t>
            </w:r>
            <w:r w:rsidR="00AA5E70">
              <w:rPr>
                <w:lang w:val="en-US"/>
              </w:rPr>
              <w:t>quation (31)</w:t>
            </w:r>
          </w:p>
        </w:tc>
      </w:tr>
      <w:tr w:rsidR="00C5218A" w:rsidRPr="000658B3" w14:paraId="3771E7EF" w14:textId="77777777" w:rsidTr="007E5A9B">
        <w:tc>
          <w:tcPr>
            <w:tcW w:w="2101" w:type="dxa"/>
            <w:vAlign w:val="top"/>
          </w:tcPr>
          <w:p w14:paraId="11C54A2E" w14:textId="3630EB02" w:rsidR="00C5218A" w:rsidRPr="00AA5E70"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fd</m:t>
                    </m:r>
                  </m:e>
                  <m:sub>
                    <m:r>
                      <w:rPr>
                        <w:rFonts w:ascii="Cambria Math" w:hAnsi="Cambria Math"/>
                      </w:rPr>
                      <m:t>CH4, HG, j, default</m:t>
                    </m:r>
                  </m:sub>
                </m:sSub>
              </m:oMath>
            </m:oMathPara>
          </w:p>
        </w:tc>
        <w:tc>
          <w:tcPr>
            <w:tcW w:w="345" w:type="dxa"/>
            <w:vAlign w:val="top"/>
          </w:tcPr>
          <w:p w14:paraId="58BB7265" w14:textId="42ED7791" w:rsidR="00C5218A" w:rsidRPr="009A0830" w:rsidRDefault="00C5218A" w:rsidP="00081FD4">
            <w:pPr>
              <w:pStyle w:val="SDMTableBoxParaNotNumbered"/>
            </w:pPr>
            <w:r w:rsidRPr="009A0830">
              <w:t>=</w:t>
            </w:r>
          </w:p>
        </w:tc>
        <w:tc>
          <w:tcPr>
            <w:tcW w:w="0" w:type="auto"/>
            <w:vAlign w:val="top"/>
          </w:tcPr>
          <w:p w14:paraId="2A206290" w14:textId="2C5A6B10" w:rsidR="00C5218A" w:rsidRPr="00032083" w:rsidRDefault="0039635F" w:rsidP="00081FD4">
            <w:pPr>
              <w:pStyle w:val="SDMTableBoxParaNotNumbered"/>
            </w:pPr>
            <w:r w:rsidRPr="009A0830">
              <w:rPr>
                <w:snapToGrid w:val="0"/>
                <w:color w:val="000000"/>
                <w:lang w:eastAsia="pt-BR"/>
              </w:rPr>
              <w:t>Default value for the fraction of methane destroyed when used for heat generation equipment type </w:t>
            </w:r>
            <w:r w:rsidRPr="009A0830">
              <w:rPr>
                <w:i/>
                <w:snapToGrid w:val="0"/>
                <w:color w:val="000000"/>
                <w:lang w:eastAsia="pt-BR"/>
              </w:rPr>
              <w:t>j</w:t>
            </w:r>
            <w:r w:rsidR="00287562">
              <w:rPr>
                <w:lang w:val="en-US"/>
              </w:rPr>
              <w:t xml:space="preserve"> </w:t>
            </w:r>
            <w:r w:rsidR="008502AB">
              <w:rPr>
                <w:lang w:val="en-US"/>
              </w:rPr>
              <w:t>(dimensionless)</w:t>
            </w:r>
          </w:p>
        </w:tc>
      </w:tr>
      <w:tr w:rsidR="00C5218A" w:rsidRPr="000658B3" w14:paraId="54FA6CAB" w14:textId="77777777" w:rsidTr="007E5A9B">
        <w:tc>
          <w:tcPr>
            <w:tcW w:w="2101" w:type="dxa"/>
            <w:vAlign w:val="top"/>
          </w:tcPr>
          <w:p w14:paraId="63EAE6DE" w14:textId="2095DD91" w:rsidR="00C5218A" w:rsidRPr="00AA5E70"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NG,adj,y</m:t>
                    </m:r>
                  </m:sub>
                </m:sSub>
              </m:oMath>
            </m:oMathPara>
          </w:p>
        </w:tc>
        <w:tc>
          <w:tcPr>
            <w:tcW w:w="345" w:type="dxa"/>
            <w:vAlign w:val="top"/>
          </w:tcPr>
          <w:p w14:paraId="45A7C357" w14:textId="015A6970" w:rsidR="00C5218A" w:rsidRPr="009A0830" w:rsidRDefault="00C5218A" w:rsidP="00081FD4">
            <w:pPr>
              <w:pStyle w:val="SDMTableBoxParaNotNumbered"/>
            </w:pPr>
            <w:r w:rsidRPr="009A0830">
              <w:t>=</w:t>
            </w:r>
          </w:p>
        </w:tc>
        <w:tc>
          <w:tcPr>
            <w:tcW w:w="0" w:type="auto"/>
            <w:vAlign w:val="top"/>
          </w:tcPr>
          <w:p w14:paraId="4FFDC1A3" w14:textId="0FEF802B" w:rsidR="00C5218A" w:rsidRPr="009A0830" w:rsidRDefault="00AA5E70" w:rsidP="00081FD4">
            <w:pPr>
              <w:pStyle w:val="SDMTableBoxParaNotNumbered"/>
            </w:pPr>
            <w:r w:rsidRPr="00032083">
              <w:rPr>
                <w:rFonts w:cs="Arial"/>
              </w:rPr>
              <w:t xml:space="preserve">Downward adjusted </w:t>
            </w:r>
            <w:r>
              <w:rPr>
                <w:rFonts w:cs="Arial"/>
              </w:rPr>
              <w:t>amount of</w:t>
            </w:r>
            <w:r w:rsidRPr="00032083">
              <w:rPr>
                <w:rFonts w:cs="Arial"/>
              </w:rPr>
              <w:t xml:space="preserve"> the methane in the LFG or in the biomethane which is supplied to consumers in year </w:t>
            </w:r>
            <w:r w:rsidRPr="00032083">
              <w:rPr>
                <w:rFonts w:cs="Arial"/>
                <w:i/>
              </w:rPr>
              <w:t>y</w:t>
            </w:r>
            <w:r w:rsidRPr="00032083">
              <w:rPr>
                <w:rFonts w:cs="Arial"/>
              </w:rPr>
              <w:t xml:space="preserve"> (t</w:t>
            </w:r>
            <w:r>
              <w:rPr>
                <w:rFonts w:cs="Arial"/>
              </w:rPr>
              <w:t> </w:t>
            </w:r>
            <w:r w:rsidRPr="00032083">
              <w:rPr>
                <w:rFonts w:cs="Arial"/>
              </w:rPr>
              <w:t>CH</w:t>
            </w:r>
            <w:r w:rsidRPr="00032083">
              <w:rPr>
                <w:rFonts w:cs="Arial"/>
                <w:vertAlign w:val="subscript"/>
              </w:rPr>
              <w:t>4</w:t>
            </w:r>
            <w:r w:rsidRPr="00032083">
              <w:rPr>
                <w:rFonts w:cs="Arial"/>
              </w:rPr>
              <w:t>/year)</w:t>
            </w:r>
            <w:r>
              <w:rPr>
                <w:rFonts w:cs="Arial"/>
              </w:rPr>
              <w:t xml:space="preserve">, </w:t>
            </w:r>
            <w:r>
              <w:rPr>
                <w:lang w:val="en-US"/>
              </w:rPr>
              <w:t xml:space="preserve">determined based on </w:t>
            </w:r>
            <w:r w:rsidR="000E0F13">
              <w:rPr>
                <w:lang w:val="en-US"/>
              </w:rPr>
              <w:t>E</w:t>
            </w:r>
            <w:r>
              <w:rPr>
                <w:lang w:val="en-US"/>
              </w:rPr>
              <w:t>quation (32)</w:t>
            </w:r>
          </w:p>
        </w:tc>
      </w:tr>
      <w:tr w:rsidR="00C5218A" w:rsidRPr="000658B3" w14:paraId="146562B7" w14:textId="77777777" w:rsidTr="007E5A9B">
        <w:tc>
          <w:tcPr>
            <w:tcW w:w="2101" w:type="dxa"/>
            <w:vAlign w:val="top"/>
          </w:tcPr>
          <w:p w14:paraId="12025F91" w14:textId="6746C590" w:rsidR="00C5218A" w:rsidRPr="00AA5E70"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OX</m:t>
                    </m:r>
                  </m:e>
                  <m:sub>
                    <m:r>
                      <w:rPr>
                        <w:rFonts w:ascii="Cambria Math" w:hAnsi="Cambria Math"/>
                      </w:rPr>
                      <m:t>y</m:t>
                    </m:r>
                  </m:sub>
                </m:sSub>
              </m:oMath>
            </m:oMathPara>
          </w:p>
        </w:tc>
        <w:tc>
          <w:tcPr>
            <w:tcW w:w="345" w:type="dxa"/>
            <w:vAlign w:val="top"/>
          </w:tcPr>
          <w:p w14:paraId="0018EC36" w14:textId="51449B4A" w:rsidR="00C5218A" w:rsidRPr="009A0830" w:rsidRDefault="00C5218A" w:rsidP="00081FD4">
            <w:pPr>
              <w:pStyle w:val="SDMTableBoxParaNotNumbered"/>
            </w:pPr>
            <w:r w:rsidRPr="009A0830">
              <w:t>=</w:t>
            </w:r>
          </w:p>
        </w:tc>
        <w:tc>
          <w:tcPr>
            <w:tcW w:w="0" w:type="auto"/>
            <w:vAlign w:val="top"/>
          </w:tcPr>
          <w:p w14:paraId="572A7F60" w14:textId="108D0DA2" w:rsidR="00C5218A" w:rsidRPr="009A0830" w:rsidRDefault="0039635F" w:rsidP="00081FD4">
            <w:pPr>
              <w:pStyle w:val="SDMTableBoxParaNotNumbered"/>
            </w:pPr>
            <w:r w:rsidRPr="009A0830">
              <w:t xml:space="preserve">Fraction of methane in the LFG that would be oxidized in the top layer of the SWDS in the baseline scenario in year </w:t>
            </w:r>
            <w:r w:rsidRPr="00032083">
              <w:rPr>
                <w:i/>
              </w:rPr>
              <w:t>y</w:t>
            </w:r>
            <w:r w:rsidRPr="009A0830">
              <w:t xml:space="preserve"> (dimensionless)</w:t>
            </w:r>
            <w:r w:rsidR="00760822">
              <w:t xml:space="preserve">, determined based on section </w:t>
            </w:r>
            <w:r w:rsidR="00760822">
              <w:fldChar w:fldCharType="begin"/>
            </w:r>
            <w:r w:rsidR="00760822">
              <w:instrText xml:space="preserve"> REF _Ref209697025 \w \h </w:instrText>
            </w:r>
            <w:r w:rsidR="00F21BF2">
              <w:instrText xml:space="preserve"> \* MERGEFORMAT </w:instrText>
            </w:r>
            <w:r w:rsidR="00760822">
              <w:fldChar w:fldCharType="separate"/>
            </w:r>
            <w:r w:rsidR="00302468">
              <w:rPr>
                <w:cs/>
              </w:rPr>
              <w:t>‎</w:t>
            </w:r>
            <w:r w:rsidR="00302468">
              <w:t>7.3.2.1.2</w:t>
            </w:r>
            <w:r w:rsidR="00760822">
              <w:fldChar w:fldCharType="end"/>
            </w:r>
          </w:p>
        </w:tc>
      </w:tr>
      <w:tr w:rsidR="00C5218A" w:rsidRPr="000658B3" w14:paraId="347E2174" w14:textId="77777777" w:rsidTr="007E5A9B">
        <w:tc>
          <w:tcPr>
            <w:tcW w:w="2101" w:type="dxa"/>
            <w:vAlign w:val="top"/>
          </w:tcPr>
          <w:p w14:paraId="6C5CBFC3" w14:textId="0DE3384F" w:rsidR="00C5218A" w:rsidRPr="001C1131"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CH4,BL,y</m:t>
                    </m:r>
                  </m:sub>
                </m:sSub>
              </m:oMath>
            </m:oMathPara>
          </w:p>
        </w:tc>
        <w:tc>
          <w:tcPr>
            <w:tcW w:w="345" w:type="dxa"/>
            <w:vAlign w:val="top"/>
          </w:tcPr>
          <w:p w14:paraId="3D3586D7" w14:textId="2AE21A29" w:rsidR="00C5218A" w:rsidRPr="009A0830" w:rsidRDefault="00C5218A" w:rsidP="00081FD4">
            <w:pPr>
              <w:pStyle w:val="SDMTableBoxParaNotNumbered"/>
            </w:pPr>
            <w:r w:rsidRPr="009A0830">
              <w:t>=</w:t>
            </w:r>
          </w:p>
        </w:tc>
        <w:tc>
          <w:tcPr>
            <w:tcW w:w="0" w:type="auto"/>
            <w:vAlign w:val="top"/>
          </w:tcPr>
          <w:p w14:paraId="4982A844" w14:textId="48BD3208" w:rsidR="00C5218A" w:rsidRPr="009A0830" w:rsidRDefault="0039635F" w:rsidP="00081FD4">
            <w:pPr>
              <w:pStyle w:val="SDMTableBoxParaNotNumbered"/>
            </w:pPr>
            <w:r w:rsidRPr="009A0830">
              <w:t>The amount of LFG that would have been captured and destroyed (by flaring) in the baseline due to legal or contractual requirements, to address safety and odour concerns, or for other reasons</w:t>
            </w:r>
            <w:r w:rsidR="00760822">
              <w:t xml:space="preserve">, determined based on section </w:t>
            </w:r>
            <w:r w:rsidR="00A170A8">
              <w:fldChar w:fldCharType="begin"/>
            </w:r>
            <w:r w:rsidR="00A170A8">
              <w:instrText xml:space="preserve"> REF _Ref208232146 \w \h </w:instrText>
            </w:r>
            <w:r w:rsidR="00F21BF2">
              <w:instrText xml:space="preserve"> \* MERGEFORMAT </w:instrText>
            </w:r>
            <w:r w:rsidR="00A170A8">
              <w:fldChar w:fldCharType="separate"/>
            </w:r>
            <w:r w:rsidR="00302468">
              <w:rPr>
                <w:cs/>
              </w:rPr>
              <w:t>‎</w:t>
            </w:r>
            <w:r w:rsidR="00302468">
              <w:t>7.3.2.1.3</w:t>
            </w:r>
            <w:r w:rsidR="00A170A8">
              <w:fldChar w:fldCharType="end"/>
            </w:r>
          </w:p>
        </w:tc>
      </w:tr>
      <w:tr w:rsidR="00C5218A" w14:paraId="71B2E360" w14:textId="77777777" w:rsidTr="007E5A9B">
        <w:tc>
          <w:tcPr>
            <w:tcW w:w="2101" w:type="dxa"/>
            <w:vAlign w:val="top"/>
          </w:tcPr>
          <w:p w14:paraId="7A9EC99B" w14:textId="5F7B80DB" w:rsidR="00C5218A" w:rsidRPr="001C1131"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GWP</m:t>
                    </m:r>
                  </m:e>
                  <m:sub>
                    <m:r>
                      <w:rPr>
                        <w:rFonts w:ascii="Cambria Math" w:hAnsi="Cambria Math"/>
                      </w:rPr>
                      <m:t>CH4</m:t>
                    </m:r>
                  </m:sub>
                </m:sSub>
              </m:oMath>
            </m:oMathPara>
          </w:p>
        </w:tc>
        <w:tc>
          <w:tcPr>
            <w:tcW w:w="345" w:type="dxa"/>
            <w:vAlign w:val="top"/>
          </w:tcPr>
          <w:p w14:paraId="38A93612" w14:textId="4EFFB2BD" w:rsidR="00C5218A" w:rsidRPr="009A0830" w:rsidRDefault="00C5218A" w:rsidP="00081FD4">
            <w:pPr>
              <w:pStyle w:val="SDMTableBoxParaNotNumbered"/>
            </w:pPr>
            <w:r w:rsidRPr="009A0830">
              <w:t>=</w:t>
            </w:r>
          </w:p>
        </w:tc>
        <w:tc>
          <w:tcPr>
            <w:tcW w:w="0" w:type="auto"/>
            <w:vAlign w:val="top"/>
          </w:tcPr>
          <w:p w14:paraId="4E8C26A2" w14:textId="522055FA" w:rsidR="00C5218A" w:rsidRDefault="00471369" w:rsidP="00081FD4">
            <w:pPr>
              <w:pStyle w:val="SDMTableBoxParaNotNumbered"/>
            </w:pPr>
            <w:r w:rsidRPr="009A0830">
              <w:t>Global warming potential for methane (tCO</w:t>
            </w:r>
            <w:r w:rsidRPr="009A0830">
              <w:rPr>
                <w:vertAlign w:val="subscript"/>
              </w:rPr>
              <w:t>2</w:t>
            </w:r>
            <w:r w:rsidRPr="009A0830">
              <w:t>e/tCH</w:t>
            </w:r>
            <w:r w:rsidRPr="009A0830">
              <w:rPr>
                <w:vertAlign w:val="subscript"/>
              </w:rPr>
              <w:t>4</w:t>
            </w:r>
            <w:r w:rsidRPr="009A0830">
              <w:t>)</w:t>
            </w:r>
          </w:p>
        </w:tc>
      </w:tr>
    </w:tbl>
    <w:p w14:paraId="6154908A" w14:textId="7CCDDD0F" w:rsidR="004334D2" w:rsidRDefault="003679E7" w:rsidP="00E66E80">
      <w:pPr>
        <w:pStyle w:val="SDMHead4"/>
      </w:pPr>
      <w:bookmarkStart w:id="311" w:name="_Ref209698415"/>
      <w:r>
        <w:t>E</w:t>
      </w:r>
      <w:r w:rsidR="004334D2">
        <w:t>lectricity generation component</w:t>
      </w:r>
      <w:bookmarkEnd w:id="311"/>
    </w:p>
    <w:p w14:paraId="366CDF5A" w14:textId="77777777" w:rsidR="00426CAE" w:rsidRDefault="00EC25AB" w:rsidP="00E66E80">
      <w:pPr>
        <w:pStyle w:val="SDMPara"/>
      </w:pPr>
      <w:r w:rsidRPr="00032083">
        <w:t>This section applies to Article 6.4 activities that involve electricity generation.</w:t>
      </w:r>
    </w:p>
    <w:p w14:paraId="365FA1F0" w14:textId="75658E4C" w:rsidR="00FF271A" w:rsidRPr="00032083" w:rsidRDefault="000D6FC9" w:rsidP="00DA05CE">
      <w:pPr>
        <w:pStyle w:val="SDMPara"/>
        <w:keepNext/>
      </w:pPr>
      <w:r w:rsidRPr="00032083">
        <w:t xml:space="preserve">The downward adjusted baseline emissions </w:t>
      </w:r>
      <w:r w:rsidR="00B426CB" w:rsidRPr="00032083">
        <w:t xml:space="preserve">from electricity generation </w:t>
      </w:r>
      <w:r w:rsidRPr="00032083">
        <w:t xml:space="preserve">shall be determined </w:t>
      </w:r>
      <w:r w:rsidR="00B426CB" w:rsidRPr="00032083">
        <w:t>based on an increase in the downward adjustment by 1</w:t>
      </w:r>
      <w:r w:rsidR="003F7966">
        <w:t xml:space="preserve"> per cent</w:t>
      </w:r>
      <w:r w:rsidR="00B426CB" w:rsidRPr="00032083">
        <w:t xml:space="preserve"> per calendar year, as follows:</w:t>
      </w:r>
    </w:p>
    <w:tbl>
      <w:tblPr>
        <w:tblStyle w:val="SDMMethTableEquation"/>
        <w:tblW w:w="8760" w:type="dxa"/>
        <w:tblLook w:val="0600" w:firstRow="0" w:lastRow="0" w:firstColumn="0" w:lastColumn="0" w:noHBand="1" w:noVBand="1"/>
      </w:tblPr>
      <w:tblGrid>
        <w:gridCol w:w="7091"/>
        <w:gridCol w:w="1669"/>
      </w:tblGrid>
      <w:tr w:rsidR="004334D2" w:rsidRPr="000C5FD6" w14:paraId="5346021D" w14:textId="77777777" w:rsidTr="007E5A9B">
        <w:tc>
          <w:tcPr>
            <w:tcW w:w="7091" w:type="dxa"/>
          </w:tcPr>
          <w:p w14:paraId="462C3AB0" w14:textId="52C6BD52" w:rsidR="004334D2" w:rsidRPr="000C5FD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EG,adj,y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EG,y</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DA</m:t>
                        </m:r>
                      </m:e>
                      <m:sub>
                        <m:sSub>
                          <m:sSubPr>
                            <m:ctrlPr>
                              <w:rPr>
                                <w:rFonts w:ascii="Cambria Math" w:hAnsi="Cambria Math"/>
                                <w:i/>
                              </w:rPr>
                            </m:ctrlPr>
                          </m:sSubPr>
                          <m:e>
                            <m:r>
                              <w:rPr>
                                <w:rFonts w:ascii="Cambria Math" w:hAnsi="Cambria Math"/>
                              </w:rPr>
                              <m:t>BE</m:t>
                            </m:r>
                          </m:e>
                          <m:sub>
                            <m:r>
                              <w:rPr>
                                <w:rFonts w:ascii="Cambria Math" w:hAnsi="Cambria Math"/>
                              </w:rPr>
                              <m:t>EG</m:t>
                            </m:r>
                          </m:sub>
                        </m:sSub>
                        <m:r>
                          <w:rPr>
                            <w:rFonts w:ascii="Cambria Math" w:hAnsi="Cambria Math"/>
                          </w:rPr>
                          <m:t>,y1</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BE</m:t>
                            </m:r>
                          </m:e>
                          <m:sub>
                            <m:r>
                              <w:rPr>
                                <w:rFonts w:ascii="Cambria Math" w:hAnsi="Cambria Math"/>
                              </w:rPr>
                              <m:t>EG,</m:t>
                            </m:r>
                            <m:sSub>
                              <m:sSubPr>
                                <m:ctrlPr>
                                  <w:rPr>
                                    <w:rFonts w:ascii="Cambria Math" w:hAnsi="Cambria Math"/>
                                    <w:i/>
                                  </w:rPr>
                                </m:ctrlPr>
                              </m:sSubPr>
                              <m:e>
                                <m:r>
                                  <w:rPr>
                                    <w:rFonts w:ascii="Cambria Math" w:hAnsi="Cambria Math"/>
                                  </w:rPr>
                                  <m:t>y</m:t>
                                </m:r>
                              </m:e>
                              <m:sub>
                                <m:r>
                                  <w:rPr>
                                    <w:rFonts w:ascii="Cambria Math" w:hAnsi="Cambria Math"/>
                                  </w:rPr>
                                  <m:t>1</m:t>
                                </m:r>
                              </m:sub>
                            </m:sSub>
                          </m:sub>
                        </m:sSub>
                        <m:r>
                          <w:rPr>
                            <w:rFonts w:ascii="Cambria Math" w:hAnsi="Cambria Math"/>
                          </w:rPr>
                          <m:t>×0.01×</m:t>
                        </m:r>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e>
                        </m:d>
                      </m:e>
                    </m:d>
                  </m:e>
                </m:d>
              </m:oMath>
            </m:oMathPara>
          </w:p>
        </w:tc>
        <w:tc>
          <w:tcPr>
            <w:tcW w:w="1669" w:type="dxa"/>
          </w:tcPr>
          <w:p w14:paraId="29D45ECF" w14:textId="77777777" w:rsidR="004334D2" w:rsidRPr="000C5FD6" w:rsidRDefault="004334D2" w:rsidP="00247E9F">
            <w:pPr>
              <w:pStyle w:val="SDMMethEquationNr"/>
              <w:numPr>
                <w:ilvl w:val="0"/>
                <w:numId w:val="7"/>
              </w:numPr>
            </w:pPr>
          </w:p>
        </w:tc>
      </w:tr>
    </w:tbl>
    <w:p w14:paraId="3FCC0759"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C5FD6" w14:paraId="5019C5E9" w14:textId="77777777" w:rsidTr="007E5A9B">
        <w:tc>
          <w:tcPr>
            <w:tcW w:w="1701" w:type="dxa"/>
            <w:vAlign w:val="top"/>
          </w:tcPr>
          <w:p w14:paraId="1142C1FE" w14:textId="77777777" w:rsidR="004334D2" w:rsidRPr="000C5FD6"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EG,adj,y</m:t>
                    </m:r>
                  </m:sub>
                </m:sSub>
              </m:oMath>
            </m:oMathPara>
          </w:p>
        </w:tc>
        <w:tc>
          <w:tcPr>
            <w:tcW w:w="345" w:type="dxa"/>
            <w:vAlign w:val="top"/>
          </w:tcPr>
          <w:p w14:paraId="4918ECE3" w14:textId="77777777" w:rsidR="004334D2" w:rsidRPr="000C5FD6" w:rsidRDefault="004334D2" w:rsidP="00081FD4">
            <w:pPr>
              <w:pStyle w:val="SDMTableBoxParaNotNumbered"/>
              <w:rPr>
                <w:rFonts w:cs="Arial"/>
              </w:rPr>
            </w:pPr>
            <w:r w:rsidRPr="000C5FD6">
              <w:rPr>
                <w:rFonts w:cs="Arial"/>
              </w:rPr>
              <w:t>=</w:t>
            </w:r>
          </w:p>
        </w:tc>
        <w:tc>
          <w:tcPr>
            <w:tcW w:w="0" w:type="auto"/>
            <w:vAlign w:val="top"/>
          </w:tcPr>
          <w:p w14:paraId="5C44A278" w14:textId="6A10C005" w:rsidR="004334D2" w:rsidRPr="000C5FD6" w:rsidRDefault="004334D2" w:rsidP="00081FD4">
            <w:pPr>
              <w:pStyle w:val="SDMTableBoxParaNotNumbered"/>
              <w:rPr>
                <w:rFonts w:cs="Arial"/>
              </w:rPr>
            </w:pPr>
            <w:r>
              <w:rPr>
                <w:rFonts w:cs="Arial"/>
              </w:rPr>
              <w:t>Downward adjusted b</w:t>
            </w:r>
            <w:r w:rsidRPr="000C5FD6">
              <w:rPr>
                <w:rFonts w:cs="Arial"/>
              </w:rPr>
              <w:t xml:space="preserve">aseline emissions </w:t>
            </w:r>
            <w:r>
              <w:rPr>
                <w:rFonts w:cs="Arial"/>
              </w:rPr>
              <w:t xml:space="preserve">from the electricity generation component </w:t>
            </w:r>
            <w:r w:rsidRPr="000C5FD6">
              <w:rPr>
                <w:rFonts w:cs="Arial"/>
              </w:rPr>
              <w:t>in year </w:t>
            </w:r>
            <w:r w:rsidRPr="000C5FD6">
              <w:rPr>
                <w:rFonts w:cs="Arial"/>
                <w:i/>
              </w:rPr>
              <w:t>y</w:t>
            </w:r>
            <w:r w:rsidRPr="000C5FD6">
              <w:rPr>
                <w:rFonts w:cs="Arial"/>
              </w:rPr>
              <w:t xml:space="preserve"> (t</w:t>
            </w:r>
            <w:r w:rsidR="001251F8">
              <w:rPr>
                <w:rFonts w:cs="Arial"/>
              </w:rPr>
              <w:t> </w:t>
            </w:r>
            <w:r w:rsidRPr="000C5FD6">
              <w:rPr>
                <w:rFonts w:cs="Arial"/>
              </w:rPr>
              <w:t>CO</w:t>
            </w:r>
            <w:r w:rsidRPr="000C5FD6">
              <w:rPr>
                <w:rFonts w:cs="Arial"/>
                <w:vertAlign w:val="subscript"/>
              </w:rPr>
              <w:t>2</w:t>
            </w:r>
            <w:r w:rsidRPr="000C5FD6">
              <w:rPr>
                <w:rFonts w:cs="Arial"/>
              </w:rPr>
              <w:t>e/y</w:t>
            </w:r>
            <w:r>
              <w:rPr>
                <w:rFonts w:cs="Arial"/>
              </w:rPr>
              <w:t>ea</w:t>
            </w:r>
            <w:r w:rsidRPr="000C5FD6">
              <w:rPr>
                <w:rFonts w:cs="Arial"/>
              </w:rPr>
              <w:t>r)</w:t>
            </w:r>
          </w:p>
        </w:tc>
      </w:tr>
      <w:tr w:rsidR="004334D2" w:rsidRPr="000C5FD6" w14:paraId="2CBE9405" w14:textId="77777777" w:rsidTr="007E5A9B">
        <w:tc>
          <w:tcPr>
            <w:tcW w:w="1701" w:type="dxa"/>
            <w:vAlign w:val="top"/>
          </w:tcPr>
          <w:p w14:paraId="07CA6034" w14:textId="77777777" w:rsidR="004334D2" w:rsidRPr="000C5FD6"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EG,y</m:t>
                    </m:r>
                  </m:sub>
                </m:sSub>
              </m:oMath>
            </m:oMathPara>
          </w:p>
        </w:tc>
        <w:tc>
          <w:tcPr>
            <w:tcW w:w="345" w:type="dxa"/>
            <w:vAlign w:val="top"/>
          </w:tcPr>
          <w:p w14:paraId="79D95539" w14:textId="77777777" w:rsidR="004334D2" w:rsidRPr="000C5FD6" w:rsidRDefault="004334D2" w:rsidP="00081FD4">
            <w:pPr>
              <w:pStyle w:val="SDMTableBoxParaNotNumbered"/>
              <w:rPr>
                <w:rFonts w:cs="Arial"/>
              </w:rPr>
            </w:pPr>
            <w:r w:rsidRPr="000C5FD6">
              <w:rPr>
                <w:rFonts w:cs="Arial"/>
              </w:rPr>
              <w:t>=</w:t>
            </w:r>
          </w:p>
        </w:tc>
        <w:tc>
          <w:tcPr>
            <w:tcW w:w="0" w:type="auto"/>
            <w:vAlign w:val="top"/>
          </w:tcPr>
          <w:p w14:paraId="21A75D9A" w14:textId="1F8777C8" w:rsidR="004334D2" w:rsidRPr="000C5FD6" w:rsidRDefault="004334D2" w:rsidP="00081FD4">
            <w:pPr>
              <w:pStyle w:val="SDMTableBoxParaNotNumbered"/>
              <w:rPr>
                <w:rFonts w:cs="Arial"/>
              </w:rPr>
            </w:pPr>
            <w:r w:rsidRPr="000C5FD6">
              <w:rPr>
                <w:rFonts w:cs="Arial"/>
              </w:rPr>
              <w:t xml:space="preserve">Baseline emissions </w:t>
            </w:r>
            <w:r>
              <w:rPr>
                <w:rFonts w:cs="Arial"/>
              </w:rPr>
              <w:t>from the electricity generation component in year</w:t>
            </w:r>
            <w:r w:rsidR="00F21BF2">
              <w:rPr>
                <w:rFonts w:cs="Arial"/>
              </w:rPr>
              <w:t> </w:t>
            </w:r>
            <w:r w:rsidRPr="000C5FD6">
              <w:rPr>
                <w:rFonts w:cs="Arial"/>
                <w:i/>
              </w:rPr>
              <w:t>y</w:t>
            </w:r>
            <w:r w:rsidRPr="000C5FD6">
              <w:rPr>
                <w:rFonts w:cs="Arial"/>
              </w:rPr>
              <w:t xml:space="preserve"> (t</w:t>
            </w:r>
            <w:r w:rsidR="001251F8">
              <w:rPr>
                <w:rFonts w:cs="Arial"/>
              </w:rPr>
              <w:t> </w:t>
            </w:r>
            <w:r w:rsidRPr="000C5FD6">
              <w:rPr>
                <w:rFonts w:cs="Arial"/>
              </w:rPr>
              <w:t>CO</w:t>
            </w:r>
            <w:r w:rsidRPr="000C5FD6">
              <w:rPr>
                <w:rFonts w:cs="Arial"/>
                <w:vertAlign w:val="subscript"/>
              </w:rPr>
              <w:t>2</w:t>
            </w:r>
            <w:r w:rsidRPr="000C5FD6">
              <w:rPr>
                <w:rFonts w:cs="Arial"/>
              </w:rPr>
              <w:t>e/y</w:t>
            </w:r>
            <w:r>
              <w:rPr>
                <w:rFonts w:cs="Arial"/>
              </w:rPr>
              <w:t>ea</w:t>
            </w:r>
            <w:r w:rsidRPr="000C5FD6">
              <w:rPr>
                <w:rFonts w:cs="Arial"/>
              </w:rPr>
              <w:t>r)</w:t>
            </w:r>
            <w:r>
              <w:rPr>
                <w:rFonts w:cs="Arial"/>
              </w:rPr>
              <w:t xml:space="preserve">, determined based on section </w:t>
            </w:r>
            <w:r>
              <w:rPr>
                <w:rFonts w:cs="Arial"/>
              </w:rPr>
              <w:fldChar w:fldCharType="begin"/>
            </w:r>
            <w:r>
              <w:rPr>
                <w:rFonts w:cs="Arial"/>
              </w:rPr>
              <w:instrText xml:space="preserve"> REF _Ref207379579 \r \p \h </w:instrText>
            </w:r>
            <w:r w:rsidR="00F21BF2">
              <w:rPr>
                <w:rFonts w:cs="Arial"/>
              </w:rPr>
              <w:instrText xml:space="preserve"> \* MERGEFORMAT </w:instrText>
            </w:r>
            <w:r>
              <w:rPr>
                <w:rFonts w:cs="Arial"/>
              </w:rPr>
            </w:r>
            <w:r>
              <w:rPr>
                <w:rFonts w:cs="Arial"/>
              </w:rPr>
              <w:fldChar w:fldCharType="separate"/>
            </w:r>
            <w:r w:rsidR="00302468">
              <w:rPr>
                <w:rFonts w:cs="Arial"/>
                <w:cs/>
              </w:rPr>
              <w:t>‎</w:t>
            </w:r>
            <w:r w:rsidR="00302468">
              <w:rPr>
                <w:rFonts w:cs="Arial"/>
              </w:rPr>
              <w:t>7.3.2.2 above</w:t>
            </w:r>
            <w:r>
              <w:rPr>
                <w:rFonts w:cs="Arial"/>
              </w:rPr>
              <w:fldChar w:fldCharType="end"/>
            </w:r>
          </w:p>
        </w:tc>
      </w:tr>
      <w:tr w:rsidR="004334D2" w:rsidRPr="000C5FD6" w14:paraId="75AC0C94" w14:textId="77777777" w:rsidTr="007E5A9B">
        <w:tc>
          <w:tcPr>
            <w:tcW w:w="1701" w:type="dxa"/>
            <w:vAlign w:val="top"/>
          </w:tcPr>
          <w:p w14:paraId="26414AB3" w14:textId="58ED4BBA" w:rsidR="004334D2" w:rsidRPr="00066025"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DA</m:t>
                    </m:r>
                  </m:e>
                  <m:sub>
                    <m:sSub>
                      <m:sSubPr>
                        <m:ctrlPr>
                          <w:rPr>
                            <w:rFonts w:ascii="Cambria Math" w:hAnsi="Cambria Math"/>
                            <w:i/>
                          </w:rPr>
                        </m:ctrlPr>
                      </m:sSubPr>
                      <m:e>
                        <m:r>
                          <w:rPr>
                            <w:rFonts w:ascii="Cambria Math" w:hAnsi="Cambria Math"/>
                          </w:rPr>
                          <m:t>BE</m:t>
                        </m:r>
                      </m:e>
                      <m:sub>
                        <m:r>
                          <w:rPr>
                            <w:rFonts w:ascii="Cambria Math" w:hAnsi="Cambria Math"/>
                          </w:rPr>
                          <m:t>EG</m:t>
                        </m:r>
                      </m:sub>
                    </m:sSub>
                    <m:r>
                      <w:rPr>
                        <w:rFonts w:ascii="Cambria Math" w:hAnsi="Cambria Math"/>
                      </w:rPr>
                      <m:t>,</m:t>
                    </m:r>
                    <m:sSub>
                      <m:sSubPr>
                        <m:ctrlPr>
                          <w:rPr>
                            <w:rFonts w:ascii="Cambria Math" w:hAnsi="Cambria Math" w:cs="Arial"/>
                            <w:i/>
                            <w:sz w:val="22"/>
                            <w:szCs w:val="22"/>
                          </w:rPr>
                        </m:ctrlPr>
                      </m:sSubPr>
                      <m:e>
                        <m:r>
                          <w:rPr>
                            <w:rFonts w:ascii="Cambria Math" w:hAnsi="Cambria Math"/>
                          </w:rPr>
                          <m:t>y</m:t>
                        </m:r>
                      </m:e>
                      <m:sub>
                        <m:r>
                          <w:rPr>
                            <w:rFonts w:ascii="Cambria Math" w:hAnsi="Cambria Math"/>
                          </w:rPr>
                          <m:t>1</m:t>
                        </m:r>
                      </m:sub>
                    </m:sSub>
                  </m:sub>
                </m:sSub>
              </m:oMath>
            </m:oMathPara>
          </w:p>
        </w:tc>
        <w:tc>
          <w:tcPr>
            <w:tcW w:w="345" w:type="dxa"/>
            <w:vAlign w:val="top"/>
          </w:tcPr>
          <w:p w14:paraId="31DB886C" w14:textId="77777777" w:rsidR="004334D2" w:rsidRPr="000C5FD6" w:rsidRDefault="004334D2" w:rsidP="00081FD4">
            <w:pPr>
              <w:pStyle w:val="SDMTableBoxParaNotNumbered"/>
              <w:rPr>
                <w:rFonts w:cs="Arial"/>
              </w:rPr>
            </w:pPr>
            <w:r>
              <w:rPr>
                <w:rFonts w:cs="Arial"/>
              </w:rPr>
              <w:t>=</w:t>
            </w:r>
          </w:p>
        </w:tc>
        <w:tc>
          <w:tcPr>
            <w:tcW w:w="0" w:type="auto"/>
            <w:vAlign w:val="top"/>
          </w:tcPr>
          <w:p w14:paraId="4E0D7771" w14:textId="7FC69DA2" w:rsidR="004334D2" w:rsidRPr="000C5FD6" w:rsidRDefault="004334D2" w:rsidP="00081FD4">
            <w:pPr>
              <w:pStyle w:val="SDMTableBoxParaNotNumbered"/>
              <w:rPr>
                <w:rFonts w:cs="Arial"/>
              </w:rPr>
            </w:pPr>
            <w:r>
              <w:t xml:space="preserve">Initial downward adjustment to electricity generation component </w:t>
            </w:r>
            <w:r w:rsidRPr="003712D4">
              <w:t>(t</w:t>
            </w:r>
            <w:r w:rsidR="001251F8">
              <w:t> </w:t>
            </w:r>
            <w:r w:rsidRPr="003712D4">
              <w:t>C</w:t>
            </w:r>
            <w:r>
              <w:t>O</w:t>
            </w:r>
            <w:r>
              <w:rPr>
                <w:vertAlign w:val="subscript"/>
              </w:rPr>
              <w:t>2</w:t>
            </w:r>
            <w:r w:rsidRPr="003712D4">
              <w:t>/</w:t>
            </w:r>
            <w:r w:rsidRPr="00B55D50">
              <w:t>year)</w:t>
            </w:r>
            <w:r w:rsidR="002E3621" w:rsidRPr="00AF5B07">
              <w:rPr>
                <w:rFonts w:cs="Arial"/>
              </w:rPr>
              <w:t xml:space="preserve">, determined by replacing </w:t>
            </w:r>
            <m:oMath>
              <m:sSub>
                <m:sSubPr>
                  <m:ctrlPr>
                    <w:rPr>
                      <w:rFonts w:ascii="Cambria Math" w:hAnsi="Cambria Math"/>
                      <w:i/>
                    </w:rPr>
                  </m:ctrlPr>
                </m:sSubPr>
                <m:e>
                  <m:r>
                    <w:rPr>
                      <w:rFonts w:ascii="Cambria Math" w:hAnsi="Cambria Math"/>
                    </w:rPr>
                    <m:t>BE</m:t>
                  </m:r>
                </m:e>
                <m:sub>
                  <m:r>
                    <w:rPr>
                      <w:rFonts w:ascii="Cambria Math" w:hAnsi="Cambria Math"/>
                    </w:rPr>
                    <m:t>act/hist,i,y1</m:t>
                  </m:r>
                </m:sub>
              </m:sSub>
            </m:oMath>
            <w:r w:rsidR="002E3621" w:rsidRPr="00B55D50">
              <w:t xml:space="preserve"> by </w:t>
            </w:r>
            <m:oMath>
              <m:sSub>
                <m:sSubPr>
                  <m:ctrlPr>
                    <w:rPr>
                      <w:rFonts w:ascii="Cambria Math" w:hAnsi="Cambria Math"/>
                      <w:i/>
                    </w:rPr>
                  </m:ctrlPr>
                </m:sSubPr>
                <m:e>
                  <m:r>
                    <w:rPr>
                      <w:rFonts w:ascii="Cambria Math" w:hAnsi="Cambria Math"/>
                    </w:rPr>
                    <m:t>BE</m:t>
                  </m:r>
                </m:e>
                <m:sub>
                  <m:r>
                    <w:rPr>
                      <w:rFonts w:ascii="Cambria Math" w:hAnsi="Cambria Math"/>
                    </w:rPr>
                    <m:t>EG,y1</m:t>
                  </m:r>
                </m:sub>
              </m:sSub>
            </m:oMath>
            <w:r w:rsidR="00707C2B" w:rsidRPr="00B55D50">
              <w:t xml:space="preserve"> and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act/hist,i,y1</m:t>
                      </m:r>
                    </m:sub>
                  </m:sSub>
                </m:sub>
              </m:sSub>
            </m:oMath>
            <w:r w:rsidR="00707C2B" w:rsidRPr="00B55D50">
              <w:t xml:space="preserve"> by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EG,y1</m:t>
                      </m:r>
                    </m:sub>
                  </m:sSub>
                </m:sub>
              </m:sSub>
            </m:oMath>
            <w:r w:rsidR="002E3621" w:rsidRPr="00AF5B07">
              <w:t xml:space="preserve"> </w:t>
            </w:r>
            <w:r w:rsidR="002E3621" w:rsidRPr="00AF5B07">
              <w:rPr>
                <w:rFonts w:cs="Arial"/>
              </w:rPr>
              <w:t xml:space="preserve">in the </w:t>
            </w:r>
            <w:r w:rsidR="00655C8E">
              <w:rPr>
                <w:rFonts w:cs="Arial"/>
              </w:rPr>
              <w:t>E</w:t>
            </w:r>
            <w:r w:rsidR="002E3621" w:rsidRPr="00AF5B07">
              <w:rPr>
                <w:rFonts w:cs="Arial"/>
              </w:rPr>
              <w:t xml:space="preserve">quation </w:t>
            </w:r>
            <w:r w:rsidR="00AF5B07">
              <w:rPr>
                <w:rFonts w:cs="Arial"/>
              </w:rPr>
              <w:t>(27)</w:t>
            </w:r>
            <w:r w:rsidR="00AF5B07" w:rsidRPr="000C5FD6">
              <w:rPr>
                <w:rFonts w:cs="Arial"/>
              </w:rPr>
              <w:t xml:space="preserve"> </w:t>
            </w:r>
          </w:p>
        </w:tc>
      </w:tr>
      <w:tr w:rsidR="004334D2" w:rsidRPr="000C5FD6" w14:paraId="1342A26D" w14:textId="77777777" w:rsidTr="007E5A9B">
        <w:tc>
          <w:tcPr>
            <w:tcW w:w="1701" w:type="dxa"/>
            <w:vAlign w:val="top"/>
          </w:tcPr>
          <w:p w14:paraId="646B847F" w14:textId="77777777" w:rsidR="004334D2" w:rsidRPr="000C5FD6"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EG,</m:t>
                    </m:r>
                    <m:sSub>
                      <m:sSubPr>
                        <m:ctrlPr>
                          <w:rPr>
                            <w:rFonts w:ascii="Cambria Math" w:hAnsi="Cambria Math" w:cs="Arial"/>
                            <w:i/>
                            <w:sz w:val="22"/>
                            <w:szCs w:val="22"/>
                          </w:rPr>
                        </m:ctrlPr>
                      </m:sSubPr>
                      <m:e>
                        <m:r>
                          <w:rPr>
                            <w:rFonts w:ascii="Cambria Math" w:hAnsi="Cambria Math"/>
                          </w:rPr>
                          <m:t>y</m:t>
                        </m:r>
                      </m:e>
                      <m:sub>
                        <m:r>
                          <w:rPr>
                            <w:rFonts w:ascii="Cambria Math" w:hAnsi="Cambria Math"/>
                          </w:rPr>
                          <m:t>1</m:t>
                        </m:r>
                      </m:sub>
                    </m:sSub>
                  </m:sub>
                </m:sSub>
              </m:oMath>
            </m:oMathPara>
          </w:p>
        </w:tc>
        <w:tc>
          <w:tcPr>
            <w:tcW w:w="345" w:type="dxa"/>
            <w:vAlign w:val="top"/>
          </w:tcPr>
          <w:p w14:paraId="0BC6EA5C" w14:textId="77777777" w:rsidR="004334D2" w:rsidRPr="000C5FD6" w:rsidRDefault="004334D2" w:rsidP="00081FD4">
            <w:pPr>
              <w:pStyle w:val="SDMTableBoxParaNotNumbered"/>
              <w:rPr>
                <w:rFonts w:cs="Arial"/>
              </w:rPr>
            </w:pPr>
            <w:r w:rsidRPr="000C5FD6">
              <w:rPr>
                <w:rFonts w:cs="Arial"/>
              </w:rPr>
              <w:t>=</w:t>
            </w:r>
          </w:p>
        </w:tc>
        <w:tc>
          <w:tcPr>
            <w:tcW w:w="0" w:type="auto"/>
            <w:vAlign w:val="top"/>
          </w:tcPr>
          <w:p w14:paraId="69198650" w14:textId="222371EE" w:rsidR="004334D2" w:rsidRPr="000C5FD6" w:rsidRDefault="004334D2" w:rsidP="00081FD4">
            <w:pPr>
              <w:pStyle w:val="SDMTableBoxParaNotNumbered"/>
              <w:rPr>
                <w:rFonts w:cs="Arial"/>
              </w:rPr>
            </w:pPr>
            <w:r>
              <w:rPr>
                <w:rFonts w:cs="Arial"/>
              </w:rPr>
              <w:t>B</w:t>
            </w:r>
            <w:r w:rsidRPr="000C5FD6">
              <w:rPr>
                <w:rFonts w:cs="Arial"/>
              </w:rPr>
              <w:t xml:space="preserve">aseline emissions </w:t>
            </w:r>
            <w:r>
              <w:rPr>
                <w:rFonts w:cs="Arial"/>
              </w:rPr>
              <w:t xml:space="preserve">from the electricity generation component in the calendar year of the start date of the crediting period </w:t>
            </w:r>
            <w:r w:rsidRPr="000C5FD6">
              <w:rPr>
                <w:rFonts w:cs="Arial"/>
              </w:rPr>
              <w:t>(tCO</w:t>
            </w:r>
            <w:r w:rsidRPr="000C5FD6">
              <w:rPr>
                <w:rFonts w:cs="Arial"/>
                <w:vertAlign w:val="subscript"/>
              </w:rPr>
              <w:t>2</w:t>
            </w:r>
            <w:r w:rsidRPr="000C5FD6">
              <w:rPr>
                <w:rFonts w:cs="Arial"/>
              </w:rPr>
              <w:t>/y</w:t>
            </w:r>
            <w:r>
              <w:rPr>
                <w:rFonts w:cs="Arial"/>
              </w:rPr>
              <w:t>ea</w:t>
            </w:r>
            <w:r w:rsidRPr="000C5FD6">
              <w:rPr>
                <w:rFonts w:cs="Arial"/>
              </w:rPr>
              <w:t>r)</w:t>
            </w:r>
          </w:p>
        </w:tc>
      </w:tr>
      <w:tr w:rsidR="004334D2" w:rsidRPr="000C5FD6" w14:paraId="090A179F" w14:textId="77777777" w:rsidTr="007E5A9B">
        <w:tc>
          <w:tcPr>
            <w:tcW w:w="1701" w:type="dxa"/>
            <w:vAlign w:val="top"/>
          </w:tcPr>
          <w:p w14:paraId="7E5DF0A2" w14:textId="77777777" w:rsidR="004334D2" w:rsidRPr="000C5FD6" w:rsidRDefault="004334D2" w:rsidP="00081FD4">
            <w:pPr>
              <w:pStyle w:val="SDMTableBoxParaNotNumbered"/>
              <w:rPr>
                <w:rFonts w:cs="Arial"/>
              </w:rPr>
            </w:pPr>
            <m:oMathPara>
              <m:oMathParaPr>
                <m:jc m:val="left"/>
              </m:oMathParaPr>
              <m:oMath>
                <m:r>
                  <w:rPr>
                    <w:rFonts w:ascii="Cambria Math" w:hAnsi="Cambria Math" w:cs="Arial"/>
                  </w:rPr>
                  <m:t>y</m:t>
                </m:r>
              </m:oMath>
            </m:oMathPara>
          </w:p>
        </w:tc>
        <w:tc>
          <w:tcPr>
            <w:tcW w:w="345" w:type="dxa"/>
            <w:vAlign w:val="top"/>
          </w:tcPr>
          <w:p w14:paraId="74E56A2A" w14:textId="77777777" w:rsidR="004334D2" w:rsidRPr="000C5FD6" w:rsidRDefault="004334D2" w:rsidP="00081FD4">
            <w:pPr>
              <w:pStyle w:val="SDMTableBoxParaNotNumbered"/>
              <w:rPr>
                <w:rFonts w:cs="Arial"/>
              </w:rPr>
            </w:pPr>
            <w:r w:rsidRPr="000C5FD6">
              <w:rPr>
                <w:rFonts w:cs="Arial"/>
              </w:rPr>
              <w:t>=</w:t>
            </w:r>
          </w:p>
        </w:tc>
        <w:tc>
          <w:tcPr>
            <w:tcW w:w="0" w:type="auto"/>
            <w:vAlign w:val="top"/>
          </w:tcPr>
          <w:p w14:paraId="2026BC14" w14:textId="714DD647" w:rsidR="004334D2" w:rsidRPr="000C5FD6" w:rsidRDefault="00407FA7" w:rsidP="00081FD4">
            <w:pPr>
              <w:pStyle w:val="SDMTableBoxParaNotNumbered"/>
              <w:rPr>
                <w:rFonts w:cs="Arial"/>
              </w:rPr>
            </w:pPr>
            <w:r>
              <w:rPr>
                <w:rFonts w:cs="Arial"/>
              </w:rPr>
              <w:t>Calendar y</w:t>
            </w:r>
            <w:r w:rsidR="004334D2">
              <w:rPr>
                <w:rFonts w:cs="Arial"/>
              </w:rPr>
              <w:t>ear</w:t>
            </w:r>
            <w:r>
              <w:rPr>
                <w:rFonts w:cs="Arial"/>
              </w:rPr>
              <w:t>s</w:t>
            </w:r>
            <w:r w:rsidR="004334D2">
              <w:rPr>
                <w:rFonts w:cs="Arial"/>
              </w:rPr>
              <w:t xml:space="preserve"> of the crediting period</w:t>
            </w:r>
            <w:r>
              <w:rPr>
                <w:rFonts w:cs="Arial"/>
              </w:rPr>
              <w:t xml:space="preserve"> after the calendar year of the start date of the crediting period</w:t>
            </w:r>
          </w:p>
        </w:tc>
      </w:tr>
      <w:tr w:rsidR="004334D2" w:rsidRPr="000C5FD6" w14:paraId="26530853" w14:textId="77777777" w:rsidTr="007E5A9B">
        <w:trPr>
          <w:trHeight w:val="25"/>
        </w:trPr>
        <w:tc>
          <w:tcPr>
            <w:tcW w:w="1701" w:type="dxa"/>
            <w:vAlign w:val="top"/>
          </w:tcPr>
          <w:p w14:paraId="6338E5C2" w14:textId="77777777" w:rsidR="004334D2" w:rsidRPr="000C5FD6"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oMath>
            </m:oMathPara>
          </w:p>
        </w:tc>
        <w:tc>
          <w:tcPr>
            <w:tcW w:w="345" w:type="dxa"/>
            <w:vAlign w:val="top"/>
          </w:tcPr>
          <w:p w14:paraId="18D329C2" w14:textId="77777777" w:rsidR="004334D2" w:rsidRPr="000C5FD6" w:rsidRDefault="004334D2" w:rsidP="00081FD4">
            <w:pPr>
              <w:pStyle w:val="SDMTableBoxParaNotNumbered"/>
              <w:rPr>
                <w:rFonts w:cs="Arial"/>
              </w:rPr>
            </w:pPr>
            <w:r w:rsidRPr="000C5FD6">
              <w:rPr>
                <w:rFonts w:cs="Arial"/>
              </w:rPr>
              <w:t>=</w:t>
            </w:r>
          </w:p>
        </w:tc>
        <w:tc>
          <w:tcPr>
            <w:tcW w:w="0" w:type="auto"/>
            <w:vAlign w:val="top"/>
          </w:tcPr>
          <w:p w14:paraId="77F5A8A0" w14:textId="0F37F8BB" w:rsidR="004334D2" w:rsidRPr="000C5FD6" w:rsidRDefault="004334D2" w:rsidP="00081FD4">
            <w:pPr>
              <w:pStyle w:val="SDMTableBoxParaNotNumbered"/>
              <w:rPr>
                <w:rFonts w:cs="Arial"/>
              </w:rPr>
            </w:pPr>
            <w:r>
              <w:rPr>
                <w:rFonts w:cs="Arial"/>
              </w:rPr>
              <w:t>Calendar year of the start date of the crediting period</w:t>
            </w:r>
          </w:p>
        </w:tc>
      </w:tr>
    </w:tbl>
    <w:p w14:paraId="5A7317EA" w14:textId="6011E9D4" w:rsidR="004334D2" w:rsidRPr="00032083" w:rsidRDefault="004334D2" w:rsidP="00E66E80">
      <w:pPr>
        <w:pStyle w:val="SDMPara"/>
      </w:pPr>
      <w:r>
        <w:t xml:space="preserve">For Article 6.4 activities that </w:t>
      </w:r>
      <w:r w:rsidR="0033725D">
        <w:t xml:space="preserve">only </w:t>
      </w:r>
      <w:r>
        <w:t>involve the generation of electricity replacing electricity from new captive fossil fuel fired power plant</w:t>
      </w:r>
      <w:r w:rsidRPr="00032083">
        <w:t xml:space="preserve">, </w:t>
      </w:r>
      <m:oMath>
        <m:sSub>
          <m:sSubPr>
            <m:ctrlPr>
              <w:rPr>
                <w:rFonts w:ascii="Cambria Math" w:hAnsi="Cambria Math"/>
                <w:i/>
              </w:rPr>
            </m:ctrlPr>
          </m:sSubPr>
          <m:e>
            <m:r>
              <w:rPr>
                <w:rFonts w:ascii="Cambria Math" w:hAnsi="Cambria Math"/>
              </w:rPr>
              <m:t>DA</m:t>
            </m:r>
          </m:e>
          <m:sub>
            <m:sSub>
              <m:sSubPr>
                <m:ctrlPr>
                  <w:rPr>
                    <w:rFonts w:ascii="Cambria Math" w:hAnsi="Cambria Math"/>
                    <w:i/>
                  </w:rPr>
                </m:ctrlPr>
              </m:sSubPr>
              <m:e>
                <m:r>
                  <w:rPr>
                    <w:rFonts w:ascii="Cambria Math" w:hAnsi="Cambria Math"/>
                  </w:rPr>
                  <m:t>BE</m:t>
                </m:r>
              </m:e>
              <m:sub>
                <m:r>
                  <w:rPr>
                    <w:rFonts w:ascii="Cambria Math" w:hAnsi="Cambria Math"/>
                  </w:rPr>
                  <m:t>EG</m:t>
                </m:r>
              </m:sub>
            </m:sSub>
            <m:r>
              <w:rPr>
                <w:rFonts w:ascii="Cambria Math" w:hAnsi="Cambria Math"/>
              </w:rPr>
              <m:t>,y1</m:t>
            </m:r>
          </m:sub>
        </m:sSub>
      </m:oMath>
      <w:r w:rsidRPr="00032083">
        <w:t xml:space="preserve"> is equal to 0</w:t>
      </w:r>
      <w:r w:rsidR="003B6ADD" w:rsidRPr="00032083">
        <w:t xml:space="preserve"> as per paragraph </w:t>
      </w:r>
      <w:r w:rsidR="003B6ADD" w:rsidRPr="00032083">
        <w:fldChar w:fldCharType="begin"/>
      </w:r>
      <w:r w:rsidR="003B6ADD" w:rsidRPr="00032083">
        <w:instrText xml:space="preserve"> REF _Ref211202664 \w \p \h </w:instrText>
      </w:r>
      <w:r w:rsidR="007C4FCA" w:rsidRPr="00032083">
        <w:instrText xml:space="preserve"> \* MERGEFORMAT </w:instrText>
      </w:r>
      <w:r w:rsidR="003B6ADD" w:rsidRPr="00032083">
        <w:fldChar w:fldCharType="separate"/>
      </w:r>
      <w:r w:rsidR="00302468">
        <w:rPr>
          <w:cs/>
        </w:rPr>
        <w:t>‎</w:t>
      </w:r>
      <w:r w:rsidR="00302468">
        <w:t>112 above</w:t>
      </w:r>
      <w:r w:rsidR="003B6ADD" w:rsidRPr="00032083">
        <w:fldChar w:fldCharType="end"/>
      </w:r>
      <w:r w:rsidRPr="00032083">
        <w:t>.</w:t>
      </w:r>
    </w:p>
    <w:p w14:paraId="016BE257" w14:textId="7107E2E7" w:rsidR="004334D2" w:rsidRDefault="00C025AF" w:rsidP="00E66E80">
      <w:pPr>
        <w:pStyle w:val="SDMHead4"/>
      </w:pPr>
      <w:bookmarkStart w:id="312" w:name="_Ref209698367"/>
      <w:r>
        <w:t>H</w:t>
      </w:r>
      <w:r w:rsidR="004334D2">
        <w:t>eat generation component</w:t>
      </w:r>
      <w:bookmarkEnd w:id="312"/>
    </w:p>
    <w:p w14:paraId="53D3F515" w14:textId="4F6C044C" w:rsidR="00EC25AB" w:rsidRPr="00032083" w:rsidRDefault="00EC25AB" w:rsidP="00E66E80">
      <w:pPr>
        <w:pStyle w:val="SDMPara"/>
      </w:pPr>
      <w:r w:rsidRPr="00032083">
        <w:t>This section applies to Article 6.4 activities that involve heat generation.</w:t>
      </w:r>
    </w:p>
    <w:p w14:paraId="421A9B8E" w14:textId="28FC2184" w:rsidR="00A26069" w:rsidRPr="00032083" w:rsidRDefault="00A26069" w:rsidP="00DA05CE">
      <w:pPr>
        <w:pStyle w:val="SDMPara"/>
        <w:keepNext/>
      </w:pPr>
      <w:r w:rsidRPr="00032083">
        <w:t>The downward adjusted baseline emissions from heat generation shall be determined based on an increase in the downward adjustment by 1</w:t>
      </w:r>
      <w:r w:rsidR="003F7966">
        <w:t xml:space="preserve"> per cent</w:t>
      </w:r>
      <w:r w:rsidRPr="00032083">
        <w:t xml:space="preserve"> per calendar year, as follows:</w:t>
      </w:r>
    </w:p>
    <w:tbl>
      <w:tblPr>
        <w:tblStyle w:val="SDMMethTableEquation"/>
        <w:tblW w:w="8760" w:type="dxa"/>
        <w:tblLook w:val="0600" w:firstRow="0" w:lastRow="0" w:firstColumn="0" w:lastColumn="0" w:noHBand="1" w:noVBand="1"/>
      </w:tblPr>
      <w:tblGrid>
        <w:gridCol w:w="7091"/>
        <w:gridCol w:w="1669"/>
      </w:tblGrid>
      <w:tr w:rsidR="004334D2" w:rsidRPr="000C5FD6" w14:paraId="3E7D5365" w14:textId="77777777" w:rsidTr="007E5A9B">
        <w:tc>
          <w:tcPr>
            <w:tcW w:w="7091" w:type="dxa"/>
          </w:tcPr>
          <w:p w14:paraId="3F5F54CD" w14:textId="2AD7EA01" w:rsidR="004334D2" w:rsidRPr="000C5FD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HG,adj,y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HG,y</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DA</m:t>
                        </m:r>
                      </m:e>
                      <m:sub>
                        <m:sSub>
                          <m:sSubPr>
                            <m:ctrlPr>
                              <w:rPr>
                                <w:rFonts w:ascii="Cambria Math" w:hAnsi="Cambria Math"/>
                                <w:i/>
                              </w:rPr>
                            </m:ctrlPr>
                          </m:sSubPr>
                          <m:e>
                            <m:r>
                              <w:rPr>
                                <w:rFonts w:ascii="Cambria Math" w:hAnsi="Cambria Math"/>
                              </w:rPr>
                              <m:t>BE</m:t>
                            </m:r>
                          </m:e>
                          <m:sub>
                            <m:r>
                              <w:rPr>
                                <w:rFonts w:ascii="Cambria Math" w:hAnsi="Cambria Math"/>
                              </w:rPr>
                              <m:t>HG</m:t>
                            </m:r>
                          </m:sub>
                        </m:sSub>
                        <m:r>
                          <w:rPr>
                            <w:rFonts w:ascii="Cambria Math" w:hAnsi="Cambria Math"/>
                          </w:rPr>
                          <m:t>,y1</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HG,</m:t>
                        </m:r>
                        <m:sSub>
                          <m:sSubPr>
                            <m:ctrlPr>
                              <w:rPr>
                                <w:rFonts w:ascii="Cambria Math" w:hAnsi="Cambria Math"/>
                                <w:i/>
                              </w:rPr>
                            </m:ctrlPr>
                          </m:sSubPr>
                          <m:e>
                            <m:r>
                              <w:rPr>
                                <w:rFonts w:ascii="Cambria Math" w:hAnsi="Cambria Math"/>
                              </w:rPr>
                              <m:t>y</m:t>
                            </m:r>
                          </m:e>
                          <m:sub>
                            <m:r>
                              <w:rPr>
                                <w:rFonts w:ascii="Cambria Math" w:hAnsi="Cambria Math"/>
                              </w:rPr>
                              <m:t>1</m:t>
                            </m:r>
                          </m:sub>
                        </m:sSub>
                      </m:sub>
                    </m:sSub>
                    <m:r>
                      <w:rPr>
                        <w:rFonts w:ascii="Cambria Math" w:hAnsi="Cambria Math"/>
                      </w:rPr>
                      <m:t>×0.01×</m:t>
                    </m:r>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e>
                    </m:d>
                  </m:e>
                </m:d>
              </m:oMath>
            </m:oMathPara>
          </w:p>
        </w:tc>
        <w:tc>
          <w:tcPr>
            <w:tcW w:w="1669" w:type="dxa"/>
          </w:tcPr>
          <w:p w14:paraId="47450929" w14:textId="77777777" w:rsidR="004334D2" w:rsidRPr="000C5FD6" w:rsidRDefault="004334D2" w:rsidP="00247E9F">
            <w:pPr>
              <w:pStyle w:val="SDMMethEquationNr"/>
              <w:numPr>
                <w:ilvl w:val="0"/>
                <w:numId w:val="7"/>
              </w:numPr>
            </w:pPr>
          </w:p>
        </w:tc>
      </w:tr>
    </w:tbl>
    <w:p w14:paraId="68F519F0"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C5FD6" w14:paraId="16565980" w14:textId="77777777" w:rsidTr="007E5A9B">
        <w:tc>
          <w:tcPr>
            <w:tcW w:w="1701" w:type="dxa"/>
            <w:vAlign w:val="top"/>
          </w:tcPr>
          <w:p w14:paraId="1DF0FAA2" w14:textId="77777777" w:rsidR="004334D2" w:rsidRPr="000C5FD6"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HG,adj,y</m:t>
                    </m:r>
                  </m:sub>
                </m:sSub>
              </m:oMath>
            </m:oMathPara>
          </w:p>
        </w:tc>
        <w:tc>
          <w:tcPr>
            <w:tcW w:w="345" w:type="dxa"/>
            <w:vAlign w:val="top"/>
          </w:tcPr>
          <w:p w14:paraId="40CBE8A7" w14:textId="77777777" w:rsidR="004334D2" w:rsidRPr="000C5FD6" w:rsidRDefault="004334D2" w:rsidP="00081FD4">
            <w:pPr>
              <w:pStyle w:val="SDMTableBoxParaNotNumbered"/>
              <w:rPr>
                <w:rFonts w:cs="Arial"/>
              </w:rPr>
            </w:pPr>
            <w:r w:rsidRPr="000C5FD6">
              <w:rPr>
                <w:rFonts w:cs="Arial"/>
              </w:rPr>
              <w:t>=</w:t>
            </w:r>
          </w:p>
        </w:tc>
        <w:tc>
          <w:tcPr>
            <w:tcW w:w="0" w:type="auto"/>
            <w:vAlign w:val="top"/>
          </w:tcPr>
          <w:p w14:paraId="69A9134D" w14:textId="44E5A772" w:rsidR="004334D2" w:rsidRPr="000C5FD6" w:rsidRDefault="004334D2" w:rsidP="00081FD4">
            <w:pPr>
              <w:pStyle w:val="SDMTableBoxParaNotNumbered"/>
              <w:rPr>
                <w:rFonts w:cs="Arial"/>
              </w:rPr>
            </w:pPr>
            <w:r>
              <w:rPr>
                <w:rFonts w:cs="Arial"/>
              </w:rPr>
              <w:t>Downward adjusted b</w:t>
            </w:r>
            <w:r w:rsidRPr="000C5FD6">
              <w:rPr>
                <w:rFonts w:cs="Arial"/>
              </w:rPr>
              <w:t xml:space="preserve">aseline emissions </w:t>
            </w:r>
            <w:r>
              <w:rPr>
                <w:rFonts w:cs="Arial"/>
              </w:rPr>
              <w:t xml:space="preserve">from the heat generation component </w:t>
            </w:r>
            <w:r w:rsidRPr="000C5FD6">
              <w:rPr>
                <w:rFonts w:cs="Arial"/>
              </w:rPr>
              <w:t>in year </w:t>
            </w:r>
            <w:r w:rsidRPr="000C5FD6">
              <w:rPr>
                <w:rFonts w:cs="Arial"/>
                <w:i/>
              </w:rPr>
              <w:t>y</w:t>
            </w:r>
            <w:r w:rsidRPr="000C5FD6">
              <w:rPr>
                <w:rFonts w:cs="Arial"/>
              </w:rPr>
              <w:t xml:space="preserve"> (t</w:t>
            </w:r>
            <w:r w:rsidR="00D92541">
              <w:rPr>
                <w:rFonts w:cs="Arial"/>
              </w:rPr>
              <w:t> </w:t>
            </w:r>
            <w:r w:rsidRPr="000C5FD6">
              <w:rPr>
                <w:rFonts w:cs="Arial"/>
              </w:rPr>
              <w:t>CO</w:t>
            </w:r>
            <w:r w:rsidRPr="000C5FD6">
              <w:rPr>
                <w:rFonts w:cs="Arial"/>
                <w:vertAlign w:val="subscript"/>
              </w:rPr>
              <w:t>2</w:t>
            </w:r>
            <w:r w:rsidRPr="000C5FD6">
              <w:rPr>
                <w:rFonts w:cs="Arial"/>
              </w:rPr>
              <w:t>e/y</w:t>
            </w:r>
            <w:r>
              <w:rPr>
                <w:rFonts w:cs="Arial"/>
              </w:rPr>
              <w:t>ea</w:t>
            </w:r>
            <w:r w:rsidRPr="000C5FD6">
              <w:rPr>
                <w:rFonts w:cs="Arial"/>
              </w:rPr>
              <w:t>r)</w:t>
            </w:r>
          </w:p>
        </w:tc>
      </w:tr>
      <w:tr w:rsidR="004334D2" w:rsidRPr="00032083" w14:paraId="6A05F6D5" w14:textId="77777777" w:rsidTr="007E5A9B">
        <w:tc>
          <w:tcPr>
            <w:tcW w:w="1701" w:type="dxa"/>
            <w:vAlign w:val="top"/>
          </w:tcPr>
          <w:p w14:paraId="09B445E4" w14:textId="38185D6B" w:rsidR="004334D2" w:rsidRPr="00032083"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HG,y</m:t>
                    </m:r>
                  </m:sub>
                </m:sSub>
              </m:oMath>
            </m:oMathPara>
          </w:p>
        </w:tc>
        <w:tc>
          <w:tcPr>
            <w:tcW w:w="345" w:type="dxa"/>
            <w:vAlign w:val="top"/>
          </w:tcPr>
          <w:p w14:paraId="63E9ECC1" w14:textId="77777777" w:rsidR="004334D2" w:rsidRPr="00032083" w:rsidRDefault="004334D2" w:rsidP="00081FD4">
            <w:pPr>
              <w:pStyle w:val="SDMTableBoxParaNotNumbered"/>
              <w:rPr>
                <w:rFonts w:cs="Arial"/>
              </w:rPr>
            </w:pPr>
            <w:r w:rsidRPr="00032083">
              <w:rPr>
                <w:rFonts w:cs="Arial"/>
              </w:rPr>
              <w:t>=</w:t>
            </w:r>
          </w:p>
        </w:tc>
        <w:tc>
          <w:tcPr>
            <w:tcW w:w="0" w:type="auto"/>
            <w:vAlign w:val="top"/>
          </w:tcPr>
          <w:p w14:paraId="202C9968" w14:textId="188CF2FE" w:rsidR="004334D2" w:rsidRPr="00032083" w:rsidRDefault="004334D2" w:rsidP="00081FD4">
            <w:pPr>
              <w:pStyle w:val="SDMTableBoxParaNotNumbered"/>
              <w:rPr>
                <w:rFonts w:cs="Arial"/>
              </w:rPr>
            </w:pPr>
            <w:r w:rsidRPr="00032083">
              <w:rPr>
                <w:rFonts w:cs="Arial"/>
              </w:rPr>
              <w:t>Baseline emissions from the heat generation component in year</w:t>
            </w:r>
            <w:r w:rsidR="00DA0B1A">
              <w:rPr>
                <w:rFonts w:cs="Arial"/>
              </w:rPr>
              <w:t> </w:t>
            </w:r>
            <w:r w:rsidRPr="00032083">
              <w:rPr>
                <w:rFonts w:cs="Arial"/>
                <w:i/>
              </w:rPr>
              <w:t>y</w:t>
            </w:r>
            <w:r w:rsidRPr="00032083">
              <w:rPr>
                <w:rFonts w:cs="Arial"/>
              </w:rPr>
              <w:t xml:space="preserve"> (</w:t>
            </w:r>
            <w:r w:rsidRPr="000C5FD6">
              <w:rPr>
                <w:rFonts w:cs="Arial"/>
              </w:rPr>
              <w:t>t</w:t>
            </w:r>
            <w:r w:rsidR="00D92541">
              <w:rPr>
                <w:rFonts w:cs="Arial"/>
              </w:rPr>
              <w:t> </w:t>
            </w:r>
            <w:r w:rsidRPr="000C5FD6">
              <w:rPr>
                <w:rFonts w:cs="Arial"/>
              </w:rPr>
              <w:t>CO</w:t>
            </w:r>
            <w:r w:rsidRPr="000C5FD6">
              <w:rPr>
                <w:rFonts w:cs="Arial"/>
                <w:vertAlign w:val="subscript"/>
              </w:rPr>
              <w:t>2</w:t>
            </w:r>
            <w:r w:rsidRPr="000C5FD6">
              <w:rPr>
                <w:rFonts w:cs="Arial"/>
              </w:rPr>
              <w:t>e</w:t>
            </w:r>
            <w:r w:rsidRPr="00032083">
              <w:rPr>
                <w:rFonts w:cs="Arial"/>
              </w:rPr>
              <w:t xml:space="preserve">/year), determined based on section </w:t>
            </w:r>
            <w:r w:rsidRPr="00032083">
              <w:rPr>
                <w:rFonts w:cs="Arial"/>
              </w:rPr>
              <w:fldChar w:fldCharType="begin"/>
            </w:r>
            <w:r w:rsidRPr="00032083">
              <w:rPr>
                <w:rFonts w:cs="Arial"/>
              </w:rPr>
              <w:instrText xml:space="preserve"> REF _Ref207380852 \w \p \h </w:instrText>
            </w:r>
            <w:r w:rsidR="00032083">
              <w:rPr>
                <w:rFonts w:cs="Arial"/>
              </w:rPr>
              <w:instrText xml:space="preserve"> \* MERGEFORMAT </w:instrText>
            </w:r>
            <w:r w:rsidRPr="00032083">
              <w:rPr>
                <w:rFonts w:cs="Arial"/>
              </w:rPr>
            </w:r>
            <w:r w:rsidRPr="00032083">
              <w:rPr>
                <w:rFonts w:cs="Arial"/>
              </w:rPr>
              <w:fldChar w:fldCharType="separate"/>
            </w:r>
            <w:r w:rsidR="00302468">
              <w:rPr>
                <w:rFonts w:cs="Arial"/>
                <w:cs/>
              </w:rPr>
              <w:t>‎</w:t>
            </w:r>
            <w:r w:rsidR="00302468">
              <w:rPr>
                <w:rFonts w:cs="Arial"/>
              </w:rPr>
              <w:t>7.3.2.3 above</w:t>
            </w:r>
            <w:r w:rsidRPr="00032083">
              <w:rPr>
                <w:rFonts w:cs="Arial"/>
              </w:rPr>
              <w:fldChar w:fldCharType="end"/>
            </w:r>
          </w:p>
        </w:tc>
      </w:tr>
      <w:tr w:rsidR="004334D2" w:rsidRPr="00032083" w14:paraId="22DF589E" w14:textId="77777777" w:rsidTr="007E5A9B">
        <w:tc>
          <w:tcPr>
            <w:tcW w:w="1701" w:type="dxa"/>
            <w:vAlign w:val="top"/>
          </w:tcPr>
          <w:p w14:paraId="01DB313C" w14:textId="14D3B48F" w:rsidR="004334D2" w:rsidRPr="00032083"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DA</m:t>
                    </m:r>
                  </m:e>
                  <m:sub>
                    <m:sSub>
                      <m:sSubPr>
                        <m:ctrlPr>
                          <w:rPr>
                            <w:rFonts w:ascii="Cambria Math" w:hAnsi="Cambria Math"/>
                            <w:i/>
                          </w:rPr>
                        </m:ctrlPr>
                      </m:sSubPr>
                      <m:e>
                        <m:r>
                          <w:rPr>
                            <w:rFonts w:ascii="Cambria Math" w:hAnsi="Cambria Math"/>
                          </w:rPr>
                          <m:t>BE</m:t>
                        </m:r>
                      </m:e>
                      <m:sub>
                        <m:r>
                          <w:rPr>
                            <w:rFonts w:ascii="Cambria Math" w:hAnsi="Cambria Math"/>
                          </w:rPr>
                          <m:t>HG</m:t>
                        </m:r>
                      </m:sub>
                    </m:sSub>
                    <m:r>
                      <w:rPr>
                        <w:rFonts w:ascii="Cambria Math" w:hAnsi="Cambria Math"/>
                      </w:rPr>
                      <m:t>,y1</m:t>
                    </m:r>
                  </m:sub>
                </m:sSub>
              </m:oMath>
            </m:oMathPara>
          </w:p>
        </w:tc>
        <w:tc>
          <w:tcPr>
            <w:tcW w:w="345" w:type="dxa"/>
            <w:vAlign w:val="top"/>
          </w:tcPr>
          <w:p w14:paraId="50FC74D5" w14:textId="77777777" w:rsidR="004334D2" w:rsidRPr="00032083" w:rsidRDefault="004334D2" w:rsidP="00081FD4">
            <w:pPr>
              <w:pStyle w:val="SDMTableBoxParaNotNumbered"/>
              <w:rPr>
                <w:rFonts w:cs="Arial"/>
              </w:rPr>
            </w:pPr>
            <w:r w:rsidRPr="00032083">
              <w:rPr>
                <w:rFonts w:cs="Arial"/>
              </w:rPr>
              <w:t>=</w:t>
            </w:r>
          </w:p>
        </w:tc>
        <w:tc>
          <w:tcPr>
            <w:tcW w:w="0" w:type="auto"/>
            <w:vAlign w:val="top"/>
          </w:tcPr>
          <w:p w14:paraId="001AE567" w14:textId="16FB467A" w:rsidR="004334D2" w:rsidRPr="00032083" w:rsidRDefault="004334D2" w:rsidP="00081FD4">
            <w:pPr>
              <w:pStyle w:val="SDMTableBoxParaNotNumbered"/>
              <w:rPr>
                <w:rFonts w:cs="Arial"/>
              </w:rPr>
            </w:pPr>
            <w:r w:rsidRPr="00032083">
              <w:t>Initial downward adjustment to heat generation component (</w:t>
            </w:r>
            <w:r w:rsidRPr="003712D4">
              <w:t>t</w:t>
            </w:r>
            <w:r w:rsidR="00D92541">
              <w:t> </w:t>
            </w:r>
            <w:r w:rsidRPr="003712D4">
              <w:t>C</w:t>
            </w:r>
            <w:r>
              <w:t>O</w:t>
            </w:r>
            <w:r>
              <w:rPr>
                <w:vertAlign w:val="subscript"/>
              </w:rPr>
              <w:t>2</w:t>
            </w:r>
            <w:r w:rsidRPr="00032083">
              <w:t>/year)</w:t>
            </w:r>
            <w:r w:rsidR="00A14AE1" w:rsidRPr="00032083">
              <w:rPr>
                <w:rFonts w:cs="Arial"/>
              </w:rPr>
              <w:t xml:space="preserve">, determined by replacing </w:t>
            </w:r>
            <m:oMath>
              <m:sSub>
                <m:sSubPr>
                  <m:ctrlPr>
                    <w:rPr>
                      <w:rFonts w:ascii="Cambria Math" w:hAnsi="Cambria Math"/>
                      <w:i/>
                    </w:rPr>
                  </m:ctrlPr>
                </m:sSubPr>
                <m:e>
                  <m:r>
                    <w:rPr>
                      <w:rFonts w:ascii="Cambria Math" w:hAnsi="Cambria Math"/>
                    </w:rPr>
                    <m:t>BE</m:t>
                  </m:r>
                </m:e>
                <m:sub>
                  <m:r>
                    <w:rPr>
                      <w:rFonts w:ascii="Cambria Math" w:hAnsi="Cambria Math"/>
                    </w:rPr>
                    <m:t>act/hist,i,y1</m:t>
                  </m:r>
                </m:sub>
              </m:sSub>
            </m:oMath>
            <w:r w:rsidR="00A14AE1" w:rsidRPr="00032083">
              <w:t xml:space="preserve"> by </w:t>
            </w:r>
            <m:oMath>
              <m:sSub>
                <m:sSubPr>
                  <m:ctrlPr>
                    <w:rPr>
                      <w:rFonts w:ascii="Cambria Math" w:hAnsi="Cambria Math"/>
                      <w:i/>
                    </w:rPr>
                  </m:ctrlPr>
                </m:sSubPr>
                <m:e>
                  <m:r>
                    <w:rPr>
                      <w:rFonts w:ascii="Cambria Math" w:hAnsi="Cambria Math"/>
                    </w:rPr>
                    <m:t>BE</m:t>
                  </m:r>
                </m:e>
                <m:sub>
                  <m:r>
                    <w:rPr>
                      <w:rFonts w:ascii="Cambria Math" w:hAnsi="Cambria Math"/>
                    </w:rPr>
                    <m:t>HG,</m:t>
                  </m:r>
                  <m:sSub>
                    <m:sSubPr>
                      <m:ctrlPr>
                        <w:rPr>
                          <w:rFonts w:ascii="Cambria Math" w:hAnsi="Cambria Math"/>
                          <w:i/>
                        </w:rPr>
                      </m:ctrlPr>
                    </m:sSubPr>
                    <m:e>
                      <m:r>
                        <w:rPr>
                          <w:rFonts w:ascii="Cambria Math" w:hAnsi="Cambria Math"/>
                        </w:rPr>
                        <m:t>y</m:t>
                      </m:r>
                    </m:e>
                    <m:sub>
                      <m:r>
                        <w:rPr>
                          <w:rFonts w:ascii="Cambria Math" w:hAnsi="Cambria Math"/>
                        </w:rPr>
                        <m:t>1</m:t>
                      </m:r>
                    </m:sub>
                  </m:sSub>
                </m:sub>
              </m:sSub>
            </m:oMath>
            <w:r w:rsidR="00DE3B58" w:rsidRPr="00357AE3">
              <w:t xml:space="preserve"> </w:t>
            </w:r>
            <w:r w:rsidR="00DE3B58">
              <w:t xml:space="preserve">and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act/hist,i,y1</m:t>
                      </m:r>
                    </m:sub>
                  </m:sSub>
                </m:sub>
              </m:sSub>
            </m:oMath>
            <w:r w:rsidR="00DE3B58" w:rsidRPr="00357AE3">
              <w:t xml:space="preserve"> by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HG,y1</m:t>
                      </m:r>
                    </m:sub>
                  </m:sSub>
                </m:sub>
              </m:sSub>
            </m:oMath>
            <w:r w:rsidR="00A14AE1" w:rsidRPr="00032083">
              <w:t xml:space="preserve"> </w:t>
            </w:r>
            <w:r w:rsidR="00A14AE1" w:rsidRPr="00032083">
              <w:rPr>
                <w:rFonts w:cs="Arial"/>
              </w:rPr>
              <w:t xml:space="preserve">in </w:t>
            </w:r>
            <w:r w:rsidR="00655C8E">
              <w:rPr>
                <w:rFonts w:cs="Arial"/>
              </w:rPr>
              <w:t>E</w:t>
            </w:r>
            <w:r w:rsidR="00A14AE1" w:rsidRPr="00032083">
              <w:rPr>
                <w:rFonts w:cs="Arial"/>
              </w:rPr>
              <w:t xml:space="preserve">quation </w:t>
            </w:r>
            <w:r w:rsidR="00857D57">
              <w:rPr>
                <w:rFonts w:cs="Arial"/>
              </w:rPr>
              <w:t>(27)</w:t>
            </w:r>
          </w:p>
        </w:tc>
      </w:tr>
      <w:tr w:rsidR="004334D2" w:rsidRPr="00032083" w14:paraId="30ED5AE9" w14:textId="77777777" w:rsidTr="007E5A9B">
        <w:tc>
          <w:tcPr>
            <w:tcW w:w="1701" w:type="dxa"/>
            <w:vAlign w:val="top"/>
          </w:tcPr>
          <w:p w14:paraId="6D5761B7" w14:textId="77777777" w:rsidR="004334D2" w:rsidRPr="00032083"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HG,</m:t>
                    </m:r>
                    <m:sSub>
                      <m:sSubPr>
                        <m:ctrlPr>
                          <w:rPr>
                            <w:rFonts w:ascii="Cambria Math" w:hAnsi="Cambria Math" w:cs="Arial"/>
                            <w:i/>
                            <w:sz w:val="22"/>
                            <w:szCs w:val="22"/>
                          </w:rPr>
                        </m:ctrlPr>
                      </m:sSubPr>
                      <m:e>
                        <m:r>
                          <w:rPr>
                            <w:rFonts w:ascii="Cambria Math" w:hAnsi="Cambria Math"/>
                          </w:rPr>
                          <m:t>y</m:t>
                        </m:r>
                      </m:e>
                      <m:sub>
                        <m:r>
                          <w:rPr>
                            <w:rFonts w:ascii="Cambria Math" w:hAnsi="Cambria Math"/>
                          </w:rPr>
                          <m:t>1</m:t>
                        </m:r>
                      </m:sub>
                    </m:sSub>
                  </m:sub>
                </m:sSub>
              </m:oMath>
            </m:oMathPara>
          </w:p>
        </w:tc>
        <w:tc>
          <w:tcPr>
            <w:tcW w:w="345" w:type="dxa"/>
            <w:vAlign w:val="top"/>
          </w:tcPr>
          <w:p w14:paraId="4C4C9A2C" w14:textId="77777777" w:rsidR="004334D2" w:rsidRPr="00032083" w:rsidRDefault="004334D2" w:rsidP="00081FD4">
            <w:pPr>
              <w:pStyle w:val="SDMTableBoxParaNotNumbered"/>
              <w:rPr>
                <w:rFonts w:cs="Arial"/>
              </w:rPr>
            </w:pPr>
            <w:r w:rsidRPr="00032083">
              <w:rPr>
                <w:rFonts w:cs="Arial"/>
              </w:rPr>
              <w:t>=</w:t>
            </w:r>
          </w:p>
        </w:tc>
        <w:tc>
          <w:tcPr>
            <w:tcW w:w="0" w:type="auto"/>
            <w:vAlign w:val="top"/>
          </w:tcPr>
          <w:p w14:paraId="31C36B05" w14:textId="7C26AC35" w:rsidR="004334D2" w:rsidRPr="00032083" w:rsidRDefault="004334D2" w:rsidP="00081FD4">
            <w:pPr>
              <w:pStyle w:val="SDMTableBoxParaNotNumbered"/>
              <w:rPr>
                <w:rFonts w:cs="Arial"/>
              </w:rPr>
            </w:pPr>
            <w:r w:rsidRPr="00032083">
              <w:rPr>
                <w:rFonts w:cs="Arial"/>
              </w:rPr>
              <w:t>Baseline emissions from the heat generation component in the calendar year of the start date of the crediting period (</w:t>
            </w:r>
            <w:r w:rsidRPr="000C5FD6">
              <w:rPr>
                <w:rFonts w:cs="Arial"/>
              </w:rPr>
              <w:t>t</w:t>
            </w:r>
            <w:r w:rsidR="00D92541">
              <w:rPr>
                <w:rFonts w:cs="Arial"/>
              </w:rPr>
              <w:t> </w:t>
            </w:r>
            <w:r w:rsidRPr="000C5FD6">
              <w:rPr>
                <w:rFonts w:cs="Arial"/>
              </w:rPr>
              <w:t>CO</w:t>
            </w:r>
            <w:r w:rsidRPr="000C5FD6">
              <w:rPr>
                <w:rFonts w:cs="Arial"/>
                <w:vertAlign w:val="subscript"/>
              </w:rPr>
              <w:t>2</w:t>
            </w:r>
            <w:r w:rsidRPr="00032083">
              <w:rPr>
                <w:rFonts w:cs="Arial"/>
              </w:rPr>
              <w:t>/year)</w:t>
            </w:r>
          </w:p>
        </w:tc>
      </w:tr>
      <w:tr w:rsidR="004334D2" w:rsidRPr="00032083" w14:paraId="7F516A5C" w14:textId="77777777" w:rsidTr="007E5A9B">
        <w:tc>
          <w:tcPr>
            <w:tcW w:w="1701" w:type="dxa"/>
            <w:vAlign w:val="top"/>
          </w:tcPr>
          <w:p w14:paraId="1CC56A0C" w14:textId="77777777" w:rsidR="004334D2" w:rsidRPr="00032083" w:rsidRDefault="004334D2" w:rsidP="00081FD4">
            <w:pPr>
              <w:pStyle w:val="SDMTableBoxParaNotNumbered"/>
              <w:rPr>
                <w:rFonts w:cs="Arial"/>
              </w:rPr>
            </w:pPr>
            <m:oMathPara>
              <m:oMathParaPr>
                <m:jc m:val="left"/>
              </m:oMathParaPr>
              <m:oMath>
                <m:r>
                  <w:rPr>
                    <w:rFonts w:ascii="Cambria Math" w:hAnsi="Cambria Math" w:cs="Arial"/>
                  </w:rPr>
                  <m:t>y</m:t>
                </m:r>
              </m:oMath>
            </m:oMathPara>
          </w:p>
        </w:tc>
        <w:tc>
          <w:tcPr>
            <w:tcW w:w="345" w:type="dxa"/>
            <w:vAlign w:val="top"/>
          </w:tcPr>
          <w:p w14:paraId="5C821A2F" w14:textId="77777777" w:rsidR="004334D2" w:rsidRPr="00032083" w:rsidRDefault="004334D2" w:rsidP="00081FD4">
            <w:pPr>
              <w:pStyle w:val="SDMTableBoxParaNotNumbered"/>
              <w:rPr>
                <w:rFonts w:cs="Arial"/>
              </w:rPr>
            </w:pPr>
            <w:r w:rsidRPr="00032083">
              <w:rPr>
                <w:rFonts w:cs="Arial"/>
              </w:rPr>
              <w:t>=</w:t>
            </w:r>
          </w:p>
        </w:tc>
        <w:tc>
          <w:tcPr>
            <w:tcW w:w="0" w:type="auto"/>
            <w:vAlign w:val="top"/>
          </w:tcPr>
          <w:p w14:paraId="06337663" w14:textId="04AAEBAA" w:rsidR="004334D2" w:rsidRPr="00032083" w:rsidRDefault="00284C49" w:rsidP="00081FD4">
            <w:pPr>
              <w:pStyle w:val="SDMTableBoxParaNotNumbered"/>
              <w:rPr>
                <w:rFonts w:cs="Arial"/>
              </w:rPr>
            </w:pPr>
            <w:r w:rsidRPr="00032083">
              <w:rPr>
                <w:rFonts w:cs="Arial"/>
              </w:rPr>
              <w:t>Calendar y</w:t>
            </w:r>
            <w:r w:rsidR="004334D2" w:rsidRPr="00032083">
              <w:rPr>
                <w:rFonts w:cs="Arial"/>
              </w:rPr>
              <w:t>ear</w:t>
            </w:r>
            <w:r w:rsidRPr="00032083">
              <w:rPr>
                <w:rFonts w:cs="Arial"/>
              </w:rPr>
              <w:t>s</w:t>
            </w:r>
            <w:r w:rsidR="004334D2" w:rsidRPr="00032083">
              <w:rPr>
                <w:rFonts w:cs="Arial"/>
              </w:rPr>
              <w:t xml:space="preserve"> of the crediting period</w:t>
            </w:r>
            <w:r w:rsidRPr="00032083">
              <w:rPr>
                <w:rFonts w:cs="Arial"/>
              </w:rPr>
              <w:t xml:space="preserve"> after the calendar year of the start date of the crediting period</w:t>
            </w:r>
          </w:p>
        </w:tc>
      </w:tr>
      <w:tr w:rsidR="004334D2" w:rsidRPr="00032083" w14:paraId="01D2521C" w14:textId="77777777" w:rsidTr="007E5A9B">
        <w:trPr>
          <w:trHeight w:val="25"/>
        </w:trPr>
        <w:tc>
          <w:tcPr>
            <w:tcW w:w="1701" w:type="dxa"/>
            <w:vAlign w:val="top"/>
          </w:tcPr>
          <w:p w14:paraId="716A46AD" w14:textId="77777777" w:rsidR="004334D2" w:rsidRPr="00032083"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oMath>
            </m:oMathPara>
          </w:p>
        </w:tc>
        <w:tc>
          <w:tcPr>
            <w:tcW w:w="345" w:type="dxa"/>
            <w:vAlign w:val="top"/>
          </w:tcPr>
          <w:p w14:paraId="15265369" w14:textId="77777777" w:rsidR="004334D2" w:rsidRPr="00032083" w:rsidRDefault="004334D2" w:rsidP="00081FD4">
            <w:pPr>
              <w:pStyle w:val="SDMTableBoxParaNotNumbered"/>
              <w:rPr>
                <w:rFonts w:cs="Arial"/>
              </w:rPr>
            </w:pPr>
            <w:r w:rsidRPr="00032083">
              <w:rPr>
                <w:rFonts w:cs="Arial"/>
              </w:rPr>
              <w:t>=</w:t>
            </w:r>
          </w:p>
        </w:tc>
        <w:tc>
          <w:tcPr>
            <w:tcW w:w="0" w:type="auto"/>
            <w:vAlign w:val="top"/>
          </w:tcPr>
          <w:p w14:paraId="7A5AA0A8" w14:textId="13F54CA8" w:rsidR="004334D2" w:rsidRPr="00032083" w:rsidRDefault="004334D2" w:rsidP="00081FD4">
            <w:pPr>
              <w:pStyle w:val="SDMTableBoxParaNotNumbered"/>
              <w:rPr>
                <w:rFonts w:cs="Arial"/>
              </w:rPr>
            </w:pPr>
            <w:r w:rsidRPr="00032083">
              <w:rPr>
                <w:rFonts w:cs="Arial"/>
              </w:rPr>
              <w:t>Calendar year of the start date of the crediting period</w:t>
            </w:r>
          </w:p>
        </w:tc>
      </w:tr>
    </w:tbl>
    <w:p w14:paraId="1D6530A0" w14:textId="68B8323B" w:rsidR="00426CAE" w:rsidRDefault="004334D2" w:rsidP="00E66E80">
      <w:pPr>
        <w:pStyle w:val="SDMPara"/>
        <w:keepNext/>
      </w:pPr>
      <w:r w:rsidRPr="00032083">
        <w:t xml:space="preserve">For Article 6.4 activities that </w:t>
      </w:r>
      <w:r w:rsidR="0033725D">
        <w:t xml:space="preserve">only </w:t>
      </w:r>
      <w:r w:rsidRPr="00032083">
        <w:t xml:space="preserve">involve the heat generation replacing heat generated in a new equipment, </w:t>
      </w:r>
      <m:oMath>
        <m:sSub>
          <m:sSubPr>
            <m:ctrlPr>
              <w:rPr>
                <w:rFonts w:ascii="Cambria Math" w:hAnsi="Cambria Math"/>
                <w:i/>
                <w:sz w:val="20"/>
                <w:szCs w:val="20"/>
              </w:rPr>
            </m:ctrlPr>
          </m:sSubPr>
          <m:e>
            <m:r>
              <w:rPr>
                <w:rFonts w:ascii="Cambria Math" w:hAnsi="Cambria Math"/>
                <w:sz w:val="20"/>
                <w:szCs w:val="20"/>
              </w:rPr>
              <m:t>DA</m:t>
            </m:r>
          </m:e>
          <m:sub>
            <m:sSub>
              <m:sSubPr>
                <m:ctrlPr>
                  <w:rPr>
                    <w:rFonts w:ascii="Cambria Math" w:hAnsi="Cambria Math"/>
                    <w:i/>
                    <w:sz w:val="20"/>
                    <w:szCs w:val="20"/>
                  </w:rPr>
                </m:ctrlPr>
              </m:sSubPr>
              <m:e>
                <m:r>
                  <w:rPr>
                    <w:rFonts w:ascii="Cambria Math" w:hAnsi="Cambria Math"/>
                    <w:sz w:val="20"/>
                    <w:szCs w:val="20"/>
                  </w:rPr>
                  <m:t>BE</m:t>
                </m:r>
              </m:e>
              <m:sub>
                <m:r>
                  <w:rPr>
                    <w:rFonts w:ascii="Cambria Math" w:hAnsi="Cambria Math"/>
                    <w:sz w:val="20"/>
                    <w:szCs w:val="20"/>
                  </w:rPr>
                  <m:t>HG</m:t>
                </m:r>
              </m:sub>
            </m:sSub>
            <m:r>
              <w:rPr>
                <w:rFonts w:ascii="Cambria Math" w:hAnsi="Cambria Math"/>
                <w:sz w:val="20"/>
                <w:szCs w:val="20"/>
              </w:rPr>
              <m:t>,y1</m:t>
            </m:r>
          </m:sub>
        </m:sSub>
      </m:oMath>
      <w:r w:rsidRPr="00032083">
        <w:t xml:space="preserve"> is equal to 0</w:t>
      </w:r>
      <w:r w:rsidR="00ED5976" w:rsidRPr="00032083">
        <w:t xml:space="preserve"> as per paragraph </w:t>
      </w:r>
      <w:r w:rsidR="00ED5976" w:rsidRPr="00032083">
        <w:fldChar w:fldCharType="begin"/>
      </w:r>
      <w:r w:rsidR="00ED5976" w:rsidRPr="00032083">
        <w:instrText xml:space="preserve"> REF _Ref211202664 \w \p \h </w:instrText>
      </w:r>
      <w:r w:rsidR="007C4FCA" w:rsidRPr="00032083">
        <w:instrText xml:space="preserve"> \* MERGEFORMAT </w:instrText>
      </w:r>
      <w:r w:rsidR="00ED5976" w:rsidRPr="00032083">
        <w:fldChar w:fldCharType="separate"/>
      </w:r>
      <w:r w:rsidR="00302468">
        <w:rPr>
          <w:cs/>
        </w:rPr>
        <w:t>‎</w:t>
      </w:r>
      <w:r w:rsidR="00302468">
        <w:t>112 above</w:t>
      </w:r>
      <w:r w:rsidR="00ED5976" w:rsidRPr="00032083">
        <w:fldChar w:fldCharType="end"/>
      </w:r>
      <w:r w:rsidRPr="00032083">
        <w:t>.</w:t>
      </w:r>
    </w:p>
    <w:p w14:paraId="069B1354" w14:textId="16A6F081" w:rsidR="004334D2" w:rsidRDefault="00C8509F" w:rsidP="00E66E80">
      <w:pPr>
        <w:pStyle w:val="SDMHead4"/>
      </w:pPr>
      <w:bookmarkStart w:id="313" w:name="_Ref211555599"/>
      <w:r w:rsidRPr="000B052F">
        <w:t xml:space="preserve">LFG or biomethane supplied to consumers replacing natural </w:t>
      </w:r>
      <w:r w:rsidRPr="000C5FD6">
        <w:t xml:space="preserve">use </w:t>
      </w:r>
      <w:r>
        <w:t>from a natural gas network</w:t>
      </w:r>
      <w:bookmarkEnd w:id="313"/>
    </w:p>
    <w:p w14:paraId="781F26E9" w14:textId="5736460F" w:rsidR="008804F4" w:rsidRPr="00032083" w:rsidRDefault="008804F4" w:rsidP="00E66E80">
      <w:pPr>
        <w:pStyle w:val="SDMPara"/>
      </w:pPr>
      <w:r w:rsidRPr="00032083">
        <w:t>This section applies to Article 6.4 activities that involve the supply of LFG or biomethane to consumers.</w:t>
      </w:r>
    </w:p>
    <w:p w14:paraId="16E73F89" w14:textId="3EC8C8B8" w:rsidR="005A74D6" w:rsidRPr="00032083" w:rsidRDefault="005A74D6" w:rsidP="00DA05CE">
      <w:pPr>
        <w:pStyle w:val="SDMPara"/>
        <w:keepNext/>
      </w:pPr>
      <w:r w:rsidRPr="00032083">
        <w:t>The downward adjusted baseline emissions from the supply of LFG or biomethane to consumers shall be determined based on an increase in the downward adjustment by 1</w:t>
      </w:r>
      <w:r w:rsidR="003F7966">
        <w:t xml:space="preserve"> per cent</w:t>
      </w:r>
      <w:r w:rsidRPr="00032083">
        <w:t xml:space="preserve"> per calendar year, as follows:</w:t>
      </w:r>
    </w:p>
    <w:tbl>
      <w:tblPr>
        <w:tblStyle w:val="SDMMethTableEquation"/>
        <w:tblW w:w="8760" w:type="dxa"/>
        <w:tblLook w:val="0600" w:firstRow="0" w:lastRow="0" w:firstColumn="0" w:lastColumn="0" w:noHBand="1" w:noVBand="1"/>
      </w:tblPr>
      <w:tblGrid>
        <w:gridCol w:w="7091"/>
        <w:gridCol w:w="1669"/>
      </w:tblGrid>
      <w:tr w:rsidR="004334D2" w:rsidRPr="00032083" w14:paraId="693CB4C8" w14:textId="77777777" w:rsidTr="007E5A9B">
        <w:tc>
          <w:tcPr>
            <w:tcW w:w="7091" w:type="dxa"/>
          </w:tcPr>
          <w:p w14:paraId="0C7783AB" w14:textId="5AD55C8E" w:rsidR="004334D2" w:rsidRPr="00032083"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NG,adj,y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NG,y</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DA</m:t>
                        </m:r>
                      </m:e>
                      <m:sub>
                        <m:sSub>
                          <m:sSubPr>
                            <m:ctrlPr>
                              <w:rPr>
                                <w:rFonts w:ascii="Cambria Math" w:hAnsi="Cambria Math"/>
                                <w:i/>
                              </w:rPr>
                            </m:ctrlPr>
                          </m:sSubPr>
                          <m:e>
                            <m:r>
                              <w:rPr>
                                <w:rFonts w:ascii="Cambria Math" w:hAnsi="Cambria Math"/>
                              </w:rPr>
                              <m:t>BE</m:t>
                            </m:r>
                          </m:e>
                          <m:sub>
                            <m:r>
                              <w:rPr>
                                <w:rFonts w:ascii="Cambria Math" w:hAnsi="Cambria Math"/>
                              </w:rPr>
                              <m:t>NG</m:t>
                            </m:r>
                          </m:sub>
                        </m:sSub>
                        <m:r>
                          <w:rPr>
                            <w:rFonts w:ascii="Cambria Math" w:hAnsi="Cambria Math"/>
                          </w:rPr>
                          <m:t>,y1</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NG,</m:t>
                        </m:r>
                        <m:sSub>
                          <m:sSubPr>
                            <m:ctrlPr>
                              <w:rPr>
                                <w:rFonts w:ascii="Cambria Math" w:hAnsi="Cambria Math"/>
                                <w:i/>
                              </w:rPr>
                            </m:ctrlPr>
                          </m:sSubPr>
                          <m:e>
                            <m:r>
                              <w:rPr>
                                <w:rFonts w:ascii="Cambria Math" w:hAnsi="Cambria Math"/>
                              </w:rPr>
                              <m:t>y</m:t>
                            </m:r>
                          </m:e>
                          <m:sub>
                            <m:r>
                              <w:rPr>
                                <w:rFonts w:ascii="Cambria Math" w:hAnsi="Cambria Math"/>
                              </w:rPr>
                              <m:t>1</m:t>
                            </m:r>
                          </m:sub>
                        </m:sSub>
                      </m:sub>
                    </m:sSub>
                    <m:r>
                      <w:rPr>
                        <w:rFonts w:ascii="Cambria Math" w:hAnsi="Cambria Math"/>
                      </w:rPr>
                      <m:t>×0.01×</m:t>
                    </m:r>
                    <m:d>
                      <m:dPr>
                        <m:ctrlPr>
                          <w:rPr>
                            <w:rFonts w:ascii="Cambria Math" w:hAnsi="Cambria Math"/>
                            <w:i/>
                          </w:rPr>
                        </m:ctrlPr>
                      </m:dPr>
                      <m:e>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1</m:t>
                            </m:r>
                          </m:sub>
                        </m:sSub>
                      </m:e>
                    </m:d>
                  </m:e>
                </m:d>
              </m:oMath>
            </m:oMathPara>
          </w:p>
        </w:tc>
        <w:tc>
          <w:tcPr>
            <w:tcW w:w="1669" w:type="dxa"/>
          </w:tcPr>
          <w:p w14:paraId="6002DF48" w14:textId="77777777" w:rsidR="004334D2" w:rsidRPr="00032083" w:rsidRDefault="004334D2" w:rsidP="00247E9F">
            <w:pPr>
              <w:pStyle w:val="SDMMethEquationNr"/>
              <w:numPr>
                <w:ilvl w:val="0"/>
                <w:numId w:val="7"/>
              </w:numPr>
            </w:pPr>
          </w:p>
        </w:tc>
      </w:tr>
    </w:tbl>
    <w:p w14:paraId="58F03E83" w14:textId="77777777" w:rsidR="004334D2" w:rsidRPr="00032083" w:rsidRDefault="004334D2" w:rsidP="00DA05CE">
      <w:pPr>
        <w:pStyle w:val="SDMMethCaptionEquationParametersTable"/>
      </w:pPr>
      <w:r w:rsidRPr="00032083">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032083" w14:paraId="1EF7E9DE" w14:textId="77777777" w:rsidTr="007E5A9B">
        <w:tc>
          <w:tcPr>
            <w:tcW w:w="1701" w:type="dxa"/>
            <w:vAlign w:val="top"/>
          </w:tcPr>
          <w:p w14:paraId="139B09F9" w14:textId="77777777" w:rsidR="004334D2" w:rsidRPr="00032083"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NG,adj,y</m:t>
                    </m:r>
                  </m:sub>
                </m:sSub>
              </m:oMath>
            </m:oMathPara>
          </w:p>
        </w:tc>
        <w:tc>
          <w:tcPr>
            <w:tcW w:w="345" w:type="dxa"/>
            <w:vAlign w:val="top"/>
          </w:tcPr>
          <w:p w14:paraId="3DDA5BE4" w14:textId="77777777" w:rsidR="004334D2" w:rsidRPr="00032083" w:rsidRDefault="004334D2" w:rsidP="00081FD4">
            <w:pPr>
              <w:pStyle w:val="SDMTableBoxParaNotNumbered"/>
              <w:rPr>
                <w:rFonts w:cs="Arial"/>
              </w:rPr>
            </w:pPr>
            <w:r w:rsidRPr="00032083">
              <w:rPr>
                <w:rFonts w:cs="Arial"/>
              </w:rPr>
              <w:t>=</w:t>
            </w:r>
          </w:p>
        </w:tc>
        <w:tc>
          <w:tcPr>
            <w:tcW w:w="0" w:type="auto"/>
            <w:vAlign w:val="top"/>
          </w:tcPr>
          <w:p w14:paraId="7D0409C6" w14:textId="4F1AD4A4" w:rsidR="004334D2" w:rsidRPr="00032083" w:rsidRDefault="004334D2" w:rsidP="00081FD4">
            <w:pPr>
              <w:pStyle w:val="SDMTableBoxParaNotNumbered"/>
              <w:rPr>
                <w:rFonts w:cs="Arial"/>
              </w:rPr>
            </w:pPr>
            <w:r w:rsidRPr="00032083">
              <w:rPr>
                <w:rFonts w:cs="Arial"/>
              </w:rPr>
              <w:t xml:space="preserve">Downward adjusted baseline emissions </w:t>
            </w:r>
            <w:r w:rsidR="006D5CD3" w:rsidRPr="00DA7779">
              <w:t>associated with LFG or biomethane supplied to consumers replacing natural use from a natural gas network</w:t>
            </w:r>
            <w:r w:rsidR="006D5CD3" w:rsidRPr="000C5FD6">
              <w:t xml:space="preserve"> </w:t>
            </w:r>
            <w:r w:rsidR="00054F30">
              <w:t xml:space="preserve">component </w:t>
            </w:r>
            <w:r w:rsidR="006D5CD3">
              <w:t xml:space="preserve">in </w:t>
            </w:r>
            <w:r w:rsidR="006D5CD3" w:rsidRPr="000C5FD6">
              <w:t>year </w:t>
            </w:r>
            <w:r w:rsidR="006D5CD3" w:rsidRPr="000C5FD6">
              <w:rPr>
                <w:i/>
              </w:rPr>
              <w:t>y</w:t>
            </w:r>
            <w:r w:rsidR="006D5CD3" w:rsidRPr="000C5FD6">
              <w:t xml:space="preserve"> (t</w:t>
            </w:r>
            <w:r w:rsidR="006D5CD3">
              <w:t> </w:t>
            </w:r>
            <w:r w:rsidR="006D5CD3" w:rsidRPr="000C5FD6">
              <w:t>CO</w:t>
            </w:r>
            <w:r w:rsidR="006D5CD3" w:rsidRPr="000C5FD6">
              <w:rPr>
                <w:vertAlign w:val="subscript"/>
              </w:rPr>
              <w:t>2</w:t>
            </w:r>
            <w:r w:rsidR="006D5CD3" w:rsidRPr="000C5FD6">
              <w:t>e/y</w:t>
            </w:r>
            <w:r w:rsidR="006D5CD3">
              <w:t>ea</w:t>
            </w:r>
            <w:r w:rsidR="006D5CD3" w:rsidRPr="000C5FD6">
              <w:t>r)</w:t>
            </w:r>
          </w:p>
        </w:tc>
      </w:tr>
      <w:tr w:rsidR="004334D2" w:rsidRPr="00032083" w14:paraId="13ABDF26" w14:textId="77777777" w:rsidTr="007E5A9B">
        <w:tc>
          <w:tcPr>
            <w:tcW w:w="1701" w:type="dxa"/>
            <w:vAlign w:val="top"/>
          </w:tcPr>
          <w:p w14:paraId="27D3A3B8" w14:textId="77777777" w:rsidR="004334D2" w:rsidRPr="00032083"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NG,y</m:t>
                    </m:r>
                  </m:sub>
                </m:sSub>
              </m:oMath>
            </m:oMathPara>
          </w:p>
        </w:tc>
        <w:tc>
          <w:tcPr>
            <w:tcW w:w="345" w:type="dxa"/>
            <w:vAlign w:val="top"/>
          </w:tcPr>
          <w:p w14:paraId="7D3C9AEA" w14:textId="77777777" w:rsidR="004334D2" w:rsidRPr="00032083" w:rsidRDefault="004334D2" w:rsidP="00081FD4">
            <w:pPr>
              <w:pStyle w:val="SDMTableBoxParaNotNumbered"/>
              <w:rPr>
                <w:rFonts w:cs="Arial"/>
              </w:rPr>
            </w:pPr>
            <w:r w:rsidRPr="00032083">
              <w:rPr>
                <w:rFonts w:cs="Arial"/>
              </w:rPr>
              <w:t>=</w:t>
            </w:r>
          </w:p>
        </w:tc>
        <w:tc>
          <w:tcPr>
            <w:tcW w:w="0" w:type="auto"/>
            <w:vAlign w:val="top"/>
          </w:tcPr>
          <w:p w14:paraId="190FF161" w14:textId="309C3D83" w:rsidR="004334D2" w:rsidRPr="00032083" w:rsidRDefault="00B677FD" w:rsidP="00081FD4">
            <w:pPr>
              <w:pStyle w:val="SDMTableBoxParaNotNumbered"/>
              <w:rPr>
                <w:rFonts w:cs="Arial"/>
              </w:rPr>
            </w:pPr>
            <w:r w:rsidRPr="00DA7779">
              <w:t>Baseline emissions associated with LFG or biomethane supplied to consumers replacing natural use from a natural gas network</w:t>
            </w:r>
            <w:r w:rsidRPr="000C5FD6">
              <w:t xml:space="preserve"> </w:t>
            </w:r>
            <w:r w:rsidR="00854333">
              <w:t xml:space="preserve">component </w:t>
            </w:r>
            <w:r>
              <w:t xml:space="preserve">in </w:t>
            </w:r>
            <w:r w:rsidRPr="000C5FD6">
              <w:t>year </w:t>
            </w:r>
            <w:r w:rsidRPr="000C5FD6">
              <w:rPr>
                <w:i/>
              </w:rPr>
              <w:t>y</w:t>
            </w:r>
            <w:r w:rsidRPr="000C5FD6">
              <w:t xml:space="preserve"> (t</w:t>
            </w:r>
            <w:r>
              <w:t> </w:t>
            </w:r>
            <w:r w:rsidRPr="000C5FD6">
              <w:t>CO</w:t>
            </w:r>
            <w:r w:rsidRPr="000C5FD6">
              <w:rPr>
                <w:vertAlign w:val="subscript"/>
              </w:rPr>
              <w:t>2</w:t>
            </w:r>
            <w:r w:rsidRPr="000C5FD6">
              <w:t>e/y</w:t>
            </w:r>
            <w:r>
              <w:t>ea</w:t>
            </w:r>
            <w:r w:rsidRPr="000C5FD6">
              <w:t>r)</w:t>
            </w:r>
            <w:r w:rsidR="004334D2" w:rsidRPr="00032083">
              <w:rPr>
                <w:rFonts w:cs="Arial"/>
              </w:rPr>
              <w:t xml:space="preserve">, determined based on section </w:t>
            </w:r>
            <w:r w:rsidR="004334D2" w:rsidRPr="00032083">
              <w:rPr>
                <w:rFonts w:cs="Arial"/>
              </w:rPr>
              <w:fldChar w:fldCharType="begin"/>
            </w:r>
            <w:r w:rsidR="004334D2" w:rsidRPr="00032083">
              <w:rPr>
                <w:rFonts w:cs="Arial"/>
              </w:rPr>
              <w:instrText xml:space="preserve"> REF _Ref207380876 \w \p \h </w:instrText>
            </w:r>
            <w:r w:rsidR="00032083">
              <w:rPr>
                <w:rFonts w:cs="Arial"/>
              </w:rPr>
              <w:instrText xml:space="preserve"> \* MERGEFORMAT </w:instrText>
            </w:r>
            <w:r w:rsidR="004334D2" w:rsidRPr="00032083">
              <w:rPr>
                <w:rFonts w:cs="Arial"/>
              </w:rPr>
            </w:r>
            <w:r w:rsidR="004334D2" w:rsidRPr="00032083">
              <w:rPr>
                <w:rFonts w:cs="Arial"/>
              </w:rPr>
              <w:fldChar w:fldCharType="separate"/>
            </w:r>
            <w:r w:rsidR="00302468">
              <w:rPr>
                <w:rFonts w:cs="Arial"/>
                <w:cs/>
              </w:rPr>
              <w:t>‎</w:t>
            </w:r>
            <w:r w:rsidR="00302468">
              <w:rPr>
                <w:rFonts w:cs="Arial"/>
              </w:rPr>
              <w:t>7.3.2.4 above</w:t>
            </w:r>
            <w:r w:rsidR="004334D2" w:rsidRPr="00032083">
              <w:rPr>
                <w:rFonts w:cs="Arial"/>
              </w:rPr>
              <w:fldChar w:fldCharType="end"/>
            </w:r>
          </w:p>
        </w:tc>
      </w:tr>
      <w:tr w:rsidR="004334D2" w:rsidRPr="00032083" w14:paraId="6FCD39A1" w14:textId="77777777" w:rsidTr="007E5A9B">
        <w:tc>
          <w:tcPr>
            <w:tcW w:w="1701" w:type="dxa"/>
            <w:vAlign w:val="top"/>
          </w:tcPr>
          <w:p w14:paraId="439C5E2A" w14:textId="6C7083CA" w:rsidR="004334D2" w:rsidRPr="00032083"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DA</m:t>
                    </m:r>
                  </m:e>
                  <m:sub>
                    <m:sSub>
                      <m:sSubPr>
                        <m:ctrlPr>
                          <w:rPr>
                            <w:rFonts w:ascii="Cambria Math" w:hAnsi="Cambria Math"/>
                            <w:i/>
                          </w:rPr>
                        </m:ctrlPr>
                      </m:sSubPr>
                      <m:e>
                        <m:r>
                          <w:rPr>
                            <w:rFonts w:ascii="Cambria Math" w:hAnsi="Cambria Math"/>
                          </w:rPr>
                          <m:t>BE</m:t>
                        </m:r>
                      </m:e>
                      <m:sub>
                        <m:r>
                          <w:rPr>
                            <w:rFonts w:ascii="Cambria Math" w:hAnsi="Cambria Math"/>
                          </w:rPr>
                          <m:t>NG</m:t>
                        </m:r>
                      </m:sub>
                    </m:sSub>
                    <m:r>
                      <w:rPr>
                        <w:rFonts w:ascii="Cambria Math" w:hAnsi="Cambria Math"/>
                      </w:rPr>
                      <m:t>,y1</m:t>
                    </m:r>
                  </m:sub>
                </m:sSub>
              </m:oMath>
            </m:oMathPara>
          </w:p>
        </w:tc>
        <w:tc>
          <w:tcPr>
            <w:tcW w:w="345" w:type="dxa"/>
            <w:vAlign w:val="top"/>
          </w:tcPr>
          <w:p w14:paraId="60D55549" w14:textId="77777777" w:rsidR="004334D2" w:rsidRPr="00032083" w:rsidRDefault="004334D2" w:rsidP="00081FD4">
            <w:pPr>
              <w:pStyle w:val="SDMTableBoxParaNotNumbered"/>
              <w:rPr>
                <w:rFonts w:cs="Arial"/>
              </w:rPr>
            </w:pPr>
            <w:r w:rsidRPr="00032083">
              <w:rPr>
                <w:rFonts w:cs="Arial"/>
              </w:rPr>
              <w:t>=</w:t>
            </w:r>
          </w:p>
        </w:tc>
        <w:tc>
          <w:tcPr>
            <w:tcW w:w="0" w:type="auto"/>
            <w:vAlign w:val="top"/>
          </w:tcPr>
          <w:p w14:paraId="7335BE2A" w14:textId="55B7FF04" w:rsidR="004334D2" w:rsidRPr="00032083" w:rsidRDefault="004334D2" w:rsidP="00081FD4">
            <w:pPr>
              <w:pStyle w:val="SDMTableBoxParaNotNumbered"/>
              <w:rPr>
                <w:rFonts w:cs="Arial"/>
              </w:rPr>
            </w:pPr>
            <w:r w:rsidRPr="00032083">
              <w:t xml:space="preserve">Initial downward adjustment </w:t>
            </w:r>
            <w:r w:rsidR="00854333" w:rsidRPr="00DA7779">
              <w:t>associated with LFG or biomethane supplied to consumers replacing natural use from a natural gas network</w:t>
            </w:r>
            <w:r w:rsidR="00854333" w:rsidRPr="000C5FD6">
              <w:t xml:space="preserve"> </w:t>
            </w:r>
            <w:r w:rsidR="00854333">
              <w:t xml:space="preserve">component in </w:t>
            </w:r>
            <w:r w:rsidR="00854333" w:rsidRPr="000C5FD6">
              <w:t>year </w:t>
            </w:r>
            <w:r w:rsidR="00854333" w:rsidRPr="000C5FD6">
              <w:rPr>
                <w:i/>
              </w:rPr>
              <w:t>y</w:t>
            </w:r>
            <w:r w:rsidR="00851B2F">
              <w:rPr>
                <w:i/>
              </w:rPr>
              <w:t xml:space="preserve"> </w:t>
            </w:r>
            <w:r w:rsidRPr="00032083">
              <w:t>(</w:t>
            </w:r>
            <w:r w:rsidRPr="003712D4">
              <w:t>t</w:t>
            </w:r>
            <w:r w:rsidR="00987B28">
              <w:t> </w:t>
            </w:r>
            <w:r w:rsidRPr="003712D4">
              <w:t>C</w:t>
            </w:r>
            <w:r>
              <w:t>O</w:t>
            </w:r>
            <w:r>
              <w:rPr>
                <w:vertAlign w:val="subscript"/>
              </w:rPr>
              <w:t>2</w:t>
            </w:r>
            <w:r w:rsidRPr="00032083">
              <w:t>/year)</w:t>
            </w:r>
            <w:r w:rsidR="0000665F" w:rsidRPr="00032083">
              <w:rPr>
                <w:rFonts w:cs="Arial"/>
              </w:rPr>
              <w:t xml:space="preserve">, determined by replacing </w:t>
            </w:r>
            <m:oMath>
              <m:sSub>
                <m:sSubPr>
                  <m:ctrlPr>
                    <w:rPr>
                      <w:rFonts w:ascii="Cambria Math" w:hAnsi="Cambria Math"/>
                      <w:i/>
                    </w:rPr>
                  </m:ctrlPr>
                </m:sSubPr>
                <m:e>
                  <m:r>
                    <w:rPr>
                      <w:rFonts w:ascii="Cambria Math" w:hAnsi="Cambria Math"/>
                    </w:rPr>
                    <m:t>BE</m:t>
                  </m:r>
                </m:e>
                <m:sub>
                  <m:r>
                    <w:rPr>
                      <w:rFonts w:ascii="Cambria Math" w:hAnsi="Cambria Math"/>
                    </w:rPr>
                    <m:t>act/hist,i,y1</m:t>
                  </m:r>
                </m:sub>
              </m:sSub>
            </m:oMath>
            <w:r w:rsidR="0000665F" w:rsidRPr="00032083">
              <w:t xml:space="preserve"> by </w:t>
            </w:r>
            <m:oMath>
              <m:sSub>
                <m:sSubPr>
                  <m:ctrlPr>
                    <w:rPr>
                      <w:rFonts w:ascii="Cambria Math" w:hAnsi="Cambria Math"/>
                      <w:i/>
                    </w:rPr>
                  </m:ctrlPr>
                </m:sSubPr>
                <m:e>
                  <m:r>
                    <w:rPr>
                      <w:rFonts w:ascii="Cambria Math" w:hAnsi="Cambria Math"/>
                    </w:rPr>
                    <m:t>BE</m:t>
                  </m:r>
                </m:e>
                <m:sub>
                  <m:r>
                    <w:rPr>
                      <w:rFonts w:ascii="Cambria Math" w:hAnsi="Cambria Math"/>
                    </w:rPr>
                    <m:t>NG,</m:t>
                  </m:r>
                  <m:sSub>
                    <m:sSubPr>
                      <m:ctrlPr>
                        <w:rPr>
                          <w:rFonts w:ascii="Cambria Math" w:hAnsi="Cambria Math"/>
                          <w:i/>
                        </w:rPr>
                      </m:ctrlPr>
                    </m:sSubPr>
                    <m:e>
                      <m:r>
                        <w:rPr>
                          <w:rFonts w:ascii="Cambria Math" w:hAnsi="Cambria Math"/>
                        </w:rPr>
                        <m:t>y</m:t>
                      </m:r>
                    </m:e>
                    <m:sub>
                      <m:r>
                        <w:rPr>
                          <w:rFonts w:ascii="Cambria Math" w:hAnsi="Cambria Math"/>
                        </w:rPr>
                        <m:t>1</m:t>
                      </m:r>
                    </m:sub>
                  </m:sSub>
                </m:sub>
              </m:sSub>
            </m:oMath>
            <w:r w:rsidRPr="00357AE3">
              <w:t xml:space="preserve"> </w:t>
            </w:r>
            <w:r>
              <w:t xml:space="preserve">and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act/hist,i,y1</m:t>
                      </m:r>
                    </m:sub>
                  </m:sSub>
                </m:sub>
              </m:sSub>
            </m:oMath>
            <w:r w:rsidRPr="00357AE3">
              <w:t xml:space="preserve"> by </w:t>
            </w:r>
            <m:oMath>
              <m:sSub>
                <m:sSubPr>
                  <m:ctrlPr>
                    <w:rPr>
                      <w:rFonts w:ascii="Cambria Math" w:hAnsi="Cambria Math"/>
                      <w:i/>
                    </w:rPr>
                  </m:ctrlPr>
                </m:sSubPr>
                <m:e>
                  <m:r>
                    <w:rPr>
                      <w:rFonts w:ascii="Cambria Math" w:hAnsi="Cambria Math"/>
                    </w:rPr>
                    <m:t>UNC</m:t>
                  </m:r>
                </m:e>
                <m:sub>
                  <m:sSub>
                    <m:sSubPr>
                      <m:ctrlPr>
                        <w:rPr>
                          <w:rFonts w:ascii="Cambria Math" w:hAnsi="Cambria Math"/>
                          <w:i/>
                        </w:rPr>
                      </m:ctrlPr>
                    </m:sSubPr>
                    <m:e>
                      <m:r>
                        <w:rPr>
                          <w:rFonts w:ascii="Cambria Math" w:hAnsi="Cambria Math"/>
                        </w:rPr>
                        <m:t>BE</m:t>
                      </m:r>
                    </m:e>
                    <m:sub>
                      <m:r>
                        <w:rPr>
                          <w:rFonts w:ascii="Cambria Math" w:hAnsi="Cambria Math"/>
                        </w:rPr>
                        <m:t>NG,y1</m:t>
                      </m:r>
                    </m:sub>
                  </m:sSub>
                </m:sub>
              </m:sSub>
            </m:oMath>
            <w:r w:rsidR="0000665F" w:rsidRPr="00032083">
              <w:t xml:space="preserve"> </w:t>
            </w:r>
            <w:r w:rsidR="0000665F" w:rsidRPr="00032083">
              <w:rPr>
                <w:rFonts w:cs="Arial"/>
              </w:rPr>
              <w:t xml:space="preserve">in the </w:t>
            </w:r>
            <w:r w:rsidR="00655C8E">
              <w:rPr>
                <w:rFonts w:cs="Arial"/>
              </w:rPr>
              <w:t>E</w:t>
            </w:r>
            <w:r w:rsidR="0000665F" w:rsidRPr="00032083">
              <w:rPr>
                <w:rFonts w:cs="Arial"/>
              </w:rPr>
              <w:t xml:space="preserve">quation </w:t>
            </w:r>
            <w:r w:rsidR="00851B2F">
              <w:rPr>
                <w:rFonts w:cs="Arial"/>
              </w:rPr>
              <w:t>(27)</w:t>
            </w:r>
          </w:p>
        </w:tc>
      </w:tr>
      <w:tr w:rsidR="004334D2" w:rsidRPr="00032083" w14:paraId="32417CCA" w14:textId="77777777" w:rsidTr="007E5A9B">
        <w:tc>
          <w:tcPr>
            <w:tcW w:w="1701" w:type="dxa"/>
            <w:vAlign w:val="top"/>
          </w:tcPr>
          <w:p w14:paraId="2F28D6BE" w14:textId="77777777" w:rsidR="004334D2" w:rsidRPr="00032083"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NG,</m:t>
                    </m:r>
                    <m:sSub>
                      <m:sSubPr>
                        <m:ctrlPr>
                          <w:rPr>
                            <w:rFonts w:ascii="Cambria Math" w:hAnsi="Cambria Math" w:cs="Arial"/>
                            <w:i/>
                            <w:sz w:val="22"/>
                            <w:szCs w:val="22"/>
                          </w:rPr>
                        </m:ctrlPr>
                      </m:sSubPr>
                      <m:e>
                        <m:r>
                          <w:rPr>
                            <w:rFonts w:ascii="Cambria Math" w:hAnsi="Cambria Math"/>
                          </w:rPr>
                          <m:t>y</m:t>
                        </m:r>
                      </m:e>
                      <m:sub>
                        <m:r>
                          <w:rPr>
                            <w:rFonts w:ascii="Cambria Math" w:hAnsi="Cambria Math"/>
                          </w:rPr>
                          <m:t>1</m:t>
                        </m:r>
                      </m:sub>
                    </m:sSub>
                  </m:sub>
                </m:sSub>
              </m:oMath>
            </m:oMathPara>
          </w:p>
        </w:tc>
        <w:tc>
          <w:tcPr>
            <w:tcW w:w="345" w:type="dxa"/>
            <w:vAlign w:val="top"/>
          </w:tcPr>
          <w:p w14:paraId="4CC2F73D" w14:textId="77777777" w:rsidR="004334D2" w:rsidRPr="00032083" w:rsidRDefault="004334D2" w:rsidP="00081FD4">
            <w:pPr>
              <w:pStyle w:val="SDMTableBoxParaNotNumbered"/>
              <w:rPr>
                <w:rFonts w:cs="Arial"/>
              </w:rPr>
            </w:pPr>
            <w:r w:rsidRPr="00032083">
              <w:rPr>
                <w:rFonts w:cs="Arial"/>
              </w:rPr>
              <w:t>=</w:t>
            </w:r>
          </w:p>
        </w:tc>
        <w:tc>
          <w:tcPr>
            <w:tcW w:w="0" w:type="auto"/>
            <w:vAlign w:val="top"/>
          </w:tcPr>
          <w:p w14:paraId="6E93AC2F" w14:textId="5C075152" w:rsidR="004334D2" w:rsidRPr="00032083" w:rsidRDefault="004334D2" w:rsidP="00081FD4">
            <w:pPr>
              <w:pStyle w:val="SDMTableBoxParaNotNumbered"/>
              <w:rPr>
                <w:rFonts w:cs="Arial"/>
              </w:rPr>
            </w:pPr>
            <w:r w:rsidRPr="00032083">
              <w:rPr>
                <w:rFonts w:cs="Arial"/>
              </w:rPr>
              <w:t>Baseline emissions from the supply of LFG or biomethane to consumers in the calendar year of the start date of the first crediting period (</w:t>
            </w:r>
            <w:r w:rsidRPr="000C5FD6">
              <w:rPr>
                <w:rFonts w:cs="Arial"/>
              </w:rPr>
              <w:t>t</w:t>
            </w:r>
            <w:r w:rsidR="00987B28">
              <w:rPr>
                <w:rFonts w:cs="Arial"/>
              </w:rPr>
              <w:t> </w:t>
            </w:r>
            <w:r w:rsidRPr="000C5FD6">
              <w:rPr>
                <w:rFonts w:cs="Arial"/>
              </w:rPr>
              <w:t>CO</w:t>
            </w:r>
            <w:r w:rsidRPr="000C5FD6">
              <w:rPr>
                <w:rFonts w:cs="Arial"/>
                <w:vertAlign w:val="subscript"/>
              </w:rPr>
              <w:t>2</w:t>
            </w:r>
            <w:r w:rsidRPr="00032083">
              <w:rPr>
                <w:rFonts w:cs="Arial"/>
              </w:rPr>
              <w:t>/year)</w:t>
            </w:r>
          </w:p>
        </w:tc>
      </w:tr>
      <w:tr w:rsidR="004334D2" w:rsidRPr="00032083" w14:paraId="1CF7D935" w14:textId="77777777" w:rsidTr="007E5A9B">
        <w:tc>
          <w:tcPr>
            <w:tcW w:w="1701" w:type="dxa"/>
            <w:vAlign w:val="top"/>
          </w:tcPr>
          <w:p w14:paraId="155D12A6" w14:textId="77777777" w:rsidR="004334D2" w:rsidRPr="00032083" w:rsidRDefault="004334D2" w:rsidP="00081FD4">
            <w:pPr>
              <w:pStyle w:val="SDMTableBoxParaNotNumbered"/>
              <w:rPr>
                <w:rFonts w:cs="Arial"/>
              </w:rPr>
            </w:pPr>
            <m:oMathPara>
              <m:oMathParaPr>
                <m:jc m:val="left"/>
              </m:oMathParaPr>
              <m:oMath>
                <m:r>
                  <w:rPr>
                    <w:rFonts w:ascii="Cambria Math" w:hAnsi="Cambria Math" w:cs="Arial"/>
                  </w:rPr>
                  <m:t>y</m:t>
                </m:r>
              </m:oMath>
            </m:oMathPara>
          </w:p>
        </w:tc>
        <w:tc>
          <w:tcPr>
            <w:tcW w:w="345" w:type="dxa"/>
            <w:vAlign w:val="top"/>
          </w:tcPr>
          <w:p w14:paraId="2EA125CD" w14:textId="77777777" w:rsidR="004334D2" w:rsidRPr="00032083" w:rsidRDefault="004334D2" w:rsidP="00081FD4">
            <w:pPr>
              <w:pStyle w:val="SDMTableBoxParaNotNumbered"/>
              <w:rPr>
                <w:rFonts w:cs="Arial"/>
              </w:rPr>
            </w:pPr>
            <w:r w:rsidRPr="00032083">
              <w:rPr>
                <w:rFonts w:cs="Arial"/>
              </w:rPr>
              <w:t>=</w:t>
            </w:r>
          </w:p>
        </w:tc>
        <w:tc>
          <w:tcPr>
            <w:tcW w:w="0" w:type="auto"/>
            <w:vAlign w:val="top"/>
          </w:tcPr>
          <w:p w14:paraId="7733E57D" w14:textId="51146E50" w:rsidR="004334D2" w:rsidRPr="00032083" w:rsidRDefault="00284C49" w:rsidP="00081FD4">
            <w:pPr>
              <w:pStyle w:val="SDMTableBoxParaNotNumbered"/>
              <w:rPr>
                <w:rFonts w:cs="Arial"/>
              </w:rPr>
            </w:pPr>
            <w:r w:rsidRPr="00032083">
              <w:rPr>
                <w:rFonts w:cs="Arial"/>
              </w:rPr>
              <w:t>Calendar y</w:t>
            </w:r>
            <w:r w:rsidR="004334D2" w:rsidRPr="00032083">
              <w:rPr>
                <w:rFonts w:cs="Arial"/>
              </w:rPr>
              <w:t>ear</w:t>
            </w:r>
            <w:r w:rsidRPr="00032083">
              <w:rPr>
                <w:rFonts w:cs="Arial"/>
              </w:rPr>
              <w:t>s</w:t>
            </w:r>
            <w:r w:rsidR="004334D2" w:rsidRPr="00032083">
              <w:rPr>
                <w:rFonts w:cs="Arial"/>
              </w:rPr>
              <w:t xml:space="preserve"> of the crediting period</w:t>
            </w:r>
            <w:r w:rsidRPr="00032083">
              <w:rPr>
                <w:rFonts w:cs="Arial"/>
              </w:rPr>
              <w:t xml:space="preserve"> after the calendar year of the start date of the first crediting period</w:t>
            </w:r>
          </w:p>
        </w:tc>
      </w:tr>
      <w:tr w:rsidR="004334D2" w:rsidRPr="00032083" w14:paraId="6C5B810B" w14:textId="77777777" w:rsidTr="007E5A9B">
        <w:trPr>
          <w:trHeight w:val="25"/>
        </w:trPr>
        <w:tc>
          <w:tcPr>
            <w:tcW w:w="1701" w:type="dxa"/>
            <w:vAlign w:val="top"/>
          </w:tcPr>
          <w:p w14:paraId="6B549633" w14:textId="77777777" w:rsidR="004334D2" w:rsidRPr="00032083"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y</m:t>
                    </m:r>
                  </m:e>
                  <m:sub>
                    <m:r>
                      <w:rPr>
                        <w:rFonts w:ascii="Cambria Math" w:hAnsi="Cambria Math" w:cs="Arial"/>
                      </w:rPr>
                      <m:t>1</m:t>
                    </m:r>
                  </m:sub>
                </m:sSub>
              </m:oMath>
            </m:oMathPara>
          </w:p>
        </w:tc>
        <w:tc>
          <w:tcPr>
            <w:tcW w:w="345" w:type="dxa"/>
            <w:vAlign w:val="top"/>
          </w:tcPr>
          <w:p w14:paraId="27131B77" w14:textId="77777777" w:rsidR="004334D2" w:rsidRPr="00032083" w:rsidRDefault="004334D2" w:rsidP="00081FD4">
            <w:pPr>
              <w:pStyle w:val="SDMTableBoxParaNotNumbered"/>
              <w:rPr>
                <w:rFonts w:cs="Arial"/>
              </w:rPr>
            </w:pPr>
            <w:r w:rsidRPr="00032083">
              <w:rPr>
                <w:rFonts w:cs="Arial"/>
              </w:rPr>
              <w:t>=</w:t>
            </w:r>
          </w:p>
        </w:tc>
        <w:tc>
          <w:tcPr>
            <w:tcW w:w="0" w:type="auto"/>
            <w:vAlign w:val="top"/>
          </w:tcPr>
          <w:p w14:paraId="23115E4D" w14:textId="77777777" w:rsidR="004334D2" w:rsidRPr="00032083" w:rsidRDefault="004334D2" w:rsidP="00081FD4">
            <w:pPr>
              <w:pStyle w:val="SDMTableBoxParaNotNumbered"/>
              <w:rPr>
                <w:rFonts w:cs="Arial"/>
              </w:rPr>
            </w:pPr>
            <w:r w:rsidRPr="00032083">
              <w:rPr>
                <w:rFonts w:cs="Arial"/>
              </w:rPr>
              <w:t>Calendar year of the start date of the first crediting period</w:t>
            </w:r>
          </w:p>
        </w:tc>
      </w:tr>
    </w:tbl>
    <w:p w14:paraId="3A52394B" w14:textId="2F5FF414" w:rsidR="00AB75ED" w:rsidRPr="00032083" w:rsidRDefault="00AB75ED" w:rsidP="00E66E80">
      <w:pPr>
        <w:pStyle w:val="SDMHead4"/>
      </w:pPr>
      <w:bookmarkStart w:id="314" w:name="_Ref211087375"/>
      <w:r w:rsidRPr="00032083">
        <w:t>Aggregation of downward adjusted baseline emissions from different components</w:t>
      </w:r>
      <w:bookmarkEnd w:id="314"/>
    </w:p>
    <w:p w14:paraId="3BD34B2E" w14:textId="23B997F7" w:rsidR="003B7917" w:rsidRPr="00032083" w:rsidRDefault="003B7917" w:rsidP="00DA05CE">
      <w:pPr>
        <w:pStyle w:val="SDMPara"/>
        <w:keepNext/>
      </w:pPr>
      <w:r w:rsidRPr="00032083">
        <w:t>The downward adjusted baseline emissions from the Article 6.4 activity is determined based on the equation below:</w:t>
      </w:r>
    </w:p>
    <w:tbl>
      <w:tblPr>
        <w:tblStyle w:val="SDMMethTableEquation"/>
        <w:tblW w:w="8760" w:type="dxa"/>
        <w:tblLook w:val="0600" w:firstRow="0" w:lastRow="0" w:firstColumn="0" w:lastColumn="0" w:noHBand="1" w:noVBand="1"/>
      </w:tblPr>
      <w:tblGrid>
        <w:gridCol w:w="7093"/>
        <w:gridCol w:w="1667"/>
      </w:tblGrid>
      <w:tr w:rsidR="003B7917" w:rsidRPr="00032083" w14:paraId="6EFBBCD2" w14:textId="77777777" w:rsidTr="007E5A9B">
        <w:tc>
          <w:tcPr>
            <w:tcW w:w="7224" w:type="dxa"/>
          </w:tcPr>
          <w:p w14:paraId="40846BAB" w14:textId="33B79DC4" w:rsidR="003B7917" w:rsidRPr="00032083" w:rsidRDefault="00302468" w:rsidP="0039635F">
            <w:pPr>
              <w:pStyle w:val="SDMMethEquation"/>
            </w:pPr>
            <m:oMathPara>
              <m:oMathParaPr>
                <m:jc m:val="left"/>
              </m:oMathParaPr>
              <m:oMath>
                <m:sSub>
                  <m:sSubPr>
                    <m:ctrlPr>
                      <w:rPr>
                        <w:rFonts w:ascii="Cambria Math" w:hAnsi="Cambria Math"/>
                        <w:i/>
                      </w:rPr>
                    </m:ctrlPr>
                  </m:sSubPr>
                  <m:e>
                    <m:r>
                      <w:rPr>
                        <w:rFonts w:ascii="Cambria Math" w:hAnsi="Cambria Math"/>
                      </w:rPr>
                      <m:t>BE</m:t>
                    </m:r>
                  </m:e>
                  <m:sub>
                    <m:r>
                      <w:rPr>
                        <w:rFonts w:ascii="Cambria Math" w:hAnsi="Cambria Math"/>
                      </w:rPr>
                      <m:t>adj,y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CH4,adj,y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EG,adj,y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HG,adj,y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NG,adj,y</m:t>
                    </m:r>
                  </m:sub>
                </m:sSub>
              </m:oMath>
            </m:oMathPara>
          </w:p>
        </w:tc>
        <w:tc>
          <w:tcPr>
            <w:tcW w:w="1701" w:type="dxa"/>
          </w:tcPr>
          <w:p w14:paraId="33235EE1" w14:textId="77777777" w:rsidR="003B7917" w:rsidRPr="00032083" w:rsidRDefault="003B7917" w:rsidP="00C67B31">
            <w:pPr>
              <w:pStyle w:val="SDMMethEquationNr"/>
              <w:numPr>
                <w:ilvl w:val="0"/>
                <w:numId w:val="15"/>
              </w:numPr>
            </w:pPr>
          </w:p>
        </w:tc>
      </w:tr>
    </w:tbl>
    <w:p w14:paraId="4A87B162" w14:textId="77777777" w:rsidR="003B7917" w:rsidRPr="00032083" w:rsidRDefault="003B7917" w:rsidP="00DA05CE">
      <w:pPr>
        <w:pStyle w:val="SDMMethCaptionEquationParametersTable"/>
      </w:pPr>
      <w:r w:rsidRPr="00032083">
        <w:t>Where:</w:t>
      </w:r>
    </w:p>
    <w:tbl>
      <w:tblPr>
        <w:tblStyle w:val="SDMMethTableEquationParameters"/>
        <w:tblW w:w="8760" w:type="dxa"/>
        <w:tblLook w:val="04A0" w:firstRow="1" w:lastRow="0" w:firstColumn="1" w:lastColumn="0" w:noHBand="0" w:noVBand="1"/>
      </w:tblPr>
      <w:tblGrid>
        <w:gridCol w:w="1701"/>
        <w:gridCol w:w="345"/>
        <w:gridCol w:w="6714"/>
      </w:tblGrid>
      <w:tr w:rsidR="003B7917" w:rsidRPr="00032083" w14:paraId="1DC3E479" w14:textId="77777777" w:rsidTr="007E5A9B">
        <w:tc>
          <w:tcPr>
            <w:tcW w:w="1701" w:type="dxa"/>
            <w:vAlign w:val="top"/>
          </w:tcPr>
          <w:p w14:paraId="52ACE86C" w14:textId="276B21C7" w:rsidR="003B7917" w:rsidRPr="00032083"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BE</m:t>
                    </m:r>
                  </m:e>
                  <m:sub>
                    <m:r>
                      <w:rPr>
                        <w:rFonts w:ascii="Cambria Math" w:hAnsi="Cambria Math"/>
                      </w:rPr>
                      <m:t>adj,y</m:t>
                    </m:r>
                  </m:sub>
                </m:sSub>
              </m:oMath>
            </m:oMathPara>
          </w:p>
        </w:tc>
        <w:tc>
          <w:tcPr>
            <w:tcW w:w="345" w:type="dxa"/>
            <w:vAlign w:val="top"/>
          </w:tcPr>
          <w:p w14:paraId="4E5D5FAF" w14:textId="77777777" w:rsidR="003B7917" w:rsidRPr="00032083" w:rsidRDefault="003B7917" w:rsidP="00081FD4">
            <w:pPr>
              <w:pStyle w:val="SDMTableBoxParaNotNumbered"/>
            </w:pPr>
            <w:r w:rsidRPr="00032083">
              <w:t>=</w:t>
            </w:r>
          </w:p>
        </w:tc>
        <w:tc>
          <w:tcPr>
            <w:tcW w:w="0" w:type="auto"/>
            <w:vAlign w:val="top"/>
          </w:tcPr>
          <w:p w14:paraId="6F2C9E5A" w14:textId="6631F132" w:rsidR="003B7917" w:rsidRPr="00032083" w:rsidRDefault="007A14B0" w:rsidP="00081FD4">
            <w:pPr>
              <w:pStyle w:val="SDMTableBoxParaNotNumbered"/>
            </w:pPr>
            <w:r w:rsidRPr="00032083">
              <w:t xml:space="preserve">Downward adjusted baseline emissions in year </w:t>
            </w:r>
            <w:r w:rsidRPr="00032083">
              <w:rPr>
                <w:i/>
              </w:rPr>
              <w:t>y</w:t>
            </w:r>
            <w:r w:rsidRPr="00032083">
              <w:t xml:space="preserve"> (t</w:t>
            </w:r>
            <w:r w:rsidR="00D81524">
              <w:t> </w:t>
            </w:r>
            <w:r w:rsidRPr="00032083">
              <w:t>CO</w:t>
            </w:r>
            <w:r w:rsidRPr="00032083">
              <w:rPr>
                <w:vertAlign w:val="subscript"/>
              </w:rPr>
              <w:t>2</w:t>
            </w:r>
            <w:r w:rsidRPr="00032083">
              <w:t>e/year)</w:t>
            </w:r>
          </w:p>
        </w:tc>
      </w:tr>
      <w:tr w:rsidR="003B7917" w:rsidRPr="00032083" w14:paraId="288280F7" w14:textId="77777777" w:rsidTr="007E5A9B">
        <w:tc>
          <w:tcPr>
            <w:tcW w:w="1701" w:type="dxa"/>
            <w:vAlign w:val="top"/>
          </w:tcPr>
          <w:p w14:paraId="7F20C082" w14:textId="0BB77054" w:rsidR="003B7917" w:rsidRPr="00032083"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BE</m:t>
                    </m:r>
                  </m:e>
                  <m:sub>
                    <m:r>
                      <w:rPr>
                        <w:rFonts w:ascii="Cambria Math" w:hAnsi="Cambria Math"/>
                      </w:rPr>
                      <m:t>CH4,adj,y</m:t>
                    </m:r>
                  </m:sub>
                </m:sSub>
              </m:oMath>
            </m:oMathPara>
          </w:p>
        </w:tc>
        <w:tc>
          <w:tcPr>
            <w:tcW w:w="345" w:type="dxa"/>
            <w:vAlign w:val="top"/>
          </w:tcPr>
          <w:p w14:paraId="2686312A" w14:textId="77777777" w:rsidR="003B7917" w:rsidRPr="00032083" w:rsidRDefault="003B7917" w:rsidP="00081FD4">
            <w:pPr>
              <w:pStyle w:val="SDMTableBoxParaNotNumbered"/>
            </w:pPr>
            <w:r w:rsidRPr="00032083">
              <w:t>=</w:t>
            </w:r>
          </w:p>
        </w:tc>
        <w:tc>
          <w:tcPr>
            <w:tcW w:w="0" w:type="auto"/>
            <w:vAlign w:val="top"/>
          </w:tcPr>
          <w:p w14:paraId="0518EE81" w14:textId="4E6DE6CE" w:rsidR="003B7917" w:rsidRPr="00032083" w:rsidRDefault="00702DBA" w:rsidP="00081FD4">
            <w:pPr>
              <w:pStyle w:val="SDMTableBoxParaNotNumbered"/>
            </w:pPr>
            <w:r w:rsidRPr="00032083">
              <w:t>Down</w:t>
            </w:r>
            <w:r w:rsidR="00165694">
              <w:t>w</w:t>
            </w:r>
            <w:r w:rsidRPr="00032083">
              <w:t>ard a</w:t>
            </w:r>
            <w:r w:rsidR="007A14B0" w:rsidRPr="00032083">
              <w:t>djusted baseline emissions of methane from the SWDS in year </w:t>
            </w:r>
            <w:r w:rsidR="007A14B0" w:rsidRPr="00032083">
              <w:rPr>
                <w:i/>
              </w:rPr>
              <w:t>y</w:t>
            </w:r>
            <w:r w:rsidR="007A14B0" w:rsidRPr="00032083">
              <w:t xml:space="preserve"> (t CO</w:t>
            </w:r>
            <w:r w:rsidR="007A14B0" w:rsidRPr="00032083">
              <w:rPr>
                <w:vertAlign w:val="subscript"/>
              </w:rPr>
              <w:t>2</w:t>
            </w:r>
            <w:r w:rsidR="007A14B0" w:rsidRPr="00032083">
              <w:t>e/year), determined based on section</w:t>
            </w:r>
            <w:r w:rsidR="005746A4">
              <w:t xml:space="preserve"> </w:t>
            </w:r>
            <w:r w:rsidR="00FD0BBC">
              <w:fldChar w:fldCharType="begin"/>
            </w:r>
            <w:r w:rsidR="00FD0BBC">
              <w:instrText xml:space="preserve"> REF _Ref211087357 \r \p \h </w:instrText>
            </w:r>
            <w:r w:rsidR="00F21BF2">
              <w:instrText xml:space="preserve"> \* MERGEFORMAT </w:instrText>
            </w:r>
            <w:r w:rsidR="00FD0BBC">
              <w:fldChar w:fldCharType="separate"/>
            </w:r>
            <w:r w:rsidR="00302468">
              <w:rPr>
                <w:cs/>
              </w:rPr>
              <w:t>‎</w:t>
            </w:r>
            <w:r w:rsidR="00302468">
              <w:t>7.4.2.1 above</w:t>
            </w:r>
            <w:r w:rsidR="00FD0BBC">
              <w:fldChar w:fldCharType="end"/>
            </w:r>
          </w:p>
        </w:tc>
      </w:tr>
      <w:tr w:rsidR="003B7917" w:rsidRPr="00032083" w14:paraId="3A0FE6A4" w14:textId="77777777" w:rsidTr="007E5A9B">
        <w:tc>
          <w:tcPr>
            <w:tcW w:w="1701" w:type="dxa"/>
            <w:vAlign w:val="top"/>
          </w:tcPr>
          <w:p w14:paraId="319A3CC1" w14:textId="1C867B90" w:rsidR="003B7917" w:rsidRPr="00032083"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BE</m:t>
                    </m:r>
                  </m:e>
                  <m:sub>
                    <m:r>
                      <w:rPr>
                        <w:rFonts w:ascii="Cambria Math" w:hAnsi="Cambria Math"/>
                      </w:rPr>
                      <m:t>EG,adj,y</m:t>
                    </m:r>
                  </m:sub>
                </m:sSub>
              </m:oMath>
            </m:oMathPara>
          </w:p>
        </w:tc>
        <w:tc>
          <w:tcPr>
            <w:tcW w:w="345" w:type="dxa"/>
            <w:vAlign w:val="top"/>
          </w:tcPr>
          <w:p w14:paraId="0519745C" w14:textId="77777777" w:rsidR="003B7917" w:rsidRPr="00032083" w:rsidRDefault="003B7917" w:rsidP="00081FD4">
            <w:pPr>
              <w:pStyle w:val="SDMTableBoxParaNotNumbered"/>
            </w:pPr>
            <w:r w:rsidRPr="00032083">
              <w:t>=</w:t>
            </w:r>
          </w:p>
        </w:tc>
        <w:tc>
          <w:tcPr>
            <w:tcW w:w="0" w:type="auto"/>
            <w:vAlign w:val="top"/>
          </w:tcPr>
          <w:p w14:paraId="3C91A266" w14:textId="4A199961" w:rsidR="003B7917" w:rsidRPr="00032083" w:rsidRDefault="007A14B0" w:rsidP="00081FD4">
            <w:pPr>
              <w:pStyle w:val="SDMTableBoxParaNotNumbered"/>
            </w:pPr>
            <w:r w:rsidRPr="00032083">
              <w:rPr>
                <w:rFonts w:cs="Arial"/>
              </w:rPr>
              <w:t>Downward adjusted baseline emissions from the electricity generation component in year </w:t>
            </w:r>
            <w:r w:rsidRPr="00032083">
              <w:rPr>
                <w:rFonts w:cs="Arial"/>
                <w:i/>
              </w:rPr>
              <w:t>y</w:t>
            </w:r>
            <w:r w:rsidRPr="00032083">
              <w:rPr>
                <w:rFonts w:cs="Arial"/>
              </w:rPr>
              <w:t xml:space="preserve"> (t</w:t>
            </w:r>
            <w:r w:rsidR="00D81524">
              <w:rPr>
                <w:rFonts w:cs="Arial"/>
              </w:rPr>
              <w:t> </w:t>
            </w:r>
            <w:r w:rsidRPr="00032083">
              <w:rPr>
                <w:rFonts w:cs="Arial"/>
              </w:rPr>
              <w:t>CO</w:t>
            </w:r>
            <w:r w:rsidRPr="00032083">
              <w:rPr>
                <w:rFonts w:cs="Arial"/>
                <w:vertAlign w:val="subscript"/>
              </w:rPr>
              <w:t>2</w:t>
            </w:r>
            <w:r w:rsidRPr="00032083">
              <w:rPr>
                <w:rFonts w:cs="Arial"/>
              </w:rPr>
              <w:t xml:space="preserve">e/year), determined based on section </w:t>
            </w:r>
            <w:r w:rsidRPr="00032083">
              <w:rPr>
                <w:rFonts w:cs="Arial"/>
              </w:rPr>
              <w:fldChar w:fldCharType="begin"/>
            </w:r>
            <w:r w:rsidRPr="00032083">
              <w:rPr>
                <w:rFonts w:cs="Arial"/>
              </w:rPr>
              <w:instrText xml:space="preserve"> REF _Ref209698415 \r \p \h </w:instrText>
            </w:r>
            <w:r w:rsidR="003A543A" w:rsidRPr="00032083">
              <w:rPr>
                <w:rFonts w:cs="Arial"/>
              </w:rPr>
              <w:instrText xml:space="preserve"> \* MERGEFORMAT </w:instrText>
            </w:r>
            <w:r w:rsidRPr="00032083">
              <w:rPr>
                <w:rFonts w:cs="Arial"/>
              </w:rPr>
            </w:r>
            <w:r w:rsidRPr="00032083">
              <w:rPr>
                <w:rFonts w:cs="Arial"/>
              </w:rPr>
              <w:fldChar w:fldCharType="separate"/>
            </w:r>
            <w:r w:rsidR="00302468">
              <w:rPr>
                <w:rFonts w:cs="Arial"/>
                <w:cs/>
              </w:rPr>
              <w:t>‎</w:t>
            </w:r>
            <w:r w:rsidR="00302468">
              <w:rPr>
                <w:rFonts w:cs="Arial"/>
              </w:rPr>
              <w:t>7.4.2.2 above</w:t>
            </w:r>
            <w:r w:rsidRPr="00032083">
              <w:rPr>
                <w:rFonts w:cs="Arial"/>
              </w:rPr>
              <w:fldChar w:fldCharType="end"/>
            </w:r>
          </w:p>
        </w:tc>
      </w:tr>
      <w:tr w:rsidR="007A14B0" w:rsidRPr="00032083" w14:paraId="27257AAD" w14:textId="77777777" w:rsidTr="007E5A9B">
        <w:tc>
          <w:tcPr>
            <w:tcW w:w="1701" w:type="dxa"/>
            <w:vAlign w:val="top"/>
          </w:tcPr>
          <w:p w14:paraId="6429BE4B" w14:textId="76B699E8" w:rsidR="007A14B0" w:rsidRPr="00032083" w:rsidRDefault="00302468" w:rsidP="00081FD4">
            <w:pPr>
              <w:pStyle w:val="SDMTableBoxParaNotNumbered"/>
              <w:rPr>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rPr>
                      <m:t>BE</m:t>
                    </m:r>
                  </m:e>
                  <m:sub>
                    <m:r>
                      <w:rPr>
                        <w:rFonts w:ascii="Cambria Math" w:hAnsi="Cambria Math"/>
                      </w:rPr>
                      <m:t>HG,adj,y</m:t>
                    </m:r>
                  </m:sub>
                </m:sSub>
              </m:oMath>
            </m:oMathPara>
          </w:p>
        </w:tc>
        <w:tc>
          <w:tcPr>
            <w:tcW w:w="345" w:type="dxa"/>
            <w:vAlign w:val="top"/>
          </w:tcPr>
          <w:p w14:paraId="30763357" w14:textId="42C43382" w:rsidR="007A14B0" w:rsidRPr="00032083" w:rsidRDefault="007A14B0" w:rsidP="00081FD4">
            <w:pPr>
              <w:pStyle w:val="SDMTableBoxParaNotNumbered"/>
            </w:pPr>
            <w:r w:rsidRPr="00032083">
              <w:t>=</w:t>
            </w:r>
          </w:p>
        </w:tc>
        <w:tc>
          <w:tcPr>
            <w:tcW w:w="0" w:type="auto"/>
            <w:vAlign w:val="top"/>
          </w:tcPr>
          <w:p w14:paraId="419C6041" w14:textId="404722FD" w:rsidR="007A14B0" w:rsidRPr="00032083" w:rsidRDefault="007A14B0" w:rsidP="00081FD4">
            <w:pPr>
              <w:pStyle w:val="SDMTableBoxParaNotNumbered"/>
            </w:pPr>
            <w:r w:rsidRPr="00032083">
              <w:rPr>
                <w:rFonts w:cs="Arial"/>
              </w:rPr>
              <w:t>Downward adjusted baseline emissions from the heat generation component in year </w:t>
            </w:r>
            <w:r w:rsidRPr="00032083">
              <w:rPr>
                <w:rFonts w:cs="Arial"/>
                <w:i/>
              </w:rPr>
              <w:t>y</w:t>
            </w:r>
            <w:r w:rsidRPr="00032083">
              <w:rPr>
                <w:rFonts w:cs="Arial"/>
              </w:rPr>
              <w:t xml:space="preserve"> (t</w:t>
            </w:r>
            <w:r w:rsidR="00D81524">
              <w:rPr>
                <w:rFonts w:cs="Arial"/>
              </w:rPr>
              <w:t> </w:t>
            </w:r>
            <w:r w:rsidRPr="00032083">
              <w:rPr>
                <w:rFonts w:cs="Arial"/>
              </w:rPr>
              <w:t>CO</w:t>
            </w:r>
            <w:r w:rsidRPr="00032083">
              <w:rPr>
                <w:rFonts w:cs="Arial"/>
                <w:vertAlign w:val="subscript"/>
              </w:rPr>
              <w:t>2</w:t>
            </w:r>
            <w:r w:rsidRPr="00032083">
              <w:rPr>
                <w:rFonts w:cs="Arial"/>
              </w:rPr>
              <w:t xml:space="preserve">e/year), determined based on section </w:t>
            </w:r>
            <w:r w:rsidRPr="00032083">
              <w:rPr>
                <w:rFonts w:cs="Arial"/>
              </w:rPr>
              <w:fldChar w:fldCharType="begin"/>
            </w:r>
            <w:r w:rsidRPr="00032083">
              <w:rPr>
                <w:rFonts w:cs="Arial"/>
              </w:rPr>
              <w:instrText xml:space="preserve"> REF _Ref209698367 \r \p \h </w:instrText>
            </w:r>
            <w:r w:rsidR="003A543A" w:rsidRPr="00032083">
              <w:rPr>
                <w:rFonts w:cs="Arial"/>
              </w:rPr>
              <w:instrText xml:space="preserve"> \* MERGEFORMAT </w:instrText>
            </w:r>
            <w:r w:rsidRPr="00032083">
              <w:rPr>
                <w:rFonts w:cs="Arial"/>
              </w:rPr>
            </w:r>
            <w:r w:rsidRPr="00032083">
              <w:rPr>
                <w:rFonts w:cs="Arial"/>
              </w:rPr>
              <w:fldChar w:fldCharType="separate"/>
            </w:r>
            <w:r w:rsidR="00302468">
              <w:rPr>
                <w:rFonts w:cs="Arial"/>
                <w:cs/>
              </w:rPr>
              <w:t>‎</w:t>
            </w:r>
            <w:r w:rsidR="00302468">
              <w:rPr>
                <w:rFonts w:cs="Arial"/>
              </w:rPr>
              <w:t>7.4.2.3 above</w:t>
            </w:r>
            <w:r w:rsidRPr="00032083">
              <w:rPr>
                <w:rFonts w:cs="Arial"/>
              </w:rPr>
              <w:fldChar w:fldCharType="end"/>
            </w:r>
          </w:p>
        </w:tc>
      </w:tr>
      <w:tr w:rsidR="007A14B0" w14:paraId="004FE9DC" w14:textId="77777777" w:rsidTr="007E5A9B">
        <w:tc>
          <w:tcPr>
            <w:tcW w:w="1701" w:type="dxa"/>
            <w:vAlign w:val="top"/>
          </w:tcPr>
          <w:p w14:paraId="65083BB6" w14:textId="48233825" w:rsidR="007A14B0" w:rsidRPr="00032083" w:rsidRDefault="00302468" w:rsidP="00081FD4">
            <w:pPr>
              <w:pStyle w:val="SDMTableBoxParaNotNumbered"/>
              <w:rPr>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rPr>
                      <m:t>BE</m:t>
                    </m:r>
                  </m:e>
                  <m:sub>
                    <m:r>
                      <w:rPr>
                        <w:rFonts w:ascii="Cambria Math" w:hAnsi="Cambria Math"/>
                      </w:rPr>
                      <m:t>NG,adj,y</m:t>
                    </m:r>
                  </m:sub>
                </m:sSub>
              </m:oMath>
            </m:oMathPara>
          </w:p>
        </w:tc>
        <w:tc>
          <w:tcPr>
            <w:tcW w:w="345" w:type="dxa"/>
            <w:vAlign w:val="top"/>
          </w:tcPr>
          <w:p w14:paraId="07E79FAB" w14:textId="68EEB471" w:rsidR="007A14B0" w:rsidRPr="00032083" w:rsidRDefault="007A14B0" w:rsidP="00081FD4">
            <w:pPr>
              <w:pStyle w:val="SDMTableBoxParaNotNumbered"/>
            </w:pPr>
            <w:r w:rsidRPr="00032083">
              <w:t>=</w:t>
            </w:r>
          </w:p>
        </w:tc>
        <w:tc>
          <w:tcPr>
            <w:tcW w:w="0" w:type="auto"/>
            <w:vAlign w:val="top"/>
          </w:tcPr>
          <w:p w14:paraId="5BE521D6" w14:textId="5FC51D51" w:rsidR="007A14B0" w:rsidRDefault="007A14B0" w:rsidP="00081FD4">
            <w:pPr>
              <w:pStyle w:val="SDMTableBoxParaNotNumbered"/>
            </w:pPr>
            <w:r w:rsidRPr="00032083">
              <w:rPr>
                <w:rFonts w:cs="Arial"/>
              </w:rPr>
              <w:t xml:space="preserve">Downward adjusted baseline emissions </w:t>
            </w:r>
            <w:r w:rsidR="00153EAD" w:rsidRPr="00DA7779">
              <w:t>associated with LFG or biomethane supplied to consumers replacing natural use from a natural gas network</w:t>
            </w:r>
            <w:r w:rsidR="00153EAD" w:rsidRPr="000C5FD6">
              <w:t xml:space="preserve"> </w:t>
            </w:r>
            <w:r w:rsidR="00153EAD">
              <w:t xml:space="preserve">component in </w:t>
            </w:r>
            <w:r w:rsidR="00153EAD" w:rsidRPr="000C5FD6">
              <w:t>year </w:t>
            </w:r>
            <w:r w:rsidR="00153EAD" w:rsidRPr="000C5FD6">
              <w:rPr>
                <w:i/>
              </w:rPr>
              <w:t>y</w:t>
            </w:r>
            <w:r w:rsidR="00153EAD" w:rsidRPr="000C5FD6">
              <w:t xml:space="preserve"> (t</w:t>
            </w:r>
            <w:r w:rsidR="00153EAD">
              <w:t> </w:t>
            </w:r>
            <w:r w:rsidR="00153EAD" w:rsidRPr="000C5FD6">
              <w:t>CO</w:t>
            </w:r>
            <w:r w:rsidR="00153EAD" w:rsidRPr="000C5FD6">
              <w:rPr>
                <w:vertAlign w:val="subscript"/>
              </w:rPr>
              <w:t>2</w:t>
            </w:r>
            <w:r w:rsidR="00153EAD" w:rsidRPr="000C5FD6">
              <w:t>e/y</w:t>
            </w:r>
            <w:r w:rsidR="00153EAD">
              <w:t>ea</w:t>
            </w:r>
            <w:r w:rsidR="00153EAD" w:rsidRPr="000C5FD6">
              <w:t>r)</w:t>
            </w:r>
            <w:r w:rsidR="00153EAD">
              <w:t xml:space="preserve">, </w:t>
            </w:r>
            <w:r w:rsidRPr="00032083">
              <w:rPr>
                <w:rFonts w:cs="Arial"/>
              </w:rPr>
              <w:t>determined based on section</w:t>
            </w:r>
            <w:r w:rsidR="00F36A65">
              <w:rPr>
                <w:rFonts w:cs="Arial"/>
              </w:rPr>
              <w:t xml:space="preserve"> </w:t>
            </w:r>
            <w:r w:rsidR="00F36A65">
              <w:rPr>
                <w:rFonts w:cs="Arial"/>
              </w:rPr>
              <w:fldChar w:fldCharType="begin"/>
            </w:r>
            <w:r w:rsidR="00F36A65">
              <w:rPr>
                <w:rFonts w:cs="Arial"/>
              </w:rPr>
              <w:instrText xml:space="preserve"> REF _Ref211555599 \r \p \h </w:instrText>
            </w:r>
            <w:r w:rsidR="00F21BF2">
              <w:rPr>
                <w:rFonts w:cs="Arial"/>
              </w:rPr>
              <w:instrText xml:space="preserve"> \* MERGEFORMAT </w:instrText>
            </w:r>
            <w:r w:rsidR="00F36A65">
              <w:rPr>
                <w:rFonts w:cs="Arial"/>
              </w:rPr>
            </w:r>
            <w:r w:rsidR="00F36A65">
              <w:rPr>
                <w:rFonts w:cs="Arial"/>
              </w:rPr>
              <w:fldChar w:fldCharType="separate"/>
            </w:r>
            <w:r w:rsidR="00302468">
              <w:rPr>
                <w:rFonts w:cs="Arial"/>
                <w:cs/>
              </w:rPr>
              <w:t>‎</w:t>
            </w:r>
            <w:r w:rsidR="00302468">
              <w:rPr>
                <w:rFonts w:cs="Arial"/>
              </w:rPr>
              <w:t>7.4.2.4 above</w:t>
            </w:r>
            <w:r w:rsidR="00F36A65">
              <w:rPr>
                <w:rFonts w:cs="Arial"/>
              </w:rPr>
              <w:fldChar w:fldCharType="end"/>
            </w:r>
          </w:p>
        </w:tc>
      </w:tr>
    </w:tbl>
    <w:p w14:paraId="563EC676" w14:textId="3646A73B" w:rsidR="004334D2" w:rsidRDefault="004334D2" w:rsidP="0069640C">
      <w:pPr>
        <w:pStyle w:val="SDMHead2"/>
      </w:pPr>
      <w:bookmarkStart w:id="315" w:name="_Toc211555319"/>
      <w:bookmarkStart w:id="316" w:name="_Toc211598971"/>
      <w:bookmarkStart w:id="317" w:name="_Toc211599473"/>
      <w:bookmarkStart w:id="318" w:name="_Toc211612269"/>
      <w:bookmarkStart w:id="319" w:name="_Toc211614716"/>
      <w:bookmarkStart w:id="320" w:name="_Toc211614759"/>
      <w:r w:rsidRPr="0069640C">
        <w:t>Identification</w:t>
      </w:r>
      <w:r>
        <w:t xml:space="preserve"> of the conservative B</w:t>
      </w:r>
      <w:r w:rsidR="00EA5C8D">
        <w:t>usiness-as-usual</w:t>
      </w:r>
      <w:r>
        <w:t xml:space="preserve"> scenario</w:t>
      </w:r>
      <w:bookmarkEnd w:id="315"/>
      <w:bookmarkEnd w:id="316"/>
      <w:bookmarkEnd w:id="317"/>
      <w:bookmarkEnd w:id="318"/>
      <w:bookmarkEnd w:id="319"/>
      <w:bookmarkEnd w:id="320"/>
    </w:p>
    <w:p w14:paraId="41508578" w14:textId="4E0B9501" w:rsidR="004334D2" w:rsidRDefault="004334D2" w:rsidP="00DA05CE">
      <w:pPr>
        <w:pStyle w:val="SDMPara"/>
        <w:keepNext/>
      </w:pPr>
      <w:r>
        <w:t xml:space="preserve">The conservative business-as-usual (BAU) scenario for each component of </w:t>
      </w:r>
      <w:r w:rsidR="007608C9">
        <w:t xml:space="preserve">Article 6.4 activities </w:t>
      </w:r>
      <w:r>
        <w:t xml:space="preserve">eligible under this </w:t>
      </w:r>
      <w:r w:rsidR="008A0B90">
        <w:t>mechanism methodology</w:t>
      </w:r>
      <w:r>
        <w:t xml:space="preserve"> are:</w:t>
      </w:r>
    </w:p>
    <w:p w14:paraId="491D15F3" w14:textId="25C4C583" w:rsidR="004334D2" w:rsidRPr="004D7AFF" w:rsidRDefault="004334D2" w:rsidP="0069640C">
      <w:pPr>
        <w:pStyle w:val="CaptionFullPage"/>
        <w:ind w:left="1130" w:hanging="1130"/>
      </w:pPr>
      <w:r>
        <w:t>Table </w:t>
      </w:r>
      <w:r w:rsidR="000E5056">
        <w:fldChar w:fldCharType="begin"/>
      </w:r>
      <w:r w:rsidR="000E5056">
        <w:instrText xml:space="preserve"> SEQ Table \* ARABIC </w:instrText>
      </w:r>
      <w:r w:rsidR="000E5056">
        <w:fldChar w:fldCharType="separate"/>
      </w:r>
      <w:r w:rsidR="00302468">
        <w:rPr>
          <w:noProof/>
        </w:rPr>
        <w:t>4</w:t>
      </w:r>
      <w:r w:rsidR="000E5056">
        <w:rPr>
          <w:noProof/>
        </w:rPr>
        <w:fldChar w:fldCharType="end"/>
      </w:r>
      <w:r>
        <w:rPr>
          <w:noProof/>
        </w:rPr>
        <w:t>.</w:t>
      </w:r>
      <w:r>
        <w:tab/>
        <w:t xml:space="preserve">BAU for the different components of </w:t>
      </w:r>
      <w:r w:rsidR="007608C9">
        <w:t xml:space="preserve">Article 6.4 activities </w:t>
      </w:r>
      <w:r>
        <w:t xml:space="preserve">eligible under the </w:t>
      </w:r>
      <w:r w:rsidR="008A0B90">
        <w:t>mechanism methodology</w:t>
      </w:r>
      <w:r>
        <w:t xml:space="preserve"> under the different baseline approaches</w:t>
      </w:r>
    </w:p>
    <w:tbl>
      <w:tblPr>
        <w:tblStyle w:val="SDMMethTable"/>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2359"/>
        <w:gridCol w:w="2954"/>
        <w:gridCol w:w="4043"/>
      </w:tblGrid>
      <w:tr w:rsidR="004334D2" w:rsidRPr="00911F51" w14:paraId="7A68F83D" w14:textId="77777777" w:rsidTr="00A672F6">
        <w:trPr>
          <w:cnfStyle w:val="100000000000" w:firstRow="1" w:lastRow="0" w:firstColumn="0" w:lastColumn="0" w:oddVBand="0" w:evenVBand="0" w:oddHBand="0" w:evenHBand="0" w:firstRowFirstColumn="0" w:firstRowLastColumn="0" w:lastRowFirstColumn="0" w:lastRowLastColumn="0"/>
          <w:cantSplit w:val="0"/>
        </w:trPr>
        <w:tc>
          <w:tcPr>
            <w:tcW w:w="215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BDFDE72" w14:textId="77777777" w:rsidR="004334D2" w:rsidRPr="004F23C4" w:rsidRDefault="004334D2" w:rsidP="00F948E3">
            <w:pPr>
              <w:pStyle w:val="SDMTableBoxParaNotNumbered"/>
            </w:pPr>
            <w:r>
              <w:t>Component</w:t>
            </w:r>
          </w:p>
        </w:tc>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65AD14" w14:textId="77777777" w:rsidR="004334D2" w:rsidRDefault="004334D2" w:rsidP="00F948E3">
            <w:pPr>
              <w:pStyle w:val="SDMTableBoxParaNotNumbered"/>
              <w:rPr>
                <w:b w:val="0"/>
              </w:rPr>
            </w:pPr>
            <w:r>
              <w:t>Baseline approach</w:t>
            </w:r>
          </w:p>
          <w:p w14:paraId="15ADC73D" w14:textId="1EC316BC" w:rsidR="004334D2" w:rsidRDefault="004334D2" w:rsidP="00F948E3">
            <w:pPr>
              <w:pStyle w:val="SDMTableBoxParaNotNumbered"/>
            </w:pPr>
            <w:r>
              <w:t xml:space="preserve">(see </w:t>
            </w:r>
            <w:r>
              <w:rPr>
                <w:highlight w:val="yellow"/>
              </w:rPr>
              <w:fldChar w:fldCharType="begin"/>
            </w:r>
            <w:r>
              <w:rPr>
                <w:b w:val="0"/>
              </w:rPr>
              <w:instrText xml:space="preserve"> </w:instrText>
            </w:r>
            <w:r>
              <w:instrText xml:space="preserve">REF </w:instrText>
            </w:r>
            <w:r>
              <w:rPr>
                <w:b w:val="0"/>
              </w:rPr>
              <w:instrText xml:space="preserve">_Ref208349054 \h </w:instrText>
            </w:r>
            <w:r w:rsidR="00D5787C">
              <w:rPr>
                <w:highlight w:val="yellow"/>
              </w:rPr>
              <w:instrText xml:space="preserve"> \* MERGEFORMAT </w:instrText>
            </w:r>
            <w:r>
              <w:rPr>
                <w:highlight w:val="yellow"/>
              </w:rPr>
            </w:r>
            <w:r>
              <w:rPr>
                <w:highlight w:val="yellow"/>
              </w:rPr>
              <w:fldChar w:fldCharType="separate"/>
            </w:r>
            <w:r w:rsidR="00302468">
              <w:t>Table 2</w:t>
            </w:r>
            <w:r>
              <w:rPr>
                <w:highlight w:val="yellow"/>
              </w:rPr>
              <w:fldChar w:fldCharType="end"/>
            </w:r>
            <w:r>
              <w:t xml:space="preserve"> above)</w:t>
            </w:r>
          </w:p>
        </w:tc>
        <w:tc>
          <w:tcPr>
            <w:tcW w:w="368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C12303" w14:textId="77777777" w:rsidR="004334D2" w:rsidRPr="00CF6457" w:rsidRDefault="004334D2" w:rsidP="00F948E3">
            <w:pPr>
              <w:pStyle w:val="SDMTableBoxParaNotNumbered"/>
            </w:pPr>
            <w:r>
              <w:t>BAU</w:t>
            </w:r>
          </w:p>
        </w:tc>
      </w:tr>
      <w:tr w:rsidR="004334D2" w:rsidRPr="00911F51" w14:paraId="67EEDC38" w14:textId="77777777" w:rsidTr="00A672F6">
        <w:trPr>
          <w:cantSplit w:val="0"/>
        </w:trPr>
        <w:tc>
          <w:tcPr>
            <w:tcW w:w="2150" w:type="dxa"/>
          </w:tcPr>
          <w:p w14:paraId="2808274F" w14:textId="66CABF0B" w:rsidR="004334D2" w:rsidRPr="004F23C4" w:rsidRDefault="004334D2" w:rsidP="00F948E3">
            <w:pPr>
              <w:pStyle w:val="SDMTableBoxParaNotNumbered"/>
            </w:pPr>
            <w:r>
              <w:t xml:space="preserve">LFG – </w:t>
            </w:r>
            <w:r w:rsidR="007608C9">
              <w:t>Article 6.4 activities</w:t>
            </w:r>
            <w:r>
              <w:t xml:space="preserve"> implemented in an existing SWDS</w:t>
            </w:r>
          </w:p>
        </w:tc>
        <w:tc>
          <w:tcPr>
            <w:tcW w:w="2693" w:type="dxa"/>
          </w:tcPr>
          <w:p w14:paraId="5BD8D1F2" w14:textId="77777777" w:rsidR="004334D2" w:rsidRDefault="004334D2" w:rsidP="00F948E3">
            <w:pPr>
              <w:pStyle w:val="SDMTableBoxParaNotNumbered"/>
            </w:pPr>
            <w:r>
              <w:t xml:space="preserve">Existing actual or historical emissions </w:t>
            </w:r>
          </w:p>
        </w:tc>
        <w:tc>
          <w:tcPr>
            <w:tcW w:w="3686" w:type="dxa"/>
          </w:tcPr>
          <w:p w14:paraId="27FB1F5C" w14:textId="3EA4A17D" w:rsidR="004334D2" w:rsidRPr="00CF6457" w:rsidRDefault="004334D2" w:rsidP="00F948E3">
            <w:pPr>
              <w:pStyle w:val="SDMTableBoxParaNotNumbered"/>
            </w:pPr>
            <w:r>
              <w:t>Continuation of the historical situation, i.e. the collection and destruction of the LFG in the existing SWDS to address legal requirements, contractual requirements or safety and odour concerns</w:t>
            </w:r>
          </w:p>
        </w:tc>
      </w:tr>
      <w:tr w:rsidR="004334D2" w:rsidRPr="00911F51" w14:paraId="52B284F3" w14:textId="77777777" w:rsidTr="00A672F6">
        <w:trPr>
          <w:cantSplit w:val="0"/>
        </w:trPr>
        <w:tc>
          <w:tcPr>
            <w:tcW w:w="2150" w:type="dxa"/>
          </w:tcPr>
          <w:p w14:paraId="51833B57" w14:textId="0B0FF08D" w:rsidR="004334D2" w:rsidRPr="004F23C4" w:rsidRDefault="004334D2" w:rsidP="00F948E3">
            <w:pPr>
              <w:pStyle w:val="SDMTableBoxParaNotNumbered"/>
            </w:pPr>
            <w:r>
              <w:t xml:space="preserve">LFG – </w:t>
            </w:r>
            <w:r w:rsidR="007608C9">
              <w:t>Article 6.4 activities</w:t>
            </w:r>
            <w:r>
              <w:t xml:space="preserve"> implemented in new SWDS</w:t>
            </w:r>
          </w:p>
        </w:tc>
        <w:tc>
          <w:tcPr>
            <w:tcW w:w="2693" w:type="dxa"/>
          </w:tcPr>
          <w:p w14:paraId="32886122" w14:textId="77777777" w:rsidR="004334D2" w:rsidRDefault="004334D2" w:rsidP="00F948E3">
            <w:pPr>
              <w:pStyle w:val="SDMTableBoxParaNotNumbered"/>
            </w:pPr>
            <w:r>
              <w:t>Best available technologies that represent an economically feasible and environmentally sound course of action</w:t>
            </w:r>
          </w:p>
        </w:tc>
        <w:tc>
          <w:tcPr>
            <w:tcW w:w="3686" w:type="dxa"/>
          </w:tcPr>
          <w:p w14:paraId="350317BD" w14:textId="4CD414B9" w:rsidR="004334D2" w:rsidRPr="00CF6457" w:rsidRDefault="004334D2" w:rsidP="00F948E3">
            <w:pPr>
              <w:pStyle w:val="SDMTableBoxParaNotNumbered"/>
            </w:pPr>
            <w:r w:rsidRPr="00843281">
              <w:t>SWDS using the similar design and management practices in the geographical area, i.e. the collection and destruction of the LFG to address legal requirements, contractual requirements or safety and odour concerns, with the same cover type identified under the BAT</w:t>
            </w:r>
          </w:p>
        </w:tc>
      </w:tr>
      <w:tr w:rsidR="004334D2" w:rsidRPr="00911F51" w14:paraId="473CD3A7" w14:textId="77777777" w:rsidTr="00A672F6">
        <w:trPr>
          <w:cantSplit w:val="0"/>
        </w:trPr>
        <w:tc>
          <w:tcPr>
            <w:tcW w:w="2150" w:type="dxa"/>
          </w:tcPr>
          <w:p w14:paraId="25A34F92" w14:textId="77777777" w:rsidR="004334D2" w:rsidRPr="004F23C4" w:rsidRDefault="004334D2" w:rsidP="00F948E3">
            <w:pPr>
              <w:pStyle w:val="SDMTableBoxParaNotNumbered"/>
            </w:pPr>
            <w:r>
              <w:t>Electricity generation and supply to the grid</w:t>
            </w:r>
          </w:p>
        </w:tc>
        <w:tc>
          <w:tcPr>
            <w:tcW w:w="2693" w:type="dxa"/>
          </w:tcPr>
          <w:p w14:paraId="05306018" w14:textId="77777777" w:rsidR="004334D2" w:rsidRDefault="004334D2" w:rsidP="00F948E3">
            <w:pPr>
              <w:pStyle w:val="SDMTableBoxParaNotNumbered"/>
            </w:pPr>
            <w:r>
              <w:t>Existing actual or historical emissions (grid emission factor)</w:t>
            </w:r>
          </w:p>
        </w:tc>
        <w:tc>
          <w:tcPr>
            <w:tcW w:w="3686" w:type="dxa"/>
          </w:tcPr>
          <w:p w14:paraId="2BE33A35" w14:textId="77777777" w:rsidR="004334D2" w:rsidRPr="00CF6457" w:rsidRDefault="004334D2" w:rsidP="00F948E3">
            <w:pPr>
              <w:pStyle w:val="SDMTableBoxParaNotNumbered"/>
            </w:pPr>
            <w:r>
              <w:t>Continuation of the historical situation, i.e. the generation of electricity from power plants connected to the grid;</w:t>
            </w:r>
          </w:p>
        </w:tc>
      </w:tr>
      <w:tr w:rsidR="004334D2" w:rsidRPr="00911F51" w14:paraId="71CF76CC" w14:textId="77777777" w:rsidTr="00A672F6">
        <w:trPr>
          <w:cantSplit w:val="0"/>
        </w:trPr>
        <w:tc>
          <w:tcPr>
            <w:tcW w:w="2150" w:type="dxa"/>
          </w:tcPr>
          <w:p w14:paraId="039083B1" w14:textId="11A9BE1E" w:rsidR="004334D2" w:rsidRPr="009D553E" w:rsidRDefault="004334D2" w:rsidP="00F948E3">
            <w:pPr>
              <w:pStyle w:val="SDMTableBoxParaNotNumbered"/>
            </w:pPr>
            <w:r w:rsidRPr="009D553E">
              <w:t xml:space="preserve">Electricity generation replacing existing captive </w:t>
            </w:r>
            <w:r w:rsidR="001E3805">
              <w:t xml:space="preserve">fossil fuel </w:t>
            </w:r>
            <w:r w:rsidRPr="009D553E">
              <w:t>power plants</w:t>
            </w:r>
          </w:p>
        </w:tc>
        <w:tc>
          <w:tcPr>
            <w:tcW w:w="2693" w:type="dxa"/>
          </w:tcPr>
          <w:p w14:paraId="5A18BE7E" w14:textId="77777777" w:rsidR="004334D2" w:rsidRDefault="004334D2" w:rsidP="00F948E3">
            <w:pPr>
              <w:pStyle w:val="SDMTableBoxParaNotNumbered"/>
            </w:pPr>
            <w:r w:rsidRPr="009D553E">
              <w:t>Existing actual or historical emissions</w:t>
            </w:r>
          </w:p>
        </w:tc>
        <w:tc>
          <w:tcPr>
            <w:tcW w:w="3686" w:type="dxa"/>
          </w:tcPr>
          <w:p w14:paraId="0250D386" w14:textId="06F178D7" w:rsidR="004334D2" w:rsidRPr="009D553E" w:rsidRDefault="004334D2" w:rsidP="00F948E3">
            <w:pPr>
              <w:pStyle w:val="SDMTableBoxParaNotNumbered"/>
            </w:pPr>
            <w:r>
              <w:t xml:space="preserve">Continuation of the historical situation, i.e. the generation of electricity in the </w:t>
            </w:r>
            <w:r w:rsidR="001E3805" w:rsidRPr="009D553E">
              <w:t xml:space="preserve">captive </w:t>
            </w:r>
            <w:r w:rsidR="001E3805">
              <w:t xml:space="preserve">fossil fuel </w:t>
            </w:r>
            <w:r>
              <w:t>power plant using the baseline fuel</w:t>
            </w:r>
          </w:p>
        </w:tc>
      </w:tr>
      <w:tr w:rsidR="004334D2" w:rsidRPr="00911F51" w14:paraId="27681353" w14:textId="77777777" w:rsidTr="00A672F6">
        <w:trPr>
          <w:cantSplit w:val="0"/>
        </w:trPr>
        <w:tc>
          <w:tcPr>
            <w:tcW w:w="2150" w:type="dxa"/>
          </w:tcPr>
          <w:p w14:paraId="3F0D5604" w14:textId="2383A00C" w:rsidR="004334D2" w:rsidRPr="00E65A60" w:rsidRDefault="004334D2" w:rsidP="00F948E3">
            <w:pPr>
              <w:pStyle w:val="SDMTableBoxParaNotNumbered"/>
              <w:rPr>
                <w:highlight w:val="yellow"/>
              </w:rPr>
            </w:pPr>
            <w:r w:rsidRPr="00652C28">
              <w:t xml:space="preserve">Electricity generation replacing new </w:t>
            </w:r>
            <w:r w:rsidR="001E3805" w:rsidRPr="009D553E">
              <w:t xml:space="preserve">captive </w:t>
            </w:r>
            <w:r w:rsidR="001E3805">
              <w:t xml:space="preserve">fossil fuel </w:t>
            </w:r>
            <w:r w:rsidRPr="00652C28">
              <w:t>power plants</w:t>
            </w:r>
          </w:p>
        </w:tc>
        <w:tc>
          <w:tcPr>
            <w:tcW w:w="2693" w:type="dxa"/>
          </w:tcPr>
          <w:p w14:paraId="7DA9A334" w14:textId="77777777" w:rsidR="004334D2" w:rsidRDefault="004334D2" w:rsidP="00F948E3">
            <w:pPr>
              <w:pStyle w:val="SDMTableBoxParaNotNumbered"/>
            </w:pPr>
            <w:r>
              <w:t>Best available technologies that represent an economically feasible and environmentally sound course of action</w:t>
            </w:r>
          </w:p>
        </w:tc>
        <w:tc>
          <w:tcPr>
            <w:tcW w:w="3686" w:type="dxa"/>
          </w:tcPr>
          <w:p w14:paraId="6FE6F43B" w14:textId="77777777" w:rsidR="004334D2" w:rsidRDefault="004334D2" w:rsidP="00DA05CE">
            <w:pPr>
              <w:pStyle w:val="SDMTableBoxParaNotNumbered"/>
              <w:keepNext/>
            </w:pPr>
            <w:r>
              <w:t>The average emissions intensity of any new capacity from other new power plants in similar projects that started operations in the past three years, provided that:</w:t>
            </w:r>
          </w:p>
          <w:p w14:paraId="0A345C78" w14:textId="5D4CD895" w:rsidR="004334D2" w:rsidRDefault="004334D2" w:rsidP="003630AA">
            <w:pPr>
              <w:pStyle w:val="SDMTableBoxParaNotNumbered"/>
              <w:numPr>
                <w:ilvl w:val="0"/>
                <w:numId w:val="50"/>
              </w:numPr>
            </w:pPr>
            <w:r>
              <w:t xml:space="preserve">The new </w:t>
            </w:r>
            <w:r w:rsidR="001E3805" w:rsidRPr="009D553E">
              <w:t xml:space="preserve">captive </w:t>
            </w:r>
            <w:r w:rsidR="001E3805">
              <w:t xml:space="preserve">fossil fuel </w:t>
            </w:r>
            <w:r>
              <w:t>power plants operate within the geographical reference area;</w:t>
            </w:r>
          </w:p>
          <w:p w14:paraId="15CC23C4" w14:textId="53AE1120" w:rsidR="004334D2" w:rsidRDefault="004334D2" w:rsidP="003630AA">
            <w:pPr>
              <w:pStyle w:val="SDMTableBoxParaNotNumbered"/>
              <w:numPr>
                <w:ilvl w:val="0"/>
                <w:numId w:val="50"/>
              </w:numPr>
            </w:pPr>
            <w:r w:rsidRPr="00EA5C8D">
              <w:t xml:space="preserve">The users of the electricity generated from the new </w:t>
            </w:r>
            <w:r w:rsidR="001E3805" w:rsidRPr="00EA5C8D">
              <w:t xml:space="preserve">captive fossil fuel </w:t>
            </w:r>
            <w:r w:rsidRPr="00EA5C8D">
              <w:t>power plants are the same;</w:t>
            </w:r>
          </w:p>
          <w:p w14:paraId="5384C435" w14:textId="61EB8711" w:rsidR="004334D2" w:rsidRPr="00B72B00" w:rsidRDefault="00EA5C8D" w:rsidP="00B72B00">
            <w:pPr>
              <w:pStyle w:val="SDMTableBoxParaNotNumbered"/>
              <w:numPr>
                <w:ilvl w:val="0"/>
                <w:numId w:val="50"/>
              </w:numPr>
            </w:pPr>
            <w:r w:rsidRPr="00EA5C8D">
              <w:t>The new captive power plant has equivalent capacity of the new captive fossil fuel fired power plant installed as part of the project</w:t>
            </w:r>
            <w:r w:rsidR="00B72B00">
              <w:t>.</w:t>
            </w:r>
          </w:p>
        </w:tc>
      </w:tr>
      <w:tr w:rsidR="004334D2" w:rsidRPr="00911F51" w14:paraId="50815EEB" w14:textId="77777777" w:rsidTr="00A672F6">
        <w:trPr>
          <w:cantSplit w:val="0"/>
        </w:trPr>
        <w:tc>
          <w:tcPr>
            <w:tcW w:w="2150" w:type="dxa"/>
          </w:tcPr>
          <w:p w14:paraId="5EBA2A79" w14:textId="77777777" w:rsidR="004334D2" w:rsidRPr="004F23C4" w:rsidRDefault="004334D2" w:rsidP="00F948E3">
            <w:pPr>
              <w:pStyle w:val="SDMTableBoxParaNotNumbered"/>
            </w:pPr>
            <w:r>
              <w:t>Heat generation replacing existing heat generation equipment</w:t>
            </w:r>
          </w:p>
        </w:tc>
        <w:tc>
          <w:tcPr>
            <w:tcW w:w="2693" w:type="dxa"/>
          </w:tcPr>
          <w:p w14:paraId="26FC3D33" w14:textId="140B5DCF" w:rsidR="004334D2" w:rsidRDefault="004334D2" w:rsidP="00F948E3">
            <w:pPr>
              <w:pStyle w:val="SDMTableBoxParaNotNumbered"/>
            </w:pPr>
            <w:r>
              <w:t>Existing actual or historical emissions</w:t>
            </w:r>
          </w:p>
        </w:tc>
        <w:tc>
          <w:tcPr>
            <w:tcW w:w="3686" w:type="dxa"/>
          </w:tcPr>
          <w:p w14:paraId="35C48DD1" w14:textId="77777777" w:rsidR="004334D2" w:rsidRPr="00CF6457" w:rsidRDefault="004334D2" w:rsidP="00F948E3">
            <w:pPr>
              <w:pStyle w:val="SDMTableBoxParaNotNumbered"/>
            </w:pPr>
            <w:r>
              <w:t>Continuation of the historical situation, i.e. the generation of heat using the baseline equipment and fuel</w:t>
            </w:r>
          </w:p>
        </w:tc>
      </w:tr>
      <w:tr w:rsidR="004334D2" w:rsidRPr="00911F51" w14:paraId="5077DDE3" w14:textId="77777777" w:rsidTr="00A672F6">
        <w:trPr>
          <w:cantSplit w:val="0"/>
        </w:trPr>
        <w:tc>
          <w:tcPr>
            <w:tcW w:w="2150" w:type="dxa"/>
          </w:tcPr>
          <w:p w14:paraId="0E234EF7" w14:textId="131A9070" w:rsidR="004334D2" w:rsidRPr="004F23C4" w:rsidRDefault="004334D2" w:rsidP="00F948E3">
            <w:pPr>
              <w:pStyle w:val="SDMTableBoxParaNotNumbered"/>
            </w:pPr>
            <w:r>
              <w:t>Heat generation replacing new heat generation equipment</w:t>
            </w:r>
          </w:p>
        </w:tc>
        <w:tc>
          <w:tcPr>
            <w:tcW w:w="2693" w:type="dxa"/>
          </w:tcPr>
          <w:p w14:paraId="7B991B4A" w14:textId="77777777" w:rsidR="004334D2" w:rsidRDefault="004334D2" w:rsidP="00F948E3">
            <w:pPr>
              <w:pStyle w:val="SDMTableBoxParaNotNumbered"/>
            </w:pPr>
            <w:r>
              <w:t>Best available technologies that represent an economically feasible and environmentally sound course of action</w:t>
            </w:r>
          </w:p>
        </w:tc>
        <w:tc>
          <w:tcPr>
            <w:tcW w:w="3686" w:type="dxa"/>
          </w:tcPr>
          <w:p w14:paraId="3BB8E39D" w14:textId="77777777" w:rsidR="004334D2" w:rsidRDefault="004334D2" w:rsidP="00DA05CE">
            <w:pPr>
              <w:pStyle w:val="SDMTableBoxParaNotNumbered"/>
              <w:keepNext/>
            </w:pPr>
            <w:r>
              <w:t>The average emissions intensity of any new capacity from other new heat generation equipment in similar projects that started operations in the past three years, provided that:</w:t>
            </w:r>
          </w:p>
          <w:p w14:paraId="3F00D015" w14:textId="4EB6FC87" w:rsidR="004334D2" w:rsidRDefault="004334D2" w:rsidP="003630AA">
            <w:pPr>
              <w:pStyle w:val="SDMTableBoxParaNotNumbered"/>
              <w:numPr>
                <w:ilvl w:val="0"/>
                <w:numId w:val="51"/>
              </w:numPr>
            </w:pPr>
            <w:r>
              <w:t>The other new heat generation equipment operates within the geographical reference area;</w:t>
            </w:r>
          </w:p>
          <w:p w14:paraId="1D3B8B80" w14:textId="4386123B" w:rsidR="004334D2" w:rsidRDefault="004334D2" w:rsidP="003630AA">
            <w:pPr>
              <w:pStyle w:val="SDMTableBoxParaNotNumbered"/>
              <w:numPr>
                <w:ilvl w:val="0"/>
                <w:numId w:val="51"/>
              </w:numPr>
            </w:pPr>
            <w:r>
              <w:t>The type of output (e.g. hot water, hot air, saturated steam, overheated steam, brick, melted glass, etc) and the users (e.g. residential, commercial and institutional consumers, industrial processes, etc) of the other new heat generation equipment are the same;</w:t>
            </w:r>
          </w:p>
          <w:p w14:paraId="10636720" w14:textId="23A98DB7" w:rsidR="004334D2" w:rsidRPr="00CF6457" w:rsidRDefault="004334D2" w:rsidP="003630AA">
            <w:pPr>
              <w:pStyle w:val="SDMTableBoxParaNotNumbered"/>
              <w:numPr>
                <w:ilvl w:val="0"/>
                <w:numId w:val="51"/>
              </w:numPr>
            </w:pPr>
            <w:r>
              <w:t>The other new heat generation equipment has equivalent capacity of the new heat generation equipment installed as part of the project</w:t>
            </w:r>
            <w:r w:rsidR="00B72B00">
              <w:t>.</w:t>
            </w:r>
          </w:p>
        </w:tc>
      </w:tr>
      <w:tr w:rsidR="004334D2" w:rsidRPr="00911F51" w14:paraId="1941C2C8" w14:textId="77777777" w:rsidTr="00A672F6">
        <w:trPr>
          <w:cantSplit w:val="0"/>
        </w:trPr>
        <w:tc>
          <w:tcPr>
            <w:tcW w:w="2150" w:type="dxa"/>
          </w:tcPr>
          <w:p w14:paraId="21882E33" w14:textId="77777777" w:rsidR="004334D2" w:rsidRDefault="004334D2" w:rsidP="00F948E3">
            <w:pPr>
              <w:pStyle w:val="SDMTableBoxParaNotNumbered"/>
            </w:pPr>
            <w:r>
              <w:t>Supply of LFG or biomethane to consumers</w:t>
            </w:r>
          </w:p>
        </w:tc>
        <w:tc>
          <w:tcPr>
            <w:tcW w:w="2693" w:type="dxa"/>
          </w:tcPr>
          <w:p w14:paraId="0061211D" w14:textId="77777777" w:rsidR="004334D2" w:rsidRDefault="004334D2" w:rsidP="00F948E3">
            <w:pPr>
              <w:pStyle w:val="SDMTableBoxParaNotNumbered"/>
            </w:pPr>
            <w:r>
              <w:t>Existing actual or historical emissions</w:t>
            </w:r>
          </w:p>
        </w:tc>
        <w:tc>
          <w:tcPr>
            <w:tcW w:w="3686" w:type="dxa"/>
          </w:tcPr>
          <w:p w14:paraId="29400D0F" w14:textId="44990867" w:rsidR="004334D2" w:rsidRDefault="004334D2" w:rsidP="00F948E3">
            <w:pPr>
              <w:pStyle w:val="SDMTableBoxParaNotNumbered"/>
            </w:pPr>
            <w:r>
              <w:t>C</w:t>
            </w:r>
            <w:r w:rsidRPr="00817DEC">
              <w:t>ontinuation of the historical situation, i.e. consumers supplied by natural gas</w:t>
            </w:r>
          </w:p>
        </w:tc>
      </w:tr>
    </w:tbl>
    <w:p w14:paraId="0ADA3BB7" w14:textId="77777777" w:rsidR="004334D2" w:rsidRPr="00BA6EC5" w:rsidRDefault="004334D2" w:rsidP="00DA05CE">
      <w:pPr>
        <w:pStyle w:val="SDMPara"/>
        <w:keepNext/>
      </w:pPr>
      <w:r>
        <w:t>In determining the BAU scenario and quantifying the BAU emissions, activity participants shall identify and incorporate in the BAU:</w:t>
      </w:r>
    </w:p>
    <w:p w14:paraId="713192C6" w14:textId="3523DFCF" w:rsidR="004334D2" w:rsidRDefault="004334D2" w:rsidP="00E66E80">
      <w:pPr>
        <w:pStyle w:val="SDMSubPara1"/>
      </w:pPr>
      <w:r>
        <w:t>Any policies</w:t>
      </w:r>
      <w:bookmarkStart w:id="321" w:name="_Ref210740445"/>
      <w:r w:rsidR="009C33A8">
        <w:rPr>
          <w:rStyle w:val="FootnoteReference"/>
        </w:rPr>
        <w:footnoteReference w:id="17"/>
      </w:r>
      <w:bookmarkEnd w:id="321"/>
      <w:r>
        <w:t xml:space="preserve"> that are active or scheduled to take effect within the crediting period, unless they refer to or formally integrate the mechanism as an instrument for implementation. All legal requirements shall be deemed to be enforced while recognizing that regulatory environments vary; and</w:t>
      </w:r>
    </w:p>
    <w:p w14:paraId="15D8B815" w14:textId="279E0306" w:rsidR="004334D2" w:rsidRPr="00B93ECB" w:rsidRDefault="004334D2" w:rsidP="00302468">
      <w:pPr>
        <w:pStyle w:val="SDMSubPara1"/>
      </w:pPr>
      <w:r>
        <w:t>Any specific national or sub-national targets</w:t>
      </w:r>
      <w:r w:rsidR="00043495">
        <w:fldChar w:fldCharType="begin"/>
      </w:r>
      <w:r w:rsidR="00043495">
        <w:instrText xml:space="preserve"> NOTEREF _Ref210740445 \f \h </w:instrText>
      </w:r>
      <w:r w:rsidR="00043495">
        <w:fldChar w:fldCharType="separate"/>
      </w:r>
      <w:r w:rsidR="00302468" w:rsidRPr="00302468">
        <w:rPr>
          <w:rStyle w:val="FootnoteReference"/>
        </w:rPr>
        <w:t>16</w:t>
      </w:r>
      <w:r w:rsidR="00043495">
        <w:fldChar w:fldCharType="end"/>
      </w:r>
      <w:r>
        <w:t xml:space="preserve"> for the sector or the type of activity, as long as these are supported by policy frameworks for implementation, but not general goals that are not specific to the sector or type of activity (e.g. national emissions target).</w:t>
      </w:r>
    </w:p>
    <w:p w14:paraId="361AC4BD" w14:textId="26357A81" w:rsidR="004334D2" w:rsidRDefault="004334D2" w:rsidP="007D034D">
      <w:pPr>
        <w:pStyle w:val="SDMHead3"/>
        <w:keepNext w:val="0"/>
        <w:tabs>
          <w:tab w:val="clear" w:pos="709"/>
        </w:tabs>
        <w:ind w:left="425" w:hanging="425"/>
      </w:pPr>
      <w:bookmarkStart w:id="322" w:name="_Toc211555320"/>
      <w:bookmarkStart w:id="323" w:name="_Ref211585901"/>
      <w:bookmarkStart w:id="324" w:name="_Toc211598972"/>
      <w:bookmarkStart w:id="325" w:name="_Toc211599474"/>
      <w:bookmarkStart w:id="326" w:name="_Toc211612270"/>
      <w:bookmarkStart w:id="327" w:name="_Toc211614717"/>
      <w:bookmarkStart w:id="328" w:name="_Toc211614760"/>
      <w:r>
        <w:t>Calculation of the conservative B</w:t>
      </w:r>
      <w:r w:rsidR="00BD6B8A">
        <w:t>usiness-as-usual</w:t>
      </w:r>
      <w:r>
        <w:t xml:space="preserve"> emissions</w:t>
      </w:r>
      <w:bookmarkEnd w:id="322"/>
      <w:bookmarkEnd w:id="323"/>
      <w:bookmarkEnd w:id="324"/>
      <w:bookmarkEnd w:id="325"/>
      <w:bookmarkEnd w:id="326"/>
      <w:bookmarkEnd w:id="327"/>
      <w:bookmarkEnd w:id="328"/>
    </w:p>
    <w:p w14:paraId="3BFA4899" w14:textId="764282A5" w:rsidR="004334D2" w:rsidRPr="00586352" w:rsidRDefault="004334D2" w:rsidP="007D034D">
      <w:pPr>
        <w:pStyle w:val="SDMPara"/>
      </w:pPr>
      <w:bookmarkStart w:id="329" w:name="_Ref208336380"/>
      <w:r w:rsidRPr="00586352">
        <w:t>BAU emissions for each component</w:t>
      </w:r>
      <w:r w:rsidR="00F21BF2">
        <w:t> </w:t>
      </w:r>
      <w:r w:rsidRPr="00586352">
        <w:rPr>
          <w:i/>
          <w:iCs/>
        </w:rPr>
        <w:t>i</w:t>
      </w:r>
      <w:r w:rsidRPr="00586352">
        <w:t xml:space="preserve"> (methane, electricity, heat and supply of LFG</w:t>
      </w:r>
      <w:r w:rsidR="009B2FDA">
        <w:t xml:space="preserve"> or </w:t>
      </w:r>
      <w:r w:rsidRPr="00586352">
        <w:t>biomethane) are determined as follows:</w:t>
      </w:r>
      <w:bookmarkEnd w:id="329"/>
    </w:p>
    <w:p w14:paraId="0BBFE96E" w14:textId="0383C1F8" w:rsidR="004334D2" w:rsidRPr="00FF62B0" w:rsidRDefault="004334D2" w:rsidP="007D034D">
      <w:pPr>
        <w:pStyle w:val="SDMSubPara1"/>
      </w:pPr>
      <w:r w:rsidRPr="00FF62B0">
        <w:t>For Article 6.4 activities where the BAU for the component</w:t>
      </w:r>
      <w:r w:rsidR="00F21BF2">
        <w:t> </w:t>
      </w:r>
      <w:r w:rsidRPr="00FF62B0">
        <w:rPr>
          <w:i/>
        </w:rPr>
        <w:t>i</w:t>
      </w:r>
      <w:r w:rsidRPr="00FF62B0">
        <w:t xml:space="preserve"> is the continuation of the historical situation</w:t>
      </w:r>
      <w:r w:rsidR="007A14B0" w:rsidRPr="00FF62B0">
        <w:t>, apply</w:t>
      </w:r>
      <w:r w:rsidRPr="00FF62B0">
        <w:t xml:space="preserve"> the </w:t>
      </w:r>
      <w:r w:rsidR="00B02882" w:rsidRPr="00FF62B0">
        <w:t>equation below:</w:t>
      </w:r>
    </w:p>
    <w:tbl>
      <w:tblPr>
        <w:tblStyle w:val="SDMMethTableEquation"/>
        <w:tblW w:w="8760" w:type="dxa"/>
        <w:tblLook w:val="0600" w:firstRow="0" w:lastRow="0" w:firstColumn="0" w:lastColumn="0" w:noHBand="1" w:noVBand="1"/>
      </w:tblPr>
      <w:tblGrid>
        <w:gridCol w:w="7091"/>
        <w:gridCol w:w="1669"/>
      </w:tblGrid>
      <w:tr w:rsidR="00B02882" w:rsidRPr="00FF62B0" w14:paraId="388AE34B" w14:textId="77777777" w:rsidTr="007E5A9B">
        <w:tc>
          <w:tcPr>
            <w:tcW w:w="7091" w:type="dxa"/>
          </w:tcPr>
          <w:p w14:paraId="09A90924" w14:textId="77777777" w:rsidR="00B02882" w:rsidRPr="00FF62B0" w:rsidRDefault="00302468" w:rsidP="0039635F">
            <w:pPr>
              <w:pStyle w:val="SDMMethEquation"/>
            </w:pPr>
            <m:oMathPara>
              <m:oMathParaPr>
                <m:jc m:val="left"/>
              </m:oMathParaPr>
              <m:oMath>
                <m:sSub>
                  <m:sSubPr>
                    <m:ctrlPr>
                      <w:rPr>
                        <w:rFonts w:ascii="Cambria Math" w:hAnsi="Cambria Math"/>
                        <w:i/>
                      </w:rPr>
                    </m:ctrlPr>
                  </m:sSubPr>
                  <m:e>
                    <m:r>
                      <w:rPr>
                        <w:rFonts w:ascii="Cambria Math" w:hAnsi="Cambria Math"/>
                      </w:rPr>
                      <m:t>BAU</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CH4,y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EG,y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HG,y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NG,y</m:t>
                    </m:r>
                  </m:sub>
                </m:sSub>
              </m:oMath>
            </m:oMathPara>
          </w:p>
        </w:tc>
        <w:tc>
          <w:tcPr>
            <w:tcW w:w="1669" w:type="dxa"/>
          </w:tcPr>
          <w:p w14:paraId="34D05CF5" w14:textId="77777777" w:rsidR="00B02882" w:rsidRPr="00FF62B0" w:rsidRDefault="00B02882" w:rsidP="00247E9F">
            <w:pPr>
              <w:pStyle w:val="SDMMethEquationNr"/>
              <w:numPr>
                <w:ilvl w:val="0"/>
                <w:numId w:val="7"/>
              </w:numPr>
            </w:pPr>
          </w:p>
        </w:tc>
      </w:tr>
    </w:tbl>
    <w:p w14:paraId="433E883E" w14:textId="77777777" w:rsidR="00B02882" w:rsidRPr="00FF62B0" w:rsidRDefault="00B02882" w:rsidP="00DA05CE">
      <w:pPr>
        <w:pStyle w:val="SDMMethCaptionEquationParametersTable"/>
      </w:pPr>
      <w:r w:rsidRPr="00FF62B0">
        <w:t>Where:</w:t>
      </w:r>
    </w:p>
    <w:tbl>
      <w:tblPr>
        <w:tblStyle w:val="SDMMethTableEquationParameters"/>
        <w:tblW w:w="8676" w:type="dxa"/>
        <w:tblLook w:val="04A0" w:firstRow="1" w:lastRow="0" w:firstColumn="1" w:lastColumn="0" w:noHBand="0" w:noVBand="1"/>
      </w:tblPr>
      <w:tblGrid>
        <w:gridCol w:w="1686"/>
        <w:gridCol w:w="344"/>
        <w:gridCol w:w="6646"/>
      </w:tblGrid>
      <w:tr w:rsidR="00B02882" w:rsidRPr="00FF62B0" w14:paraId="0A4F89E1" w14:textId="77777777" w:rsidTr="007E5A9B">
        <w:tc>
          <w:tcPr>
            <w:tcW w:w="1686" w:type="dxa"/>
            <w:vAlign w:val="top"/>
          </w:tcPr>
          <w:p w14:paraId="50FD7DC0" w14:textId="77777777" w:rsidR="00B02882" w:rsidRPr="00FF62B0"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BAU</m:t>
                    </m:r>
                  </m:e>
                  <m:sub>
                    <m:r>
                      <w:rPr>
                        <w:rFonts w:ascii="Cambria Math" w:hAnsi="Cambria Math" w:cs="Arial"/>
                      </w:rPr>
                      <m:t>y</m:t>
                    </m:r>
                  </m:sub>
                </m:sSub>
              </m:oMath>
            </m:oMathPara>
          </w:p>
        </w:tc>
        <w:tc>
          <w:tcPr>
            <w:tcW w:w="344" w:type="dxa"/>
            <w:vAlign w:val="top"/>
          </w:tcPr>
          <w:p w14:paraId="27CE16AD" w14:textId="77777777" w:rsidR="00B02882" w:rsidRPr="00FF62B0" w:rsidRDefault="00B02882" w:rsidP="00081FD4">
            <w:pPr>
              <w:pStyle w:val="SDMTableBoxParaNotNumbered"/>
              <w:rPr>
                <w:rFonts w:cs="Arial"/>
              </w:rPr>
            </w:pPr>
            <w:r w:rsidRPr="00FF62B0">
              <w:rPr>
                <w:rFonts w:cs="Arial"/>
              </w:rPr>
              <w:t>=</w:t>
            </w:r>
          </w:p>
        </w:tc>
        <w:tc>
          <w:tcPr>
            <w:tcW w:w="6646" w:type="dxa"/>
            <w:vAlign w:val="top"/>
          </w:tcPr>
          <w:p w14:paraId="2848C237" w14:textId="77777777" w:rsidR="00B02882" w:rsidRPr="00FF62B0" w:rsidRDefault="00B02882" w:rsidP="00081FD4">
            <w:pPr>
              <w:pStyle w:val="SDMTableBoxParaNotNumbered"/>
              <w:rPr>
                <w:rFonts w:cs="Arial"/>
              </w:rPr>
            </w:pPr>
            <w:r w:rsidRPr="00FF62B0">
              <w:rPr>
                <w:rFonts w:cs="Arial"/>
              </w:rPr>
              <w:t>Business-as-usual emissions in year </w:t>
            </w:r>
            <w:r w:rsidRPr="00FF62B0">
              <w:rPr>
                <w:rFonts w:cs="Arial"/>
                <w:i/>
              </w:rPr>
              <w:t>y</w:t>
            </w:r>
            <w:r w:rsidRPr="00FF62B0">
              <w:rPr>
                <w:rFonts w:cs="Arial"/>
              </w:rPr>
              <w:t xml:space="preserve"> (tCO</w:t>
            </w:r>
            <w:r w:rsidRPr="00FF62B0">
              <w:rPr>
                <w:rFonts w:cs="Arial"/>
                <w:vertAlign w:val="subscript"/>
              </w:rPr>
              <w:t>2</w:t>
            </w:r>
            <w:r w:rsidRPr="00FF62B0">
              <w:rPr>
                <w:rFonts w:cs="Arial"/>
              </w:rPr>
              <w:t>e/year)</w:t>
            </w:r>
          </w:p>
        </w:tc>
      </w:tr>
      <w:tr w:rsidR="00B02882" w:rsidRPr="00FF62B0" w14:paraId="239CAC08" w14:textId="77777777" w:rsidTr="007E5A9B">
        <w:tc>
          <w:tcPr>
            <w:tcW w:w="1686" w:type="dxa"/>
            <w:vAlign w:val="top"/>
          </w:tcPr>
          <w:p w14:paraId="286944AC" w14:textId="77777777" w:rsidR="00B02882" w:rsidRPr="00FF62B0"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CH4,y</m:t>
                    </m:r>
                  </m:sub>
                </m:sSub>
              </m:oMath>
            </m:oMathPara>
          </w:p>
        </w:tc>
        <w:tc>
          <w:tcPr>
            <w:tcW w:w="344" w:type="dxa"/>
            <w:vAlign w:val="top"/>
          </w:tcPr>
          <w:p w14:paraId="697C3C58" w14:textId="77777777" w:rsidR="00B02882" w:rsidRPr="00FF62B0" w:rsidRDefault="00B02882" w:rsidP="00081FD4">
            <w:pPr>
              <w:pStyle w:val="SDMTableBoxParaNotNumbered"/>
              <w:rPr>
                <w:rFonts w:cs="Arial"/>
              </w:rPr>
            </w:pPr>
            <w:r w:rsidRPr="00FF62B0">
              <w:rPr>
                <w:rFonts w:cs="Arial"/>
              </w:rPr>
              <w:t>=</w:t>
            </w:r>
          </w:p>
        </w:tc>
        <w:tc>
          <w:tcPr>
            <w:tcW w:w="6646" w:type="dxa"/>
            <w:vAlign w:val="top"/>
          </w:tcPr>
          <w:p w14:paraId="5E23EF35" w14:textId="749828C0" w:rsidR="00B02882" w:rsidRPr="00FF62B0" w:rsidRDefault="00B02882" w:rsidP="00081FD4">
            <w:pPr>
              <w:pStyle w:val="SDMTableBoxParaNotNumbered"/>
              <w:rPr>
                <w:rFonts w:cs="Arial"/>
              </w:rPr>
            </w:pPr>
            <w:r w:rsidRPr="00FF62B0">
              <w:rPr>
                <w:rFonts w:cs="Arial"/>
              </w:rPr>
              <w:t xml:space="preserve">Baseline emissions of methane from the SWDS </w:t>
            </w:r>
            <w:r w:rsidR="00D608A0">
              <w:rPr>
                <w:rFonts w:cs="Arial"/>
              </w:rPr>
              <w:t xml:space="preserve">component </w:t>
            </w:r>
            <w:r w:rsidRPr="00FF62B0">
              <w:rPr>
                <w:rFonts w:cs="Arial"/>
              </w:rPr>
              <w:t>in year </w:t>
            </w:r>
            <w:r w:rsidRPr="00FF62B0">
              <w:rPr>
                <w:rFonts w:cs="Arial"/>
                <w:i/>
              </w:rPr>
              <w:t>y</w:t>
            </w:r>
            <w:r w:rsidRPr="00FF62B0">
              <w:rPr>
                <w:rFonts w:cs="Arial"/>
              </w:rPr>
              <w:t xml:space="preserve"> (tCO</w:t>
            </w:r>
            <w:r w:rsidRPr="00FF62B0">
              <w:rPr>
                <w:rFonts w:cs="Arial"/>
                <w:vertAlign w:val="subscript"/>
              </w:rPr>
              <w:t>2</w:t>
            </w:r>
            <w:r w:rsidRPr="00FF62B0">
              <w:rPr>
                <w:rFonts w:cs="Arial"/>
              </w:rPr>
              <w:t xml:space="preserve">e/year), determined based on section </w:t>
            </w:r>
            <w:r w:rsidRPr="00FF62B0">
              <w:rPr>
                <w:rFonts w:cs="Arial"/>
              </w:rPr>
              <w:fldChar w:fldCharType="begin"/>
            </w:r>
            <w:r w:rsidRPr="00FF62B0">
              <w:rPr>
                <w:rFonts w:cs="Arial"/>
              </w:rPr>
              <w:instrText xml:space="preserve"> REF _Ref208336294 \r \p \h </w:instrText>
            </w:r>
            <w:r w:rsidR="00B56A9D" w:rsidRPr="00AF1510">
              <w:rPr>
                <w:rFonts w:cs="Arial"/>
              </w:rPr>
              <w:instrText xml:space="preserve"> \* MERGEFORMAT </w:instrText>
            </w:r>
            <w:r w:rsidRPr="00FF62B0">
              <w:rPr>
                <w:rFonts w:cs="Arial"/>
              </w:rPr>
            </w:r>
            <w:r w:rsidRPr="00FF62B0">
              <w:rPr>
                <w:rFonts w:cs="Arial"/>
              </w:rPr>
              <w:fldChar w:fldCharType="separate"/>
            </w:r>
            <w:r w:rsidR="00302468">
              <w:rPr>
                <w:rFonts w:cs="Arial"/>
                <w:cs/>
              </w:rPr>
              <w:t>‎</w:t>
            </w:r>
            <w:r w:rsidR="00302468">
              <w:rPr>
                <w:rFonts w:cs="Arial"/>
              </w:rPr>
              <w:t>7.3.2.1 above</w:t>
            </w:r>
            <w:r w:rsidRPr="00FF62B0">
              <w:rPr>
                <w:rFonts w:cs="Arial"/>
              </w:rPr>
              <w:fldChar w:fldCharType="end"/>
            </w:r>
          </w:p>
        </w:tc>
      </w:tr>
      <w:tr w:rsidR="00B02882" w:rsidRPr="00FF62B0" w14:paraId="16A98314" w14:textId="77777777" w:rsidTr="007E5A9B">
        <w:tc>
          <w:tcPr>
            <w:tcW w:w="1686" w:type="dxa"/>
            <w:vAlign w:val="top"/>
          </w:tcPr>
          <w:p w14:paraId="4C807856" w14:textId="77777777" w:rsidR="00B02882" w:rsidRPr="00FF62B0"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EG,y</m:t>
                    </m:r>
                  </m:sub>
                </m:sSub>
              </m:oMath>
            </m:oMathPara>
          </w:p>
        </w:tc>
        <w:tc>
          <w:tcPr>
            <w:tcW w:w="344" w:type="dxa"/>
            <w:vAlign w:val="top"/>
          </w:tcPr>
          <w:p w14:paraId="77955561" w14:textId="77777777" w:rsidR="00B02882" w:rsidRPr="00FF62B0" w:rsidRDefault="00B02882" w:rsidP="00081FD4">
            <w:pPr>
              <w:pStyle w:val="SDMTableBoxParaNotNumbered"/>
              <w:rPr>
                <w:rFonts w:cs="Arial"/>
              </w:rPr>
            </w:pPr>
            <w:r w:rsidRPr="00FF62B0">
              <w:rPr>
                <w:rFonts w:cs="Arial"/>
              </w:rPr>
              <w:t>=</w:t>
            </w:r>
          </w:p>
        </w:tc>
        <w:tc>
          <w:tcPr>
            <w:tcW w:w="6646" w:type="dxa"/>
            <w:vAlign w:val="top"/>
          </w:tcPr>
          <w:p w14:paraId="36F957C9" w14:textId="65E05848" w:rsidR="00B02882" w:rsidRPr="00FF62B0" w:rsidRDefault="00B02882" w:rsidP="00081FD4">
            <w:pPr>
              <w:pStyle w:val="SDMTableBoxParaNotNumbered"/>
              <w:rPr>
                <w:rFonts w:cs="Arial"/>
              </w:rPr>
            </w:pPr>
            <w:r w:rsidRPr="00FF62B0">
              <w:rPr>
                <w:rFonts w:cs="Arial"/>
              </w:rPr>
              <w:t xml:space="preserve">Baseline emissions associated with electricity generation </w:t>
            </w:r>
            <w:r w:rsidR="00D608A0">
              <w:rPr>
                <w:rFonts w:cs="Arial"/>
              </w:rPr>
              <w:t xml:space="preserve">component </w:t>
            </w:r>
            <w:r w:rsidRPr="00FF62B0">
              <w:rPr>
                <w:rFonts w:cs="Arial"/>
              </w:rPr>
              <w:t>in year </w:t>
            </w:r>
            <w:r w:rsidRPr="00FF62B0">
              <w:rPr>
                <w:rFonts w:cs="Arial"/>
                <w:i/>
              </w:rPr>
              <w:t>y</w:t>
            </w:r>
            <w:r w:rsidRPr="00FF62B0">
              <w:rPr>
                <w:rFonts w:cs="Arial"/>
              </w:rPr>
              <w:t xml:space="preserve"> (tCO</w:t>
            </w:r>
            <w:r w:rsidRPr="00FF62B0">
              <w:rPr>
                <w:rFonts w:cs="Arial"/>
                <w:vertAlign w:val="subscript"/>
              </w:rPr>
              <w:t>2</w:t>
            </w:r>
            <w:r w:rsidRPr="00FF62B0">
              <w:rPr>
                <w:rFonts w:cs="Arial"/>
              </w:rPr>
              <w:t xml:space="preserve">e/year), determined based on section </w:t>
            </w:r>
            <w:r w:rsidRPr="00FF62B0">
              <w:rPr>
                <w:rFonts w:cs="Arial"/>
              </w:rPr>
              <w:fldChar w:fldCharType="begin"/>
            </w:r>
            <w:r w:rsidRPr="00FF62B0">
              <w:rPr>
                <w:rFonts w:cs="Arial"/>
              </w:rPr>
              <w:instrText xml:space="preserve"> REF _Ref209698865 \r \p \h </w:instrText>
            </w:r>
            <w:r w:rsidR="00B56A9D" w:rsidRPr="00AF1510">
              <w:rPr>
                <w:rFonts w:cs="Arial"/>
              </w:rPr>
              <w:instrText xml:space="preserve"> \* MERGEFORMAT </w:instrText>
            </w:r>
            <w:r w:rsidRPr="00FF62B0">
              <w:rPr>
                <w:rFonts w:cs="Arial"/>
              </w:rPr>
            </w:r>
            <w:r w:rsidRPr="00FF62B0">
              <w:rPr>
                <w:rFonts w:cs="Arial"/>
              </w:rPr>
              <w:fldChar w:fldCharType="separate"/>
            </w:r>
            <w:r w:rsidR="00302468">
              <w:rPr>
                <w:rFonts w:cs="Arial"/>
                <w:cs/>
              </w:rPr>
              <w:t>‎</w:t>
            </w:r>
            <w:r w:rsidR="00302468">
              <w:rPr>
                <w:rFonts w:cs="Arial"/>
              </w:rPr>
              <w:t>7.3.2.2 above</w:t>
            </w:r>
            <w:r w:rsidRPr="00FF62B0">
              <w:rPr>
                <w:rFonts w:cs="Arial"/>
              </w:rPr>
              <w:fldChar w:fldCharType="end"/>
            </w:r>
          </w:p>
        </w:tc>
      </w:tr>
      <w:tr w:rsidR="00B02882" w:rsidRPr="00FF62B0" w14:paraId="18072471" w14:textId="77777777" w:rsidTr="007E5A9B">
        <w:tc>
          <w:tcPr>
            <w:tcW w:w="1686" w:type="dxa"/>
            <w:vAlign w:val="top"/>
          </w:tcPr>
          <w:p w14:paraId="00164D91" w14:textId="77777777" w:rsidR="00B02882" w:rsidRPr="00FF62B0"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HG,y</m:t>
                    </m:r>
                  </m:sub>
                </m:sSub>
              </m:oMath>
            </m:oMathPara>
          </w:p>
        </w:tc>
        <w:tc>
          <w:tcPr>
            <w:tcW w:w="344" w:type="dxa"/>
            <w:vAlign w:val="top"/>
          </w:tcPr>
          <w:p w14:paraId="72AA6919" w14:textId="77777777" w:rsidR="00B02882" w:rsidRPr="00FF62B0" w:rsidRDefault="00B02882" w:rsidP="00081FD4">
            <w:pPr>
              <w:pStyle w:val="SDMTableBoxParaNotNumbered"/>
              <w:rPr>
                <w:rFonts w:cs="Arial"/>
              </w:rPr>
            </w:pPr>
            <w:r w:rsidRPr="00FF62B0">
              <w:rPr>
                <w:rFonts w:cs="Arial"/>
              </w:rPr>
              <w:t>=</w:t>
            </w:r>
          </w:p>
        </w:tc>
        <w:tc>
          <w:tcPr>
            <w:tcW w:w="6646" w:type="dxa"/>
            <w:vAlign w:val="top"/>
          </w:tcPr>
          <w:p w14:paraId="0E8ED17B" w14:textId="3E7F5020" w:rsidR="00B02882" w:rsidRPr="00FF62B0" w:rsidRDefault="00B02882" w:rsidP="00081FD4">
            <w:pPr>
              <w:pStyle w:val="SDMTableBoxParaNotNumbered"/>
              <w:rPr>
                <w:rFonts w:cs="Arial"/>
              </w:rPr>
            </w:pPr>
            <w:r w:rsidRPr="00FF62B0">
              <w:rPr>
                <w:rFonts w:cs="Arial"/>
              </w:rPr>
              <w:t xml:space="preserve">Baseline emissions associated with heat generation </w:t>
            </w:r>
            <w:r w:rsidR="00D608A0">
              <w:rPr>
                <w:rFonts w:cs="Arial"/>
              </w:rPr>
              <w:t xml:space="preserve">component </w:t>
            </w:r>
            <w:r w:rsidRPr="00FF62B0">
              <w:rPr>
                <w:rFonts w:cs="Arial"/>
              </w:rPr>
              <w:t>in year </w:t>
            </w:r>
            <w:r w:rsidRPr="00FF62B0">
              <w:rPr>
                <w:rFonts w:cs="Arial"/>
                <w:i/>
              </w:rPr>
              <w:t>y</w:t>
            </w:r>
            <w:r w:rsidRPr="00FF62B0">
              <w:rPr>
                <w:rFonts w:cs="Arial"/>
              </w:rPr>
              <w:t xml:space="preserve"> (tCO</w:t>
            </w:r>
            <w:r w:rsidRPr="00FF62B0">
              <w:rPr>
                <w:rFonts w:cs="Arial"/>
                <w:vertAlign w:val="subscript"/>
              </w:rPr>
              <w:t>2</w:t>
            </w:r>
            <w:r w:rsidRPr="00FF62B0">
              <w:rPr>
                <w:rFonts w:cs="Arial"/>
              </w:rPr>
              <w:t xml:space="preserve">e/year), determined based on section </w:t>
            </w:r>
            <w:r w:rsidRPr="00FF62B0">
              <w:rPr>
                <w:rFonts w:cs="Arial"/>
              </w:rPr>
              <w:fldChar w:fldCharType="begin"/>
            </w:r>
            <w:r w:rsidRPr="00FF62B0">
              <w:rPr>
                <w:rFonts w:cs="Arial"/>
              </w:rPr>
              <w:instrText xml:space="preserve"> REF _Ref209698906 \r \p \h </w:instrText>
            </w:r>
            <w:r w:rsidR="00B56A9D" w:rsidRPr="00AF1510">
              <w:rPr>
                <w:rFonts w:cs="Arial"/>
              </w:rPr>
              <w:instrText xml:space="preserve"> \* MERGEFORMAT </w:instrText>
            </w:r>
            <w:r w:rsidRPr="00FF62B0">
              <w:rPr>
                <w:rFonts w:cs="Arial"/>
              </w:rPr>
            </w:r>
            <w:r w:rsidRPr="00FF62B0">
              <w:rPr>
                <w:rFonts w:cs="Arial"/>
              </w:rPr>
              <w:fldChar w:fldCharType="separate"/>
            </w:r>
            <w:r w:rsidR="00302468">
              <w:rPr>
                <w:rFonts w:cs="Arial"/>
                <w:cs/>
              </w:rPr>
              <w:t>‎</w:t>
            </w:r>
            <w:r w:rsidR="00302468">
              <w:rPr>
                <w:rFonts w:cs="Arial"/>
              </w:rPr>
              <w:t>7.3.2.3 above</w:t>
            </w:r>
            <w:r w:rsidRPr="00FF62B0">
              <w:rPr>
                <w:rFonts w:cs="Arial"/>
              </w:rPr>
              <w:fldChar w:fldCharType="end"/>
            </w:r>
          </w:p>
        </w:tc>
      </w:tr>
      <w:tr w:rsidR="00B02882" w:rsidRPr="000C5FD6" w14:paraId="41401AF7" w14:textId="77777777" w:rsidTr="007E5A9B">
        <w:trPr>
          <w:trHeight w:val="25"/>
        </w:trPr>
        <w:tc>
          <w:tcPr>
            <w:tcW w:w="1686" w:type="dxa"/>
            <w:vAlign w:val="top"/>
          </w:tcPr>
          <w:p w14:paraId="650DC4D6" w14:textId="77777777" w:rsidR="00B02882" w:rsidRPr="00FF62B0"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BE</m:t>
                    </m:r>
                  </m:e>
                  <m:sub>
                    <m:r>
                      <w:rPr>
                        <w:rFonts w:ascii="Cambria Math" w:hAnsi="Cambria Math" w:cs="Arial"/>
                      </w:rPr>
                      <m:t>NG,y</m:t>
                    </m:r>
                  </m:sub>
                </m:sSub>
              </m:oMath>
            </m:oMathPara>
          </w:p>
        </w:tc>
        <w:tc>
          <w:tcPr>
            <w:tcW w:w="344" w:type="dxa"/>
            <w:vAlign w:val="top"/>
          </w:tcPr>
          <w:p w14:paraId="5C453203" w14:textId="77777777" w:rsidR="00B02882" w:rsidRPr="00FF62B0" w:rsidRDefault="00B02882" w:rsidP="00081FD4">
            <w:pPr>
              <w:pStyle w:val="SDMTableBoxParaNotNumbered"/>
              <w:rPr>
                <w:rFonts w:cs="Arial"/>
              </w:rPr>
            </w:pPr>
            <w:r w:rsidRPr="00FF62B0">
              <w:rPr>
                <w:rFonts w:cs="Arial"/>
              </w:rPr>
              <w:t>=</w:t>
            </w:r>
          </w:p>
        </w:tc>
        <w:tc>
          <w:tcPr>
            <w:tcW w:w="6646" w:type="dxa"/>
            <w:vAlign w:val="top"/>
          </w:tcPr>
          <w:p w14:paraId="659C88FC" w14:textId="4BD26D05" w:rsidR="00B02882" w:rsidRPr="000C5FD6" w:rsidRDefault="00B02882" w:rsidP="00081FD4">
            <w:pPr>
              <w:pStyle w:val="SDMTableBoxParaNotNumbered"/>
              <w:rPr>
                <w:rFonts w:cs="Arial"/>
              </w:rPr>
            </w:pPr>
            <w:r w:rsidRPr="00FF62B0">
              <w:rPr>
                <w:rFonts w:cs="Arial"/>
              </w:rPr>
              <w:t xml:space="preserve">Baseline emissions </w:t>
            </w:r>
            <w:r w:rsidR="00BB172E" w:rsidRPr="00BB172E">
              <w:rPr>
                <w:rFonts w:cs="Arial"/>
              </w:rPr>
              <w:t>associated with LFG or biomethane supplied to consumers replacing natural use from a natural gas network</w:t>
            </w:r>
            <w:r w:rsidRPr="00FF62B0">
              <w:rPr>
                <w:rFonts w:cs="Arial"/>
              </w:rPr>
              <w:t xml:space="preserve"> </w:t>
            </w:r>
            <w:r w:rsidR="00D608A0">
              <w:rPr>
                <w:rFonts w:cs="Arial"/>
              </w:rPr>
              <w:t xml:space="preserve">component </w:t>
            </w:r>
            <w:r w:rsidRPr="00FF62B0">
              <w:rPr>
                <w:rFonts w:cs="Arial"/>
              </w:rPr>
              <w:t>in year </w:t>
            </w:r>
            <w:r w:rsidRPr="00FF62B0">
              <w:rPr>
                <w:rFonts w:cs="Arial"/>
                <w:i/>
              </w:rPr>
              <w:t>y</w:t>
            </w:r>
            <w:r w:rsidRPr="00FF62B0">
              <w:rPr>
                <w:rFonts w:cs="Arial"/>
              </w:rPr>
              <w:t xml:space="preserve"> (tCO</w:t>
            </w:r>
            <w:r w:rsidRPr="00FF62B0">
              <w:rPr>
                <w:rFonts w:cs="Arial"/>
                <w:vertAlign w:val="subscript"/>
              </w:rPr>
              <w:t>2</w:t>
            </w:r>
            <w:r w:rsidRPr="00FF62B0">
              <w:rPr>
                <w:rFonts w:cs="Arial"/>
              </w:rPr>
              <w:t xml:space="preserve">e/year), determined based on section </w:t>
            </w:r>
            <w:r w:rsidRPr="00FF62B0">
              <w:rPr>
                <w:rFonts w:cs="Arial"/>
              </w:rPr>
              <w:fldChar w:fldCharType="begin"/>
            </w:r>
            <w:r w:rsidRPr="00FF62B0">
              <w:rPr>
                <w:rFonts w:cs="Arial"/>
              </w:rPr>
              <w:instrText xml:space="preserve"> REF _Ref207380876 \r \p \h </w:instrText>
            </w:r>
            <w:r w:rsidR="00B56A9D" w:rsidRPr="00AF1510">
              <w:rPr>
                <w:rFonts w:cs="Arial"/>
              </w:rPr>
              <w:instrText xml:space="preserve"> \* MERGEFORMAT </w:instrText>
            </w:r>
            <w:r w:rsidRPr="00FF62B0">
              <w:rPr>
                <w:rFonts w:cs="Arial"/>
              </w:rPr>
            </w:r>
            <w:r w:rsidRPr="00FF62B0">
              <w:rPr>
                <w:rFonts w:cs="Arial"/>
              </w:rPr>
              <w:fldChar w:fldCharType="separate"/>
            </w:r>
            <w:r w:rsidR="00302468">
              <w:rPr>
                <w:rFonts w:cs="Arial"/>
                <w:cs/>
              </w:rPr>
              <w:t>‎</w:t>
            </w:r>
            <w:r w:rsidR="00302468">
              <w:rPr>
                <w:rFonts w:cs="Arial"/>
              </w:rPr>
              <w:t>7.3.2.4 above</w:t>
            </w:r>
            <w:r w:rsidRPr="00FF62B0">
              <w:rPr>
                <w:rFonts w:cs="Arial"/>
              </w:rPr>
              <w:fldChar w:fldCharType="end"/>
            </w:r>
          </w:p>
        </w:tc>
      </w:tr>
    </w:tbl>
    <w:p w14:paraId="5C6ADE40" w14:textId="31F0EC3D" w:rsidR="004334D2" w:rsidRPr="00586352" w:rsidRDefault="004334D2" w:rsidP="00E66E80">
      <w:pPr>
        <w:pStyle w:val="SDMSubPara1"/>
      </w:pPr>
      <w:r w:rsidRPr="00586352">
        <w:t xml:space="preserve">For Article 6.4 activities where the BAU for the component </w:t>
      </w:r>
      <w:r w:rsidRPr="00586352">
        <w:rPr>
          <w:i/>
          <w:iCs/>
        </w:rPr>
        <w:t>i</w:t>
      </w:r>
      <w:r w:rsidRPr="00586352">
        <w:t xml:space="preserve"> is SWDS using the similar design and management practices in the geographical area: through the same equations applied to determine baseline emissions under section </w:t>
      </w:r>
      <w:r>
        <w:fldChar w:fldCharType="begin"/>
      </w:r>
      <w:r>
        <w:instrText xml:space="preserve"> REF _Ref208336294 \w \p \h </w:instrText>
      </w:r>
      <w:r>
        <w:fldChar w:fldCharType="separate"/>
      </w:r>
      <w:r w:rsidR="00302468">
        <w:rPr>
          <w:cs/>
        </w:rPr>
        <w:t>‎</w:t>
      </w:r>
      <w:r w:rsidR="00302468">
        <w:t>7.3.2.1 above</w:t>
      </w:r>
      <w:r>
        <w:fldChar w:fldCharType="end"/>
      </w:r>
      <w:r w:rsidRPr="00586352">
        <w:t xml:space="preserve"> but applying the oxidation factor corresponding to the cover type identified under the BAT analysis in section </w:t>
      </w:r>
      <w:r>
        <w:fldChar w:fldCharType="begin"/>
      </w:r>
      <w:r>
        <w:instrText xml:space="preserve"> REF _Ref206538158 \w \p \h </w:instrText>
      </w:r>
      <w:r>
        <w:fldChar w:fldCharType="separate"/>
      </w:r>
      <w:r w:rsidR="00302468">
        <w:rPr>
          <w:cs/>
        </w:rPr>
        <w:t>‎</w:t>
      </w:r>
      <w:r w:rsidR="00302468">
        <w:t>7.3.1.1 above</w:t>
      </w:r>
      <w:r>
        <w:fldChar w:fldCharType="end"/>
      </w:r>
      <w:r w:rsidRPr="00586352">
        <w:t xml:space="preserve">. The oxidation factor shall be determined based on the default values provided in the </w:t>
      </w:r>
      <w:r w:rsidR="007965D0">
        <w:t>“</w:t>
      </w:r>
      <w:r w:rsidRPr="00586352">
        <w:t>Data / Parameter table 1</w:t>
      </w:r>
      <w:r w:rsidR="007965D0">
        <w:t xml:space="preserve">” in section </w:t>
      </w:r>
      <w:r w:rsidR="000603CA">
        <w:fldChar w:fldCharType="begin"/>
      </w:r>
      <w:r w:rsidR="000603CA">
        <w:instrText xml:space="preserve"> REF _Ref208348259 \w \h </w:instrText>
      </w:r>
      <w:r w:rsidR="000603CA">
        <w:fldChar w:fldCharType="separate"/>
      </w:r>
      <w:r w:rsidR="00302468">
        <w:rPr>
          <w:cs/>
        </w:rPr>
        <w:t>‎</w:t>
      </w:r>
      <w:r w:rsidR="00302468">
        <w:t>13</w:t>
      </w:r>
      <w:r w:rsidR="000603CA">
        <w:fldChar w:fldCharType="end"/>
      </w:r>
      <w:r w:rsidR="000603CA">
        <w:t xml:space="preserve"> below</w:t>
      </w:r>
      <w:r w:rsidRPr="00586352">
        <w:t>;</w:t>
      </w:r>
    </w:p>
    <w:p w14:paraId="0ADD2D6C" w14:textId="10FF28BA" w:rsidR="004334D2" w:rsidRPr="00586352" w:rsidRDefault="004334D2" w:rsidP="00DA05CE">
      <w:pPr>
        <w:pStyle w:val="SDMSubPara1"/>
        <w:keepNext/>
      </w:pPr>
      <w:r w:rsidRPr="00586352">
        <w:t>For Article 6.4 activities where the BAU for the component</w:t>
      </w:r>
      <w:r w:rsidR="00CA14CD">
        <w:t> </w:t>
      </w:r>
      <w:r w:rsidRPr="00586352">
        <w:rPr>
          <w:i/>
          <w:iCs/>
        </w:rPr>
        <w:t>i</w:t>
      </w:r>
      <w:r w:rsidRPr="00586352">
        <w:t xml:space="preserve"> is determined based on the average emissions intensity of any new capacity in the past 3</w:t>
      </w:r>
      <w:r w:rsidR="00CA14CD">
        <w:t> </w:t>
      </w:r>
      <w:r w:rsidRPr="00586352">
        <w:t>years, use the equations below:</w:t>
      </w:r>
    </w:p>
    <w:tbl>
      <w:tblPr>
        <w:tblStyle w:val="SDMMethTableEquation"/>
        <w:tblW w:w="8760" w:type="dxa"/>
        <w:tblLook w:val="0600" w:firstRow="0" w:lastRow="0" w:firstColumn="0" w:lastColumn="0" w:noHBand="1" w:noVBand="1"/>
      </w:tblPr>
      <w:tblGrid>
        <w:gridCol w:w="7092"/>
        <w:gridCol w:w="1668"/>
      </w:tblGrid>
      <w:tr w:rsidR="004334D2" w:rsidRPr="00586352" w14:paraId="39530379" w14:textId="77777777" w:rsidTr="007E5A9B">
        <w:tc>
          <w:tcPr>
            <w:tcW w:w="7092" w:type="dxa"/>
          </w:tcPr>
          <w:p w14:paraId="6224387D" w14:textId="77777777" w:rsidR="004334D2" w:rsidRPr="00586352" w:rsidRDefault="00302468" w:rsidP="00E06D0C">
            <w:pPr>
              <w:pStyle w:val="SDMMethEquation"/>
            </w:pPr>
            <m:oMathPara>
              <m:oMathParaPr>
                <m:jc m:val="left"/>
              </m:oMathParaPr>
              <m:oMath>
                <m:sSub>
                  <m:sSubPr>
                    <m:ctrlPr>
                      <w:rPr>
                        <w:rFonts w:ascii="Cambria Math" w:hAnsi="Cambria Math"/>
                        <w:i/>
                        <w:sz w:val="20"/>
                        <w:szCs w:val="20"/>
                      </w:rPr>
                    </m:ctrlPr>
                  </m:sSubPr>
                  <m:e>
                    <m:r>
                      <w:rPr>
                        <w:rFonts w:ascii="Cambria Math" w:hAnsi="Cambria Math"/>
                        <w:sz w:val="20"/>
                        <w:szCs w:val="20"/>
                      </w:rPr>
                      <m:t>BAU</m:t>
                    </m:r>
                  </m:e>
                  <m:sub>
                    <m:r>
                      <w:rPr>
                        <w:rFonts w:ascii="Cambria Math" w:hAnsi="Cambria Math"/>
                        <w:sz w:val="20"/>
                        <w:szCs w:val="20"/>
                      </w:rPr>
                      <m:t>HG,y</m:t>
                    </m:r>
                  </m:sub>
                </m:sSub>
                <m:r>
                  <w:rPr>
                    <w:rFonts w:ascii="Cambria Math" w:hAnsi="Cambria Math"/>
                    <w:sz w:val="20"/>
                    <w:szCs w:val="20"/>
                  </w:rPr>
                  <m:t>=</m:t>
                </m:r>
                <m:sSub>
                  <m:sSubPr>
                    <m:ctrlPr>
                      <w:rPr>
                        <w:rFonts w:ascii="Cambria Math" w:hAnsi="Cambria Math"/>
                        <w:i/>
                      </w:rPr>
                    </m:ctrlPr>
                  </m:sSubPr>
                  <m:e>
                    <m:r>
                      <w:rPr>
                        <w:rFonts w:ascii="Cambria Math" w:hAnsi="Cambria Math"/>
                      </w:rPr>
                      <m:t>Q</m:t>
                    </m:r>
                  </m:e>
                  <m:sub>
                    <m:r>
                      <w:rPr>
                        <w:rFonts w:ascii="Cambria Math" w:hAnsi="Cambria Math"/>
                      </w:rPr>
                      <m:t>output,y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CO2,HG,BAU</m:t>
                    </m:r>
                  </m:sub>
                </m:sSub>
              </m:oMath>
            </m:oMathPara>
          </w:p>
        </w:tc>
        <w:tc>
          <w:tcPr>
            <w:tcW w:w="1668" w:type="dxa"/>
          </w:tcPr>
          <w:p w14:paraId="2297EC5A" w14:textId="77777777" w:rsidR="004334D2" w:rsidRPr="00586352" w:rsidRDefault="004334D2" w:rsidP="00247E9F">
            <w:pPr>
              <w:pStyle w:val="SDMMethEquationNr"/>
              <w:numPr>
                <w:ilvl w:val="0"/>
                <w:numId w:val="4"/>
              </w:numPr>
            </w:pPr>
          </w:p>
        </w:tc>
      </w:tr>
      <w:tr w:rsidR="004334D2" w:rsidRPr="00586352" w14:paraId="7747A784" w14:textId="77777777" w:rsidTr="007E5A9B">
        <w:tblPrEx>
          <w:tblLook w:val="04A0" w:firstRow="1" w:lastRow="0" w:firstColumn="1" w:lastColumn="0" w:noHBand="0" w:noVBand="1"/>
        </w:tblPrEx>
        <w:tc>
          <w:tcPr>
            <w:tcW w:w="7092" w:type="dxa"/>
          </w:tcPr>
          <w:p w14:paraId="40B91D70" w14:textId="77777777" w:rsidR="004334D2" w:rsidRPr="00586352" w:rsidRDefault="00302468" w:rsidP="00E06D0C">
            <w:pPr>
              <w:pStyle w:val="SDMMethEquation"/>
            </w:pPr>
            <m:oMathPara>
              <m:oMathParaPr>
                <m:jc m:val="left"/>
              </m:oMathParaPr>
              <m:oMath>
                <m:sSub>
                  <m:sSubPr>
                    <m:ctrlPr>
                      <w:rPr>
                        <w:rFonts w:ascii="Cambria Math" w:hAnsi="Cambria Math"/>
                        <w:i/>
                        <w:sz w:val="20"/>
                        <w:szCs w:val="20"/>
                      </w:rPr>
                    </m:ctrlPr>
                  </m:sSubPr>
                  <m:e>
                    <m:r>
                      <w:rPr>
                        <w:rFonts w:ascii="Cambria Math" w:hAnsi="Cambria Math"/>
                        <w:sz w:val="20"/>
                        <w:szCs w:val="20"/>
                      </w:rPr>
                      <m:t>BAU</m:t>
                    </m:r>
                  </m:e>
                  <m:sub>
                    <m:r>
                      <w:rPr>
                        <w:rFonts w:ascii="Cambria Math" w:hAnsi="Cambria Math"/>
                        <w:sz w:val="20"/>
                        <w:szCs w:val="20"/>
                      </w:rPr>
                      <m:t>EG,y</m:t>
                    </m:r>
                  </m:sub>
                </m:sSub>
                <m:r>
                  <w:rPr>
                    <w:rFonts w:ascii="Cambria Math" w:hAnsi="Cambria Math"/>
                    <w:sz w:val="20"/>
                    <w:szCs w:val="20"/>
                  </w:rPr>
                  <m:t>=</m:t>
                </m:r>
                <m:sSub>
                  <m:sSubPr>
                    <m:ctrlPr>
                      <w:rPr>
                        <w:rFonts w:ascii="Cambria Math" w:hAnsi="Cambria Math"/>
                        <w:i/>
                      </w:rPr>
                    </m:ctrlPr>
                  </m:sSubPr>
                  <m:e>
                    <m:r>
                      <w:rPr>
                        <w:rFonts w:ascii="Cambria Math" w:hAnsi="Cambria Math"/>
                      </w:rPr>
                      <m:t>EG</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CO2,EG,BAU</m:t>
                    </m:r>
                  </m:sub>
                </m:sSub>
              </m:oMath>
            </m:oMathPara>
          </w:p>
        </w:tc>
        <w:tc>
          <w:tcPr>
            <w:tcW w:w="1668" w:type="dxa"/>
          </w:tcPr>
          <w:p w14:paraId="18AB1B6B" w14:textId="77777777" w:rsidR="004334D2" w:rsidRPr="00586352" w:rsidRDefault="004334D2" w:rsidP="00247E9F">
            <w:pPr>
              <w:pStyle w:val="SDMMethEquationNr"/>
              <w:numPr>
                <w:ilvl w:val="0"/>
                <w:numId w:val="4"/>
              </w:numPr>
            </w:pPr>
          </w:p>
        </w:tc>
      </w:tr>
    </w:tbl>
    <w:p w14:paraId="12F27661" w14:textId="77777777" w:rsidR="004334D2" w:rsidRPr="00586352" w:rsidRDefault="004334D2" w:rsidP="00DA05CE">
      <w:pPr>
        <w:pStyle w:val="SDMMethCaptionEquationParametersTable"/>
      </w:pPr>
      <w:r w:rsidRPr="00586352">
        <w:t>Where:</w:t>
      </w:r>
    </w:p>
    <w:tbl>
      <w:tblPr>
        <w:tblStyle w:val="SDMMethTableEquationParameters"/>
        <w:tblW w:w="8760" w:type="dxa"/>
        <w:tblLook w:val="04A0" w:firstRow="1" w:lastRow="0" w:firstColumn="1" w:lastColumn="0" w:noHBand="0" w:noVBand="1"/>
      </w:tblPr>
      <w:tblGrid>
        <w:gridCol w:w="1853"/>
        <w:gridCol w:w="345"/>
        <w:gridCol w:w="6562"/>
      </w:tblGrid>
      <w:tr w:rsidR="004334D2" w:rsidRPr="00586352" w14:paraId="013BF772" w14:textId="77777777" w:rsidTr="007E5A9B">
        <w:tc>
          <w:tcPr>
            <w:tcW w:w="1853" w:type="dxa"/>
            <w:vAlign w:val="top"/>
          </w:tcPr>
          <w:p w14:paraId="7AB431CA" w14:textId="77777777" w:rsidR="004334D2" w:rsidRPr="00586352"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BAU</m:t>
                    </m:r>
                  </m:e>
                  <m:sub>
                    <m:r>
                      <w:rPr>
                        <w:rFonts w:ascii="Cambria Math" w:hAnsi="Cambria Math"/>
                      </w:rPr>
                      <m:t>HG, y</m:t>
                    </m:r>
                  </m:sub>
                </m:sSub>
              </m:oMath>
            </m:oMathPara>
          </w:p>
        </w:tc>
        <w:tc>
          <w:tcPr>
            <w:tcW w:w="345" w:type="dxa"/>
            <w:vAlign w:val="top"/>
          </w:tcPr>
          <w:p w14:paraId="6DE70851" w14:textId="77777777" w:rsidR="004334D2" w:rsidRPr="00586352" w:rsidRDefault="004334D2" w:rsidP="00081FD4">
            <w:pPr>
              <w:pStyle w:val="SDMTableBoxParaNotNumbered"/>
            </w:pPr>
            <w:r w:rsidRPr="00586352">
              <w:t>=</w:t>
            </w:r>
          </w:p>
        </w:tc>
        <w:tc>
          <w:tcPr>
            <w:tcW w:w="0" w:type="auto"/>
            <w:vAlign w:val="top"/>
          </w:tcPr>
          <w:p w14:paraId="53370808" w14:textId="77777777" w:rsidR="004334D2" w:rsidRPr="00586352" w:rsidRDefault="004334D2" w:rsidP="00081FD4">
            <w:pPr>
              <w:pStyle w:val="SDMTableBoxParaNotNumbered"/>
            </w:pPr>
            <w:r w:rsidRPr="00586352">
              <w:t>BAU emissions associated with heat generation in year </w:t>
            </w:r>
            <w:r w:rsidRPr="00586352">
              <w:rPr>
                <w:i/>
              </w:rPr>
              <w:t>y</w:t>
            </w:r>
            <w:r w:rsidRPr="00586352">
              <w:t xml:space="preserve"> (tCO</w:t>
            </w:r>
            <w:r w:rsidRPr="00586352">
              <w:rPr>
                <w:vertAlign w:val="subscript"/>
              </w:rPr>
              <w:t>2</w:t>
            </w:r>
            <w:r w:rsidRPr="00586352">
              <w:t>/year)</w:t>
            </w:r>
          </w:p>
        </w:tc>
      </w:tr>
      <w:tr w:rsidR="004334D2" w:rsidRPr="00586352" w14:paraId="117BCCDF" w14:textId="77777777" w:rsidTr="007E5A9B">
        <w:tc>
          <w:tcPr>
            <w:tcW w:w="1853" w:type="dxa"/>
            <w:vAlign w:val="top"/>
          </w:tcPr>
          <w:p w14:paraId="74909066" w14:textId="77777777" w:rsidR="004334D2" w:rsidRPr="00586352"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Q</m:t>
                    </m:r>
                  </m:e>
                  <m:sub>
                    <m:r>
                      <w:rPr>
                        <w:rFonts w:ascii="Cambria Math" w:hAnsi="Cambria Math"/>
                      </w:rPr>
                      <m:t>output,y</m:t>
                    </m:r>
                  </m:sub>
                </m:sSub>
              </m:oMath>
            </m:oMathPara>
          </w:p>
        </w:tc>
        <w:tc>
          <w:tcPr>
            <w:tcW w:w="345" w:type="dxa"/>
            <w:vAlign w:val="top"/>
          </w:tcPr>
          <w:p w14:paraId="69009DE7" w14:textId="77777777" w:rsidR="004334D2" w:rsidRPr="00586352" w:rsidRDefault="004334D2" w:rsidP="00081FD4">
            <w:pPr>
              <w:pStyle w:val="SDMTableBoxParaNotNumbered"/>
            </w:pPr>
            <w:r w:rsidRPr="00586352">
              <w:t>=</w:t>
            </w:r>
          </w:p>
        </w:tc>
        <w:tc>
          <w:tcPr>
            <w:tcW w:w="0" w:type="auto"/>
            <w:vAlign w:val="top"/>
          </w:tcPr>
          <w:p w14:paraId="57B68E3E" w14:textId="12E085FA" w:rsidR="004334D2" w:rsidRPr="00586352" w:rsidRDefault="004334D2" w:rsidP="00081FD4">
            <w:pPr>
              <w:pStyle w:val="SDMTableBoxParaNotNumbered"/>
            </w:pPr>
            <w:r w:rsidRPr="00586352">
              <w:t>Quantity of the output produced by the heat generation equipment in year</w:t>
            </w:r>
            <w:r w:rsidR="00CA14CD">
              <w:t> </w:t>
            </w:r>
            <w:r w:rsidRPr="00586352">
              <w:rPr>
                <w:i/>
                <w:iCs/>
              </w:rPr>
              <w:t>y</w:t>
            </w:r>
            <w:r w:rsidRPr="00586352">
              <w:t xml:space="preserve"> (units of output/year)</w:t>
            </w:r>
          </w:p>
        </w:tc>
      </w:tr>
      <w:tr w:rsidR="004334D2" w:rsidRPr="00586352" w14:paraId="45A2ABC4" w14:textId="77777777" w:rsidTr="007E5A9B">
        <w:tc>
          <w:tcPr>
            <w:tcW w:w="1853" w:type="dxa"/>
            <w:vAlign w:val="top"/>
          </w:tcPr>
          <w:p w14:paraId="556F5383" w14:textId="77777777" w:rsidR="004334D2" w:rsidRPr="00586352"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EF</m:t>
                    </m:r>
                  </m:e>
                  <m:sub>
                    <m:r>
                      <w:rPr>
                        <w:rFonts w:ascii="Cambria Math" w:hAnsi="Cambria Math"/>
                      </w:rPr>
                      <m:t>CO2,HG,BAU</m:t>
                    </m:r>
                  </m:sub>
                </m:sSub>
              </m:oMath>
            </m:oMathPara>
          </w:p>
        </w:tc>
        <w:tc>
          <w:tcPr>
            <w:tcW w:w="345" w:type="dxa"/>
            <w:vAlign w:val="top"/>
          </w:tcPr>
          <w:p w14:paraId="2AE3B3E4" w14:textId="77777777" w:rsidR="004334D2" w:rsidRPr="00586352" w:rsidRDefault="004334D2" w:rsidP="00081FD4">
            <w:pPr>
              <w:pStyle w:val="SDMTableBoxParaNotNumbered"/>
            </w:pPr>
            <w:r w:rsidRPr="00586352">
              <w:t>=</w:t>
            </w:r>
          </w:p>
        </w:tc>
        <w:tc>
          <w:tcPr>
            <w:tcW w:w="0" w:type="auto"/>
            <w:vAlign w:val="top"/>
          </w:tcPr>
          <w:p w14:paraId="7C78E97F" w14:textId="4A809047" w:rsidR="004334D2" w:rsidRPr="00586352" w:rsidRDefault="004334D2" w:rsidP="00081FD4">
            <w:pPr>
              <w:pStyle w:val="SDMTableBoxParaNotNumbered"/>
            </w:pPr>
            <w:r w:rsidRPr="00586352">
              <w:t>Average CO</w:t>
            </w:r>
            <w:r w:rsidRPr="00586352">
              <w:rPr>
                <w:vertAlign w:val="subscript"/>
              </w:rPr>
              <w:t>2</w:t>
            </w:r>
            <w:r w:rsidRPr="00586352">
              <w:t xml:space="preserve"> emissions intensity of any new capacity from other new heat generation plants in similar projects that started operations in the past three years (tCO</w:t>
            </w:r>
            <w:r w:rsidRPr="00586352">
              <w:rPr>
                <w:vertAlign w:val="subscript"/>
              </w:rPr>
              <w:t>2</w:t>
            </w:r>
            <w:r w:rsidRPr="00586352">
              <w:t>e/unit of output)</w:t>
            </w:r>
          </w:p>
        </w:tc>
      </w:tr>
      <w:tr w:rsidR="004334D2" w:rsidRPr="00586352" w14:paraId="67A8C961" w14:textId="77777777" w:rsidTr="007E5A9B">
        <w:tc>
          <w:tcPr>
            <w:tcW w:w="1853" w:type="dxa"/>
            <w:vAlign w:val="top"/>
          </w:tcPr>
          <w:p w14:paraId="0CA45725" w14:textId="77777777" w:rsidR="004334D2" w:rsidRPr="00586352"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BAU</m:t>
                    </m:r>
                  </m:e>
                  <m:sub>
                    <m:r>
                      <w:rPr>
                        <w:rFonts w:ascii="Cambria Math" w:hAnsi="Cambria Math"/>
                      </w:rPr>
                      <m:t>EG, y</m:t>
                    </m:r>
                  </m:sub>
                </m:sSub>
              </m:oMath>
            </m:oMathPara>
          </w:p>
        </w:tc>
        <w:tc>
          <w:tcPr>
            <w:tcW w:w="345" w:type="dxa"/>
            <w:vAlign w:val="top"/>
          </w:tcPr>
          <w:p w14:paraId="17AFF139" w14:textId="77777777" w:rsidR="004334D2" w:rsidRPr="00586352" w:rsidRDefault="004334D2" w:rsidP="00081FD4">
            <w:pPr>
              <w:pStyle w:val="SDMTableBoxParaNotNumbered"/>
            </w:pPr>
            <w:r w:rsidRPr="00586352">
              <w:t>=</w:t>
            </w:r>
          </w:p>
        </w:tc>
        <w:tc>
          <w:tcPr>
            <w:tcW w:w="0" w:type="auto"/>
            <w:vAlign w:val="top"/>
          </w:tcPr>
          <w:p w14:paraId="53C5D5D2" w14:textId="77777777" w:rsidR="004334D2" w:rsidRPr="00586352" w:rsidRDefault="004334D2" w:rsidP="00081FD4">
            <w:pPr>
              <w:pStyle w:val="SDMTableBoxParaNotNumbered"/>
            </w:pPr>
            <w:r w:rsidRPr="00586352">
              <w:t>BAU emissions associated with heat generation in year </w:t>
            </w:r>
            <w:r w:rsidRPr="00586352">
              <w:rPr>
                <w:i/>
              </w:rPr>
              <w:t>y</w:t>
            </w:r>
            <w:r w:rsidRPr="00586352">
              <w:t xml:space="preserve"> (tCO</w:t>
            </w:r>
            <w:r w:rsidRPr="00586352">
              <w:rPr>
                <w:vertAlign w:val="subscript"/>
              </w:rPr>
              <w:t>2</w:t>
            </w:r>
            <w:r w:rsidRPr="00586352">
              <w:t>/year)</w:t>
            </w:r>
          </w:p>
        </w:tc>
      </w:tr>
      <w:tr w:rsidR="004334D2" w:rsidRPr="00586352" w14:paraId="5E5AB04E" w14:textId="77777777" w:rsidTr="007E5A9B">
        <w:tc>
          <w:tcPr>
            <w:tcW w:w="1853" w:type="dxa"/>
            <w:vAlign w:val="top"/>
          </w:tcPr>
          <w:p w14:paraId="51428440" w14:textId="77777777" w:rsidR="004334D2" w:rsidRPr="00586352"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EG</m:t>
                    </m:r>
                  </m:e>
                  <m:sub>
                    <m:r>
                      <w:rPr>
                        <w:rFonts w:ascii="Cambria Math" w:hAnsi="Cambria Math"/>
                      </w:rPr>
                      <m:t>y</m:t>
                    </m:r>
                  </m:sub>
                </m:sSub>
              </m:oMath>
            </m:oMathPara>
          </w:p>
        </w:tc>
        <w:tc>
          <w:tcPr>
            <w:tcW w:w="345" w:type="dxa"/>
            <w:vAlign w:val="top"/>
          </w:tcPr>
          <w:p w14:paraId="7FD8684F" w14:textId="77777777" w:rsidR="004334D2" w:rsidRPr="00586352" w:rsidRDefault="004334D2" w:rsidP="00081FD4">
            <w:pPr>
              <w:pStyle w:val="SDMTableBoxParaNotNumbered"/>
            </w:pPr>
            <w:r w:rsidRPr="00586352">
              <w:t>=</w:t>
            </w:r>
          </w:p>
        </w:tc>
        <w:tc>
          <w:tcPr>
            <w:tcW w:w="0" w:type="auto"/>
            <w:vAlign w:val="top"/>
          </w:tcPr>
          <w:p w14:paraId="2C268F78" w14:textId="77777777" w:rsidR="004334D2" w:rsidRPr="00586352" w:rsidRDefault="004334D2" w:rsidP="00081FD4">
            <w:pPr>
              <w:pStyle w:val="SDMTableBoxParaNotNumbered"/>
            </w:pPr>
            <w:r w:rsidRPr="00586352">
              <w:t>Electricity generated by the power plant in the activity scenario in year</w:t>
            </w:r>
            <w:r w:rsidRPr="00586352">
              <w:rPr>
                <w:i/>
              </w:rPr>
              <w:t xml:space="preserve"> y </w:t>
            </w:r>
            <w:r w:rsidRPr="00586352">
              <w:t>(MWh/year)</w:t>
            </w:r>
          </w:p>
        </w:tc>
      </w:tr>
      <w:tr w:rsidR="004334D2" w14:paraId="0627B5A8" w14:textId="77777777" w:rsidTr="007E5A9B">
        <w:tc>
          <w:tcPr>
            <w:tcW w:w="1853" w:type="dxa"/>
            <w:vAlign w:val="top"/>
          </w:tcPr>
          <w:p w14:paraId="582A85A3" w14:textId="77777777" w:rsidR="004334D2" w:rsidRPr="00586352"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EF</m:t>
                    </m:r>
                  </m:e>
                  <m:sub>
                    <m:r>
                      <w:rPr>
                        <w:rFonts w:ascii="Cambria Math" w:hAnsi="Cambria Math"/>
                      </w:rPr>
                      <m:t>CO2,EG,BAU</m:t>
                    </m:r>
                  </m:sub>
                </m:sSub>
              </m:oMath>
            </m:oMathPara>
          </w:p>
        </w:tc>
        <w:tc>
          <w:tcPr>
            <w:tcW w:w="345" w:type="dxa"/>
            <w:vAlign w:val="top"/>
          </w:tcPr>
          <w:p w14:paraId="7255AE3B" w14:textId="77777777" w:rsidR="004334D2" w:rsidRPr="00586352" w:rsidRDefault="004334D2" w:rsidP="00081FD4">
            <w:pPr>
              <w:pStyle w:val="SDMTableBoxParaNotNumbered"/>
            </w:pPr>
            <w:r w:rsidRPr="00586352">
              <w:t>=</w:t>
            </w:r>
          </w:p>
        </w:tc>
        <w:tc>
          <w:tcPr>
            <w:tcW w:w="0" w:type="auto"/>
            <w:vAlign w:val="top"/>
          </w:tcPr>
          <w:p w14:paraId="5C09FC7A" w14:textId="412BC012" w:rsidR="004334D2" w:rsidRDefault="004334D2" w:rsidP="00081FD4">
            <w:pPr>
              <w:pStyle w:val="SDMTableBoxParaNotNumbered"/>
            </w:pPr>
            <w:r w:rsidRPr="00586352">
              <w:t>Average CO</w:t>
            </w:r>
            <w:r w:rsidRPr="00586352">
              <w:rPr>
                <w:vertAlign w:val="subscript"/>
              </w:rPr>
              <w:t>2</w:t>
            </w:r>
            <w:r w:rsidRPr="00586352">
              <w:t xml:space="preserve"> emissions intensity of any new capacity from other new power plants in similar projects that started operations in the past three years (tCO</w:t>
            </w:r>
            <w:r w:rsidRPr="00586352">
              <w:rPr>
                <w:vertAlign w:val="subscript"/>
              </w:rPr>
              <w:t>2</w:t>
            </w:r>
            <w:r w:rsidRPr="00586352">
              <w:t>e/MWh)</w:t>
            </w:r>
          </w:p>
        </w:tc>
      </w:tr>
    </w:tbl>
    <w:p w14:paraId="3C709FA2" w14:textId="77777777" w:rsidR="004334D2" w:rsidRDefault="004334D2" w:rsidP="00DA05CE">
      <w:pPr>
        <w:pStyle w:val="SDMPara"/>
        <w:keepNext/>
      </w:pPr>
      <w:r>
        <w:t>The conservative BAU emissions shall be determined based on the stepwise process below:</w:t>
      </w:r>
    </w:p>
    <w:p w14:paraId="47A8ED22" w14:textId="77777777" w:rsidR="004334D2" w:rsidRDefault="004334D2" w:rsidP="00E66E80">
      <w:pPr>
        <w:pStyle w:val="SDMHead4"/>
      </w:pPr>
      <w:r>
        <w:t>Step 1. Determine the uncertainty at the lower bound of the uncertainty interval (</w:t>
      </w:r>
      <m:oMath>
        <m:sSub>
          <m:sSubPr>
            <m:ctrlPr>
              <w:rPr>
                <w:rFonts w:ascii="Cambria Math" w:hAnsi="Cambria Math"/>
                <w:i/>
              </w:rPr>
            </m:ctrlPr>
          </m:sSubPr>
          <m:e>
            <m:r>
              <m:rPr>
                <m:sty m:val="bi"/>
              </m:rPr>
              <w:rPr>
                <w:rFonts w:ascii="Cambria Math" w:hAnsi="Cambria Math"/>
              </w:rPr>
              <m:t>UCN</m:t>
            </m:r>
          </m:e>
          <m:sub>
            <m:r>
              <m:rPr>
                <m:sty m:val="bi"/>
              </m:rPr>
              <w:rPr>
                <w:rFonts w:ascii="Cambria Math" w:hAnsi="Cambria Math"/>
              </w:rPr>
              <m:t>BAU, CP</m:t>
            </m:r>
            <m:r>
              <m:rPr>
                <m:sty m:val="bi"/>
              </m:rPr>
              <w:rPr>
                <w:rFonts w:ascii="Cambria Math" w:hAnsi="Cambria Math"/>
              </w:rPr>
              <m:t>1, i,y</m:t>
            </m:r>
          </m:sub>
        </m:sSub>
      </m:oMath>
      <w:r>
        <w:t>)</w:t>
      </w:r>
    </w:p>
    <w:p w14:paraId="369DFEAE" w14:textId="3A6FF51F" w:rsidR="004334D2" w:rsidRDefault="004334D2" w:rsidP="00E66E80">
      <w:pPr>
        <w:pStyle w:val="SDMPara"/>
      </w:pPr>
      <w:r>
        <w:t>The 95</w:t>
      </w:r>
      <w:r w:rsidR="003F7966">
        <w:t xml:space="preserve"> per cent</w:t>
      </w:r>
      <w:r>
        <w:t xml:space="preserve"> confidence interval for uncertainty shall be determined considering uncertainty in all parameters used to calculate BAU emissions during the first crediting period following the guidance from Volume 1, Chapter 3 of the </w:t>
      </w:r>
      <w:r w:rsidR="00D73C70">
        <w:t>IPC</w:t>
      </w:r>
      <w:r w:rsidR="007E2156">
        <w:t>C</w:t>
      </w:r>
      <w:r w:rsidR="00D73C70">
        <w:t xml:space="preserve"> (</w:t>
      </w:r>
      <w:r>
        <w:t>2019 Refinement</w:t>
      </w:r>
      <w:r w:rsidR="00932229">
        <w:t>)</w:t>
      </w:r>
      <w:r>
        <w:t xml:space="preserve"> through the error propagation method or through the Monte Carlo simulation.</w:t>
      </w:r>
    </w:p>
    <w:p w14:paraId="66401E11" w14:textId="77777777" w:rsidR="004334D2" w:rsidRDefault="004334D2" w:rsidP="00E66E80">
      <w:pPr>
        <w:pStyle w:val="SDMPara"/>
      </w:pPr>
      <w:r w:rsidRPr="003B30FE">
        <w:t xml:space="preserve">Uncertainties should be traceable for each and every parameter, with clear values and assumptions for uncertainty and any associated references </w:t>
      </w:r>
      <w:r>
        <w:t>for estimating</w:t>
      </w:r>
      <w:r w:rsidRPr="003B30FE">
        <w:t xml:space="preserve"> uncertainties</w:t>
      </w:r>
      <w:r>
        <w:t xml:space="preserve"> of parameters</w:t>
      </w:r>
      <w:r w:rsidRPr="003B30FE">
        <w:t>.</w:t>
      </w:r>
    </w:p>
    <w:p w14:paraId="44CE6F9B" w14:textId="5B6DE97F" w:rsidR="004334D2" w:rsidRDefault="004334D2" w:rsidP="00735663">
      <w:pPr>
        <w:pStyle w:val="SDMHead4"/>
        <w:keepNext w:val="0"/>
      </w:pPr>
      <w:r>
        <w:t xml:space="preserve">Step 2. Determine the conservative </w:t>
      </w:r>
      <w:r w:rsidR="00D75C0F">
        <w:t>b</w:t>
      </w:r>
      <w:r w:rsidR="00BD6B8A">
        <w:t>usiness-as-usual</w:t>
      </w:r>
      <w:r>
        <w:t xml:space="preserve"> baseline emissions and/or removals based on uncertainty </w:t>
      </w:r>
      <w:r w:rsidRPr="0009462B">
        <w:t>(</w:t>
      </w:r>
      <m:oMath>
        <m:sSub>
          <m:sSubPr>
            <m:ctrlPr>
              <w:rPr>
                <w:rFonts w:ascii="Cambria Math" w:hAnsi="Cambria Math"/>
                <w:i/>
              </w:rPr>
            </m:ctrlPr>
          </m:sSubPr>
          <m:e>
            <m:r>
              <m:rPr>
                <m:sty m:val="bi"/>
              </m:rPr>
              <w:rPr>
                <w:rFonts w:ascii="Cambria Math" w:hAnsi="Cambria Math"/>
              </w:rPr>
              <m:t>BE</m:t>
            </m:r>
          </m:e>
          <m:sub>
            <m:r>
              <m:rPr>
                <m:sty m:val="bi"/>
              </m:rPr>
              <w:rPr>
                <w:rFonts w:ascii="Cambria Math" w:hAnsi="Cambria Math"/>
              </w:rPr>
              <m:t>cons,UNC,i,y</m:t>
            </m:r>
          </m:sub>
        </m:sSub>
      </m:oMath>
      <w:r w:rsidRPr="0009462B">
        <w:t>)</w:t>
      </w:r>
    </w:p>
    <w:p w14:paraId="3E9C69B2" w14:textId="77777777" w:rsidR="004334D2" w:rsidRDefault="004334D2" w:rsidP="00DA05CE">
      <w:pPr>
        <w:pStyle w:val="SDMPara"/>
        <w:keepNext/>
      </w:pPr>
      <w:r>
        <w:t>Determine the conservative BAU emissions based on the uncertainty (</w:t>
      </w:r>
      <m:oMath>
        <m:sSub>
          <m:sSubPr>
            <m:ctrlPr>
              <w:rPr>
                <w:rFonts w:ascii="Cambria Math" w:hAnsi="Cambria Math"/>
                <w:i/>
              </w:rPr>
            </m:ctrlPr>
          </m:sSubPr>
          <m:e>
            <m:r>
              <w:rPr>
                <w:rFonts w:ascii="Cambria Math" w:hAnsi="Cambria Math"/>
              </w:rPr>
              <m:t>BAU</m:t>
            </m:r>
          </m:e>
          <m:sub>
            <m:r>
              <w:rPr>
                <w:rFonts w:ascii="Cambria Math" w:hAnsi="Cambria Math"/>
              </w:rPr>
              <m:t>cons, UNC, i,y</m:t>
            </m:r>
          </m:sub>
        </m:sSub>
      </m:oMath>
      <w:r>
        <w:t>) as follows:</w:t>
      </w:r>
    </w:p>
    <w:tbl>
      <w:tblPr>
        <w:tblStyle w:val="SDMMethTableEquation"/>
        <w:tblW w:w="8760" w:type="dxa"/>
        <w:tblLook w:val="0600" w:firstRow="0" w:lastRow="0" w:firstColumn="0" w:lastColumn="0" w:noHBand="1" w:noVBand="1"/>
      </w:tblPr>
      <w:tblGrid>
        <w:gridCol w:w="7095"/>
        <w:gridCol w:w="1665"/>
      </w:tblGrid>
      <w:tr w:rsidR="004334D2" w:rsidRPr="00E32F75" w14:paraId="7C45963C" w14:textId="77777777" w:rsidTr="007E5A9B">
        <w:tc>
          <w:tcPr>
            <w:tcW w:w="7224" w:type="dxa"/>
          </w:tcPr>
          <w:p w14:paraId="118FAA15" w14:textId="77777777"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BAU</m:t>
                    </m:r>
                  </m:e>
                  <m:sub>
                    <m:r>
                      <w:rPr>
                        <w:rFonts w:ascii="Cambria Math" w:hAnsi="Cambria Math"/>
                      </w:rPr>
                      <m:t>cons, UNC, i,y</m:t>
                    </m:r>
                  </m:sub>
                </m:sSub>
                <m:r>
                  <w:rPr>
                    <w:rFonts w:ascii="Cambria Math" w:hAnsi="Cambria Math"/>
                  </w:rPr>
                  <m:t>=</m:t>
                </m:r>
                <m:sSub>
                  <m:sSubPr>
                    <m:ctrlPr>
                      <w:rPr>
                        <w:rFonts w:ascii="Cambria Math" w:hAnsi="Cambria Math"/>
                        <w:i/>
                      </w:rPr>
                    </m:ctrlPr>
                  </m:sSubPr>
                  <m:e>
                    <m:r>
                      <w:rPr>
                        <w:rFonts w:ascii="Cambria Math" w:hAnsi="Cambria Math"/>
                      </w:rPr>
                      <m:t>BAU</m:t>
                    </m:r>
                  </m:e>
                  <m:sub>
                    <m:r>
                      <w:rPr>
                        <w:rFonts w:ascii="Cambria Math" w:hAnsi="Cambria Math"/>
                      </w:rPr>
                      <m:t>i,y</m:t>
                    </m:r>
                  </m:sub>
                </m:sSub>
                <m:r>
                  <w:rPr>
                    <w:rFonts w:ascii="Cambria Math" w:hAnsi="Cambria Math"/>
                  </w:rPr>
                  <m:t>×</m:t>
                </m:r>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UNC</m:t>
                        </m:r>
                      </m:e>
                      <m:sub>
                        <m:r>
                          <w:rPr>
                            <w:rFonts w:ascii="Cambria Math" w:hAnsi="Cambria Math"/>
                          </w:rPr>
                          <m:t>BAU, CP1, i,y</m:t>
                        </m:r>
                      </m:sub>
                    </m:sSub>
                  </m:e>
                </m:d>
                <m:r>
                  <w:rPr>
                    <w:rFonts w:ascii="Cambria Math" w:hAnsi="Cambria Math"/>
                  </w:rPr>
                  <m:t xml:space="preserve"> </m:t>
                </m:r>
              </m:oMath>
            </m:oMathPara>
          </w:p>
        </w:tc>
        <w:tc>
          <w:tcPr>
            <w:tcW w:w="1701" w:type="dxa"/>
          </w:tcPr>
          <w:p w14:paraId="4F7CA7FE" w14:textId="77777777" w:rsidR="004334D2" w:rsidRPr="002B6960" w:rsidRDefault="004334D2" w:rsidP="00247E9F">
            <w:pPr>
              <w:pStyle w:val="SDMMethEquationNr"/>
              <w:numPr>
                <w:ilvl w:val="0"/>
                <w:numId w:val="4"/>
              </w:numPr>
            </w:pPr>
          </w:p>
        </w:tc>
      </w:tr>
    </w:tbl>
    <w:p w14:paraId="14A16945"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49"/>
        <w:gridCol w:w="345"/>
        <w:gridCol w:w="6666"/>
      </w:tblGrid>
      <w:tr w:rsidR="004334D2" w14:paraId="7B4888A6" w14:textId="77777777" w:rsidTr="007E5A9B">
        <w:tc>
          <w:tcPr>
            <w:tcW w:w="1749" w:type="dxa"/>
            <w:vAlign w:val="top"/>
          </w:tcPr>
          <w:p w14:paraId="0F503E15" w14:textId="77777777" w:rsidR="004334D2" w:rsidRPr="00515A9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BAU</m:t>
                    </m:r>
                  </m:e>
                  <m:sub>
                    <m:r>
                      <w:rPr>
                        <w:rFonts w:ascii="Cambria Math" w:hAnsi="Cambria Math"/>
                      </w:rPr>
                      <m:t>cons, UNC,i,y</m:t>
                    </m:r>
                  </m:sub>
                </m:sSub>
              </m:oMath>
            </m:oMathPara>
          </w:p>
        </w:tc>
        <w:tc>
          <w:tcPr>
            <w:tcW w:w="345" w:type="dxa"/>
            <w:vAlign w:val="top"/>
          </w:tcPr>
          <w:p w14:paraId="146A6015" w14:textId="77777777" w:rsidR="004334D2" w:rsidRDefault="004334D2" w:rsidP="00081FD4">
            <w:pPr>
              <w:pStyle w:val="SDMTableBoxParaNotNumbered"/>
            </w:pPr>
            <w:r>
              <w:t>=</w:t>
            </w:r>
          </w:p>
        </w:tc>
        <w:tc>
          <w:tcPr>
            <w:tcW w:w="0" w:type="auto"/>
            <w:vAlign w:val="top"/>
          </w:tcPr>
          <w:p w14:paraId="4FF4BECC" w14:textId="13BDDDCA" w:rsidR="004334D2" w:rsidRDefault="004334D2" w:rsidP="00081FD4">
            <w:pPr>
              <w:pStyle w:val="SDMTableBoxParaNotNumbered"/>
            </w:pPr>
            <w:r>
              <w:t>Conservative BAU baseline emissions based on the uncertainty for the component</w:t>
            </w:r>
            <w:r w:rsidR="00CA14CD">
              <w:t> </w:t>
            </w:r>
            <w:r w:rsidRPr="003D2C3B">
              <w:rPr>
                <w:i/>
                <w:iCs/>
              </w:rPr>
              <w:t>i</w:t>
            </w:r>
            <w:r>
              <w:t xml:space="preserve"> in year</w:t>
            </w:r>
            <w:r w:rsidR="00CA14CD">
              <w:t> </w:t>
            </w:r>
            <w:r w:rsidRPr="009E1538">
              <w:rPr>
                <w:i/>
                <w:iCs/>
              </w:rPr>
              <w:t>y</w:t>
            </w:r>
            <w:r>
              <w:t xml:space="preserve"> (tCO</w:t>
            </w:r>
            <w:r w:rsidRPr="00793136">
              <w:rPr>
                <w:vertAlign w:val="subscript"/>
              </w:rPr>
              <w:t>2</w:t>
            </w:r>
            <w:r>
              <w:t>e/year)</w:t>
            </w:r>
          </w:p>
        </w:tc>
      </w:tr>
      <w:tr w:rsidR="004334D2" w14:paraId="32D76DC8" w14:textId="77777777" w:rsidTr="007E5A9B">
        <w:tc>
          <w:tcPr>
            <w:tcW w:w="1749" w:type="dxa"/>
            <w:vAlign w:val="top"/>
          </w:tcPr>
          <w:p w14:paraId="28AF41C4" w14:textId="77777777" w:rsidR="004334D2" w:rsidRPr="00515A96"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BAU</m:t>
                    </m:r>
                  </m:e>
                  <m:sub>
                    <m:r>
                      <w:rPr>
                        <w:rFonts w:ascii="Cambria Math" w:hAnsi="Cambria Math"/>
                      </w:rPr>
                      <m:t>i,y</m:t>
                    </m:r>
                  </m:sub>
                </m:sSub>
              </m:oMath>
            </m:oMathPara>
          </w:p>
        </w:tc>
        <w:tc>
          <w:tcPr>
            <w:tcW w:w="345" w:type="dxa"/>
            <w:vAlign w:val="top"/>
          </w:tcPr>
          <w:p w14:paraId="667AC09C" w14:textId="77777777" w:rsidR="004334D2" w:rsidRDefault="004334D2" w:rsidP="00081FD4">
            <w:pPr>
              <w:pStyle w:val="SDMTableBoxParaNotNumbered"/>
            </w:pPr>
            <w:r>
              <w:t>=</w:t>
            </w:r>
          </w:p>
        </w:tc>
        <w:tc>
          <w:tcPr>
            <w:tcW w:w="0" w:type="auto"/>
            <w:vAlign w:val="top"/>
          </w:tcPr>
          <w:p w14:paraId="0E3C1AA9" w14:textId="5DCD278D" w:rsidR="004334D2" w:rsidRDefault="004334D2" w:rsidP="00081FD4">
            <w:pPr>
              <w:pStyle w:val="SDMTableBoxParaNotNumbered"/>
            </w:pPr>
            <w:r>
              <w:t>Most likely net BAU baseline emissions for the component</w:t>
            </w:r>
            <w:r w:rsidR="00CA14CD">
              <w:t> </w:t>
            </w:r>
            <w:r w:rsidRPr="003D2C3B">
              <w:rPr>
                <w:i/>
                <w:iCs/>
              </w:rPr>
              <w:t>i</w:t>
            </w:r>
            <w:r>
              <w:t xml:space="preserve"> in year</w:t>
            </w:r>
            <w:r w:rsidR="00CA14CD">
              <w:t> </w:t>
            </w:r>
            <w:r w:rsidRPr="009E1538">
              <w:rPr>
                <w:i/>
                <w:iCs/>
              </w:rPr>
              <w:t>y</w:t>
            </w:r>
            <w:r>
              <w:t xml:space="preserve"> (tCO</w:t>
            </w:r>
            <w:r w:rsidRPr="009E1538">
              <w:rPr>
                <w:vertAlign w:val="subscript"/>
              </w:rPr>
              <w:t>2</w:t>
            </w:r>
            <w:r>
              <w:t xml:space="preserve">e/year), determined based on guidance from paragraph </w:t>
            </w:r>
            <w:r>
              <w:fldChar w:fldCharType="begin"/>
            </w:r>
            <w:r>
              <w:instrText xml:space="preserve"> REF _Ref208336380 \w \p \h </w:instrText>
            </w:r>
            <w:r w:rsidR="00CA14CD">
              <w:instrText xml:space="preserve"> \* MERGEFORMAT </w:instrText>
            </w:r>
            <w:r>
              <w:fldChar w:fldCharType="separate"/>
            </w:r>
            <w:r w:rsidR="00302468">
              <w:rPr>
                <w:cs/>
              </w:rPr>
              <w:t>‎</w:t>
            </w:r>
            <w:r w:rsidR="00302468">
              <w:t>143 above</w:t>
            </w:r>
            <w:r>
              <w:fldChar w:fldCharType="end"/>
            </w:r>
          </w:p>
        </w:tc>
      </w:tr>
      <w:tr w:rsidR="004334D2" w14:paraId="72433324" w14:textId="77777777" w:rsidTr="007E5A9B">
        <w:tc>
          <w:tcPr>
            <w:tcW w:w="1749" w:type="dxa"/>
            <w:vAlign w:val="top"/>
          </w:tcPr>
          <w:p w14:paraId="0D9B67D4" w14:textId="77777777" w:rsidR="004334D2" w:rsidRPr="0040036E" w:rsidRDefault="00302468" w:rsidP="00081FD4">
            <w:pPr>
              <w:pStyle w:val="SDMTableBoxParaNotNumbered"/>
              <w:rPr>
                <w:i/>
              </w:rPr>
            </w:pPr>
            <m:oMathPara>
              <m:oMathParaPr>
                <m:jc m:val="left"/>
              </m:oMathParaPr>
              <m:oMath>
                <m:sSub>
                  <m:sSubPr>
                    <m:ctrlPr>
                      <w:rPr>
                        <w:rFonts w:ascii="Cambria Math" w:hAnsi="Cambria Math"/>
                        <w:i/>
                      </w:rPr>
                    </m:ctrlPr>
                  </m:sSubPr>
                  <m:e>
                    <m:r>
                      <w:rPr>
                        <w:rFonts w:ascii="Cambria Math" w:hAnsi="Cambria Math"/>
                      </w:rPr>
                      <m:t>UNC</m:t>
                    </m:r>
                  </m:e>
                  <m:sub>
                    <m:r>
                      <w:rPr>
                        <w:rFonts w:ascii="Cambria Math" w:hAnsi="Cambria Math"/>
                      </w:rPr>
                      <m:t>BAU, CP1, i,y</m:t>
                    </m:r>
                  </m:sub>
                </m:sSub>
              </m:oMath>
            </m:oMathPara>
          </w:p>
        </w:tc>
        <w:tc>
          <w:tcPr>
            <w:tcW w:w="345" w:type="dxa"/>
            <w:vAlign w:val="top"/>
          </w:tcPr>
          <w:p w14:paraId="1DEADF26" w14:textId="77777777" w:rsidR="004334D2" w:rsidRDefault="004334D2" w:rsidP="00081FD4">
            <w:pPr>
              <w:pStyle w:val="SDMTableBoxParaNotNumbered"/>
            </w:pPr>
            <w:r>
              <w:t>=</w:t>
            </w:r>
          </w:p>
        </w:tc>
        <w:tc>
          <w:tcPr>
            <w:tcW w:w="0" w:type="auto"/>
            <w:vAlign w:val="top"/>
          </w:tcPr>
          <w:p w14:paraId="567F71F2" w14:textId="66279819" w:rsidR="004334D2" w:rsidRDefault="004334D2" w:rsidP="00081FD4">
            <w:pPr>
              <w:pStyle w:val="SDMTableBoxParaNotNumbered"/>
            </w:pPr>
            <w:r>
              <w:t>Uncertainty at the lower bound of the uncertainty interval relative to the central estimate of the ex-ante quantified most likely net BAU baseline emissions for the component</w:t>
            </w:r>
            <w:r w:rsidR="00CA14CD">
              <w:t> </w:t>
            </w:r>
            <w:r w:rsidRPr="003D2C3B">
              <w:rPr>
                <w:i/>
                <w:iCs/>
              </w:rPr>
              <w:t>i</w:t>
            </w:r>
            <w:r>
              <w:t xml:space="preserve"> during the first crediting period year</w:t>
            </w:r>
            <w:r w:rsidR="00CA14CD">
              <w:t> </w:t>
            </w:r>
            <w:r w:rsidRPr="00781C7D">
              <w:rPr>
                <w:i/>
                <w:iCs/>
              </w:rPr>
              <w:t>y</w:t>
            </w:r>
            <w:r>
              <w:t xml:space="preserve"> (fraction)</w:t>
            </w:r>
          </w:p>
        </w:tc>
      </w:tr>
      <w:tr w:rsidR="004334D2" w14:paraId="02E8EA61" w14:textId="77777777" w:rsidTr="007E5A9B">
        <w:tc>
          <w:tcPr>
            <w:tcW w:w="1749" w:type="dxa"/>
            <w:vAlign w:val="top"/>
          </w:tcPr>
          <w:p w14:paraId="170DF14E" w14:textId="77777777" w:rsidR="004334D2" w:rsidRPr="00440001" w:rsidRDefault="004334D2" w:rsidP="00081FD4">
            <w:pPr>
              <w:pStyle w:val="SDMTableBoxParaNotNumbered"/>
              <w:rPr>
                <w:sz w:val="22"/>
                <w:szCs w:val="22"/>
              </w:rPr>
            </w:pPr>
            <m:oMathPara>
              <m:oMathParaPr>
                <m:jc m:val="left"/>
              </m:oMathParaPr>
              <m:oMath>
                <m:r>
                  <w:rPr>
                    <w:rFonts w:ascii="Cambria Math" w:hAnsi="Cambria Math" w:cs="Arial"/>
                    <w:sz w:val="22"/>
                    <w:szCs w:val="22"/>
                  </w:rPr>
                  <m:t>y</m:t>
                </m:r>
              </m:oMath>
            </m:oMathPara>
          </w:p>
        </w:tc>
        <w:tc>
          <w:tcPr>
            <w:tcW w:w="345" w:type="dxa"/>
            <w:vAlign w:val="top"/>
          </w:tcPr>
          <w:p w14:paraId="0CEEEF51" w14:textId="77777777" w:rsidR="004334D2" w:rsidRDefault="004334D2" w:rsidP="00081FD4">
            <w:pPr>
              <w:pStyle w:val="SDMTableBoxParaNotNumbered"/>
            </w:pPr>
            <w:r>
              <w:t>=</w:t>
            </w:r>
          </w:p>
        </w:tc>
        <w:tc>
          <w:tcPr>
            <w:tcW w:w="0" w:type="auto"/>
            <w:vAlign w:val="top"/>
          </w:tcPr>
          <w:p w14:paraId="455FAFD2" w14:textId="77777777" w:rsidR="004334D2" w:rsidRDefault="004334D2" w:rsidP="00081FD4">
            <w:pPr>
              <w:pStyle w:val="SDMTableBoxParaNotNumbered"/>
            </w:pPr>
            <w:r>
              <w:t>Relevant year or period</w:t>
            </w:r>
          </w:p>
        </w:tc>
      </w:tr>
      <w:tr w:rsidR="004334D2" w14:paraId="54B501C4" w14:textId="77777777" w:rsidTr="007E5A9B">
        <w:tc>
          <w:tcPr>
            <w:tcW w:w="1749" w:type="dxa"/>
            <w:vAlign w:val="top"/>
          </w:tcPr>
          <w:p w14:paraId="3C742B9C" w14:textId="77777777" w:rsidR="004334D2" w:rsidRPr="00185A52" w:rsidRDefault="004334D2" w:rsidP="00081FD4">
            <w:pPr>
              <w:pStyle w:val="SDMTableBoxParaNotNumbered"/>
              <w:rPr>
                <w:sz w:val="22"/>
                <w:szCs w:val="22"/>
              </w:rPr>
            </w:pPr>
            <m:oMathPara>
              <m:oMathParaPr>
                <m:jc m:val="left"/>
              </m:oMathParaPr>
              <m:oMath>
                <m:r>
                  <w:rPr>
                    <w:rFonts w:ascii="Cambria Math" w:hAnsi="Cambria Math" w:cs="Arial"/>
                    <w:sz w:val="22"/>
                    <w:szCs w:val="22"/>
                  </w:rPr>
                  <m:t>i</m:t>
                </m:r>
              </m:oMath>
            </m:oMathPara>
          </w:p>
        </w:tc>
        <w:tc>
          <w:tcPr>
            <w:tcW w:w="345" w:type="dxa"/>
            <w:vAlign w:val="top"/>
          </w:tcPr>
          <w:p w14:paraId="4FB9C522" w14:textId="77777777" w:rsidR="004334D2" w:rsidRDefault="004334D2" w:rsidP="00081FD4">
            <w:pPr>
              <w:pStyle w:val="SDMTableBoxParaNotNumbered"/>
            </w:pPr>
            <w:r>
              <w:t>=</w:t>
            </w:r>
          </w:p>
        </w:tc>
        <w:tc>
          <w:tcPr>
            <w:tcW w:w="0" w:type="auto"/>
            <w:vAlign w:val="top"/>
          </w:tcPr>
          <w:p w14:paraId="24CC8271" w14:textId="77777777" w:rsidR="004334D2" w:rsidRDefault="004334D2" w:rsidP="00081FD4">
            <w:pPr>
              <w:pStyle w:val="SDMTableBoxParaNotNumbered"/>
            </w:pPr>
            <w:r>
              <w:t>BAU component (i = methane, electricity, heat and supply of LFG/biomethane)</w:t>
            </w:r>
          </w:p>
        </w:tc>
      </w:tr>
    </w:tbl>
    <w:p w14:paraId="3F119871" w14:textId="40014606" w:rsidR="004334D2" w:rsidRDefault="004334D2" w:rsidP="00E66E80">
      <w:pPr>
        <w:pStyle w:val="SDMHead4"/>
      </w:pPr>
      <w:r>
        <w:t xml:space="preserve">Step 3. Determine the minimum conservative value of the </w:t>
      </w:r>
      <w:r w:rsidR="00D75C0F">
        <w:t xml:space="preserve">business-as-usual </w:t>
      </w:r>
      <w:r>
        <w:t xml:space="preserve">baseline </w:t>
      </w:r>
      <w:r w:rsidRPr="0009462B">
        <w:t>(</w:t>
      </w:r>
      <m:oMath>
        <m:sSub>
          <m:sSubPr>
            <m:ctrlPr>
              <w:rPr>
                <w:rFonts w:ascii="Cambria Math" w:hAnsi="Cambria Math"/>
                <w:i/>
              </w:rPr>
            </m:ctrlPr>
          </m:sSubPr>
          <m:e>
            <m:r>
              <m:rPr>
                <m:sty m:val="bi"/>
              </m:rPr>
              <w:rPr>
                <w:rFonts w:ascii="Cambria Math" w:hAnsi="Cambria Math"/>
              </w:rPr>
              <m:t>BAU</m:t>
            </m:r>
          </m:e>
          <m:sub>
            <m:r>
              <m:rPr>
                <m:sty m:val="bi"/>
              </m:rPr>
              <w:rPr>
                <w:rFonts w:ascii="Cambria Math" w:hAnsi="Cambria Math"/>
              </w:rPr>
              <m:t>cons,min,i,y</m:t>
            </m:r>
          </m:sub>
        </m:sSub>
      </m:oMath>
      <w:r w:rsidRPr="0009462B">
        <w:t>)</w:t>
      </w:r>
    </w:p>
    <w:tbl>
      <w:tblPr>
        <w:tblStyle w:val="SDMMethTableEquation"/>
        <w:tblW w:w="8760" w:type="dxa"/>
        <w:tblLook w:val="0600" w:firstRow="0" w:lastRow="0" w:firstColumn="0" w:lastColumn="0" w:noHBand="1" w:noVBand="1"/>
      </w:tblPr>
      <w:tblGrid>
        <w:gridCol w:w="7093"/>
        <w:gridCol w:w="1667"/>
      </w:tblGrid>
      <w:tr w:rsidR="004334D2" w:rsidRPr="00E32F75" w14:paraId="6758C84D" w14:textId="77777777" w:rsidTr="007E5A9B">
        <w:tc>
          <w:tcPr>
            <w:tcW w:w="7224" w:type="dxa"/>
          </w:tcPr>
          <w:p w14:paraId="2111F188" w14:textId="4B1D2D00"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BAU</m:t>
                    </m:r>
                  </m:e>
                  <m:sub>
                    <m:r>
                      <w:rPr>
                        <w:rFonts w:ascii="Cambria Math" w:hAnsi="Cambria Math"/>
                      </w:rPr>
                      <m:t>cons, min, i,y</m:t>
                    </m:r>
                  </m:sub>
                </m:sSub>
                <m:r>
                  <w:rPr>
                    <w:rFonts w:ascii="Cambria Math" w:hAnsi="Cambria Math"/>
                  </w:rPr>
                  <m:t>=</m:t>
                </m:r>
                <m:sSub>
                  <m:sSubPr>
                    <m:ctrlPr>
                      <w:rPr>
                        <w:rFonts w:ascii="Cambria Math" w:hAnsi="Cambria Math"/>
                        <w:i/>
                      </w:rPr>
                    </m:ctrlPr>
                  </m:sSubPr>
                  <m:e>
                    <m:r>
                      <w:rPr>
                        <w:rFonts w:ascii="Cambria Math" w:hAnsi="Cambria Math"/>
                      </w:rPr>
                      <m:t>BAU</m:t>
                    </m:r>
                  </m:e>
                  <m:sub>
                    <m:r>
                      <w:rPr>
                        <w:rFonts w:ascii="Cambria Math" w:hAnsi="Cambria Math"/>
                      </w:rPr>
                      <m:t>i,y</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BAU</m:t>
                        </m:r>
                      </m:e>
                      <m:sub>
                        <m:r>
                          <w:rPr>
                            <w:rFonts w:ascii="Cambria Math" w:hAnsi="Cambria Math"/>
                          </w:rPr>
                          <m:t>i,y</m:t>
                        </m:r>
                      </m:sub>
                    </m:sSub>
                    <m:r>
                      <w:rPr>
                        <w:rFonts w:ascii="Cambria Math" w:hAnsi="Cambria Math"/>
                      </w:rPr>
                      <m:t xml:space="preserve">- </m:t>
                    </m:r>
                    <m:sSub>
                      <m:sSubPr>
                        <m:ctrlPr>
                          <w:rPr>
                            <w:rFonts w:ascii="Cambria Math" w:hAnsi="Cambria Math"/>
                            <w:i/>
                          </w:rPr>
                        </m:ctrlPr>
                      </m:sSubPr>
                      <m:e>
                        <m:r>
                          <w:rPr>
                            <w:rFonts w:ascii="Cambria Math" w:hAnsi="Cambria Math"/>
                          </w:rPr>
                          <m:t>PE</m:t>
                        </m:r>
                      </m:e>
                      <m:sub>
                        <m:r>
                          <w:rPr>
                            <w:rFonts w:ascii="Cambria Math" w:hAnsi="Cambria Math"/>
                          </w:rPr>
                          <m:t>y</m:t>
                        </m:r>
                      </m:sub>
                    </m:sSub>
                  </m:e>
                </m:d>
                <m:r>
                  <w:rPr>
                    <w:rFonts w:ascii="Cambria Math" w:hAnsi="Cambria Math"/>
                  </w:rPr>
                  <m:t xml:space="preserve"> ×0.1</m:t>
                </m:r>
              </m:oMath>
            </m:oMathPara>
          </w:p>
        </w:tc>
        <w:tc>
          <w:tcPr>
            <w:tcW w:w="1701" w:type="dxa"/>
          </w:tcPr>
          <w:p w14:paraId="486BB703" w14:textId="77777777" w:rsidR="004334D2" w:rsidRPr="002B6960" w:rsidRDefault="004334D2" w:rsidP="00247E9F">
            <w:pPr>
              <w:pStyle w:val="SDMMethEquationNr"/>
              <w:numPr>
                <w:ilvl w:val="0"/>
                <w:numId w:val="4"/>
              </w:numPr>
            </w:pPr>
          </w:p>
        </w:tc>
      </w:tr>
    </w:tbl>
    <w:p w14:paraId="5409267C"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49"/>
        <w:gridCol w:w="345"/>
        <w:gridCol w:w="6666"/>
      </w:tblGrid>
      <w:tr w:rsidR="004334D2" w:rsidRPr="00CA14CD" w14:paraId="792602BE" w14:textId="77777777" w:rsidTr="007E5A9B">
        <w:tc>
          <w:tcPr>
            <w:tcW w:w="1749" w:type="dxa"/>
            <w:vAlign w:val="top"/>
          </w:tcPr>
          <w:p w14:paraId="7E164E31" w14:textId="77777777" w:rsidR="004334D2" w:rsidRPr="00CA14CD"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BAU</m:t>
                    </m:r>
                  </m:e>
                  <m:sub>
                    <m:r>
                      <w:rPr>
                        <w:rFonts w:ascii="Cambria Math" w:hAnsi="Cambria Math"/>
                      </w:rPr>
                      <m:t>cons, min, i,y</m:t>
                    </m:r>
                  </m:sub>
                </m:sSub>
              </m:oMath>
            </m:oMathPara>
          </w:p>
        </w:tc>
        <w:tc>
          <w:tcPr>
            <w:tcW w:w="345" w:type="dxa"/>
            <w:vAlign w:val="top"/>
          </w:tcPr>
          <w:p w14:paraId="38C2A443" w14:textId="77777777" w:rsidR="004334D2" w:rsidRPr="00CA14CD" w:rsidRDefault="004334D2" w:rsidP="00081FD4">
            <w:pPr>
              <w:pStyle w:val="SDMTableBoxParaNotNumbered"/>
            </w:pPr>
            <w:r w:rsidRPr="00CA14CD">
              <w:t>=</w:t>
            </w:r>
          </w:p>
        </w:tc>
        <w:tc>
          <w:tcPr>
            <w:tcW w:w="0" w:type="auto"/>
            <w:vAlign w:val="top"/>
          </w:tcPr>
          <w:p w14:paraId="1E247EED" w14:textId="30A2CE3D" w:rsidR="004334D2" w:rsidRPr="00CA14CD" w:rsidRDefault="004334D2" w:rsidP="00081FD4">
            <w:pPr>
              <w:pStyle w:val="SDMTableBoxParaNotNumbered"/>
            </w:pPr>
            <w:r w:rsidRPr="00CA14CD">
              <w:t>Minimum conservative BAU baseline emissions for the component</w:t>
            </w:r>
            <w:r w:rsidR="00CA14CD" w:rsidRPr="00CA14CD">
              <w:t> </w:t>
            </w:r>
            <w:r w:rsidRPr="00CA14CD">
              <w:rPr>
                <w:i/>
                <w:iCs/>
              </w:rPr>
              <w:t>i</w:t>
            </w:r>
            <w:r w:rsidRPr="00CA14CD">
              <w:t xml:space="preserve"> in year</w:t>
            </w:r>
            <w:r w:rsidR="00CA14CD" w:rsidRPr="00CA14CD">
              <w:t> </w:t>
            </w:r>
            <w:r w:rsidRPr="00CA14CD">
              <w:rPr>
                <w:i/>
                <w:iCs/>
              </w:rPr>
              <w:t>y</w:t>
            </w:r>
            <w:r w:rsidRPr="00CA14CD">
              <w:t xml:space="preserve"> (tCO</w:t>
            </w:r>
            <w:r w:rsidRPr="00CA14CD">
              <w:rPr>
                <w:vertAlign w:val="subscript"/>
              </w:rPr>
              <w:t>2</w:t>
            </w:r>
            <w:r w:rsidRPr="00CA14CD">
              <w:t>e/year)</w:t>
            </w:r>
          </w:p>
        </w:tc>
      </w:tr>
      <w:tr w:rsidR="004334D2" w:rsidRPr="00CA14CD" w14:paraId="4CDEEF0F" w14:textId="77777777" w:rsidTr="007E5A9B">
        <w:tc>
          <w:tcPr>
            <w:tcW w:w="1749" w:type="dxa"/>
            <w:vAlign w:val="top"/>
          </w:tcPr>
          <w:p w14:paraId="42441927" w14:textId="39543A2F" w:rsidR="004334D2" w:rsidRPr="00CA14CD" w:rsidRDefault="00302468" w:rsidP="00081FD4">
            <w:pPr>
              <w:pStyle w:val="SDMTableBoxParaNotNumbered"/>
            </w:pPr>
            <m:oMathPara>
              <m:oMathParaPr>
                <m:jc m:val="left"/>
              </m:oMathParaPr>
              <m:oMath>
                <m:sSub>
                  <m:sSubPr>
                    <m:ctrlPr>
                      <w:rPr>
                        <w:rFonts w:ascii="Cambria Math" w:hAnsi="Cambria Math" w:cs="Arial"/>
                        <w:i/>
                      </w:rPr>
                    </m:ctrlPr>
                  </m:sSubPr>
                  <m:e>
                    <m:r>
                      <w:rPr>
                        <w:rFonts w:ascii="Cambria Math" w:hAnsi="Cambria Math" w:cs="Arial"/>
                      </w:rPr>
                      <m:t>PE</m:t>
                    </m:r>
                  </m:e>
                  <m:sub>
                    <m:r>
                      <w:rPr>
                        <w:rFonts w:ascii="Cambria Math" w:hAnsi="Cambria Math"/>
                      </w:rPr>
                      <m:t>y</m:t>
                    </m:r>
                  </m:sub>
                </m:sSub>
              </m:oMath>
            </m:oMathPara>
          </w:p>
        </w:tc>
        <w:tc>
          <w:tcPr>
            <w:tcW w:w="345" w:type="dxa"/>
            <w:vAlign w:val="top"/>
          </w:tcPr>
          <w:p w14:paraId="4985B6D2" w14:textId="77777777" w:rsidR="004334D2" w:rsidRPr="00CA14CD" w:rsidRDefault="004334D2" w:rsidP="00081FD4">
            <w:pPr>
              <w:pStyle w:val="SDMTableBoxParaNotNumbered"/>
            </w:pPr>
            <w:r w:rsidRPr="00CA14CD">
              <w:t>=</w:t>
            </w:r>
          </w:p>
        </w:tc>
        <w:tc>
          <w:tcPr>
            <w:tcW w:w="0" w:type="auto"/>
            <w:vAlign w:val="top"/>
          </w:tcPr>
          <w:p w14:paraId="29C38556" w14:textId="37BE8E85" w:rsidR="004334D2" w:rsidRPr="00CA14CD" w:rsidRDefault="005704AC" w:rsidP="00081FD4">
            <w:pPr>
              <w:pStyle w:val="SDMTableBoxParaNotNumbered"/>
            </w:pPr>
            <w:r w:rsidRPr="00CA14CD">
              <w:t>Project emissions</w:t>
            </w:r>
            <w:r w:rsidR="004334D2" w:rsidRPr="00CA14CD">
              <w:t xml:space="preserve"> in year </w:t>
            </w:r>
            <w:r w:rsidR="004334D2" w:rsidRPr="00CA14CD">
              <w:rPr>
                <w:i/>
                <w:iCs/>
              </w:rPr>
              <w:t>y</w:t>
            </w:r>
            <w:r w:rsidR="004334D2" w:rsidRPr="00CA14CD">
              <w:t xml:space="preserve"> (tCO</w:t>
            </w:r>
            <w:r w:rsidR="004334D2" w:rsidRPr="00CA14CD">
              <w:rPr>
                <w:vertAlign w:val="subscript"/>
              </w:rPr>
              <w:t>2</w:t>
            </w:r>
            <w:r w:rsidR="004334D2" w:rsidRPr="00CA14CD">
              <w:t>e/year)</w:t>
            </w:r>
            <w:r w:rsidR="00EB670B" w:rsidRPr="00CA14CD">
              <w:t xml:space="preserve">. The same approach from paragraph </w:t>
            </w:r>
            <w:r w:rsidR="00EB670B" w:rsidRPr="00CA14CD">
              <w:fldChar w:fldCharType="begin"/>
            </w:r>
            <w:r w:rsidR="00EB670B" w:rsidRPr="00CA14CD">
              <w:instrText xml:space="preserve"> REF _Ref211543418 \w \p \h </w:instrText>
            </w:r>
            <w:r w:rsidR="00CA14CD">
              <w:instrText xml:space="preserve"> \* MERGEFORMAT </w:instrText>
            </w:r>
            <w:r w:rsidR="00EB670B" w:rsidRPr="00CA14CD">
              <w:fldChar w:fldCharType="separate"/>
            </w:r>
            <w:r w:rsidR="00302468">
              <w:rPr>
                <w:cs/>
              </w:rPr>
              <w:t>‎</w:t>
            </w:r>
            <w:r w:rsidR="00302468">
              <w:t>120 above</w:t>
            </w:r>
            <w:r w:rsidR="00EB670B" w:rsidRPr="00CA14CD">
              <w:fldChar w:fldCharType="end"/>
            </w:r>
            <w:r w:rsidR="00301A09" w:rsidRPr="00CA14CD">
              <w:t xml:space="preserve"> shall be applied to determined </w:t>
            </w:r>
            <w:r w:rsidR="00301A09" w:rsidRPr="00CA14CD">
              <w:rPr>
                <w:i/>
                <w:iCs/>
              </w:rPr>
              <w:t>PE</w:t>
            </w:r>
            <w:r w:rsidR="005A251E" w:rsidRPr="00CA14CD">
              <w:rPr>
                <w:i/>
                <w:iCs/>
                <w:vertAlign w:val="subscript"/>
              </w:rPr>
              <w:t>y</w:t>
            </w:r>
            <w:r w:rsidR="00301A09" w:rsidRPr="00CA14CD">
              <w:t xml:space="preserve"> </w:t>
            </w:r>
            <w:r w:rsidR="001A5E6D" w:rsidRPr="00CA14CD">
              <w:t>separately for each BAU component or sub-component</w:t>
            </w:r>
          </w:p>
        </w:tc>
      </w:tr>
      <w:tr w:rsidR="004334D2" w:rsidRPr="00CA14CD" w14:paraId="2E1CF63B" w14:textId="77777777" w:rsidTr="007E5A9B">
        <w:tc>
          <w:tcPr>
            <w:tcW w:w="1749" w:type="dxa"/>
            <w:vAlign w:val="top"/>
          </w:tcPr>
          <w:p w14:paraId="1F8602D8" w14:textId="77777777" w:rsidR="004334D2" w:rsidRPr="00CA14CD" w:rsidRDefault="004334D2" w:rsidP="00081FD4">
            <w:pPr>
              <w:pStyle w:val="SDMTableBoxParaNotNumbered"/>
            </w:pPr>
            <m:oMathPara>
              <m:oMathParaPr>
                <m:jc m:val="left"/>
              </m:oMathParaPr>
              <m:oMath>
                <m:r>
                  <w:rPr>
                    <w:rFonts w:ascii="Cambria Math" w:hAnsi="Cambria Math" w:cs="Arial"/>
                  </w:rPr>
                  <m:t>y</m:t>
                </m:r>
              </m:oMath>
            </m:oMathPara>
          </w:p>
        </w:tc>
        <w:tc>
          <w:tcPr>
            <w:tcW w:w="345" w:type="dxa"/>
            <w:vAlign w:val="top"/>
          </w:tcPr>
          <w:p w14:paraId="7327DDA0" w14:textId="77777777" w:rsidR="004334D2" w:rsidRPr="00CA14CD" w:rsidRDefault="004334D2" w:rsidP="00081FD4">
            <w:pPr>
              <w:pStyle w:val="SDMTableBoxParaNotNumbered"/>
            </w:pPr>
            <w:r w:rsidRPr="00CA14CD">
              <w:t>=</w:t>
            </w:r>
          </w:p>
        </w:tc>
        <w:tc>
          <w:tcPr>
            <w:tcW w:w="0" w:type="auto"/>
            <w:vAlign w:val="top"/>
          </w:tcPr>
          <w:p w14:paraId="5B6E3610" w14:textId="77777777" w:rsidR="004334D2" w:rsidRPr="00CA14CD" w:rsidRDefault="004334D2" w:rsidP="00081FD4">
            <w:pPr>
              <w:pStyle w:val="SDMTableBoxParaNotNumbered"/>
            </w:pPr>
            <w:r w:rsidRPr="00CA14CD">
              <w:t>Relevant year or period</w:t>
            </w:r>
          </w:p>
        </w:tc>
      </w:tr>
      <w:tr w:rsidR="001A5E6D" w:rsidRPr="00CA14CD" w14:paraId="7CA84096" w14:textId="77777777" w:rsidTr="007E5A9B">
        <w:tc>
          <w:tcPr>
            <w:tcW w:w="1749" w:type="dxa"/>
            <w:vAlign w:val="top"/>
          </w:tcPr>
          <w:p w14:paraId="66D00CE0" w14:textId="3B5EAA01" w:rsidR="001A5E6D" w:rsidRPr="00CA14CD" w:rsidRDefault="001A5E6D" w:rsidP="00081FD4">
            <w:pPr>
              <w:pStyle w:val="SDMTableBoxParaNotNumbered"/>
            </w:pPr>
            <m:oMathPara>
              <m:oMathParaPr>
                <m:jc m:val="left"/>
              </m:oMathParaPr>
              <m:oMath>
                <m:r>
                  <w:rPr>
                    <w:rFonts w:ascii="Cambria Math" w:hAnsi="Cambria Math" w:cs="Arial"/>
                  </w:rPr>
                  <m:t>i</m:t>
                </m:r>
              </m:oMath>
            </m:oMathPara>
          </w:p>
        </w:tc>
        <w:tc>
          <w:tcPr>
            <w:tcW w:w="345" w:type="dxa"/>
            <w:vAlign w:val="top"/>
          </w:tcPr>
          <w:p w14:paraId="568ACAF6" w14:textId="39ACC414" w:rsidR="001A5E6D" w:rsidRPr="00CA14CD" w:rsidRDefault="001A5E6D" w:rsidP="00081FD4">
            <w:pPr>
              <w:pStyle w:val="SDMTableBoxParaNotNumbered"/>
            </w:pPr>
            <w:r w:rsidRPr="00CA14CD">
              <w:t>=</w:t>
            </w:r>
          </w:p>
        </w:tc>
        <w:tc>
          <w:tcPr>
            <w:tcW w:w="0" w:type="auto"/>
            <w:vAlign w:val="top"/>
          </w:tcPr>
          <w:p w14:paraId="25991430" w14:textId="33EAF355" w:rsidR="001A5E6D" w:rsidRPr="00CA14CD" w:rsidRDefault="001A5E6D" w:rsidP="00081FD4">
            <w:pPr>
              <w:pStyle w:val="SDMTableBoxParaNotNumbered"/>
            </w:pPr>
            <w:r w:rsidRPr="00CA14CD">
              <w:t>BAU component (</w:t>
            </w:r>
            <w:r w:rsidRPr="00CA14CD">
              <w:rPr>
                <w:i/>
                <w:iCs/>
              </w:rPr>
              <w:t>i</w:t>
            </w:r>
            <w:r w:rsidRPr="00CA14CD">
              <w:t xml:space="preserve"> = methane, electricity, heat and supply of LFG/biomethane)</w:t>
            </w:r>
          </w:p>
        </w:tc>
      </w:tr>
    </w:tbl>
    <w:p w14:paraId="126385ED" w14:textId="77777777" w:rsidR="004334D2" w:rsidRPr="0069353F" w:rsidRDefault="004334D2" w:rsidP="00E66E80">
      <w:pPr>
        <w:pStyle w:val="SDMHead4"/>
        <w:rPr>
          <w:iCs/>
        </w:rPr>
      </w:pPr>
      <w:bookmarkStart w:id="330" w:name="_Ref203660164"/>
      <w:r>
        <w:t xml:space="preserve">Step 4. Compare </w:t>
      </w:r>
      <w:bookmarkEnd w:id="330"/>
      <m:oMath>
        <m:sSub>
          <m:sSubPr>
            <m:ctrlPr>
              <w:rPr>
                <w:rFonts w:ascii="Cambria Math" w:hAnsi="Cambria Math"/>
              </w:rPr>
            </m:ctrlPr>
          </m:sSubPr>
          <m:e>
            <m:r>
              <m:rPr>
                <m:sty m:val="bi"/>
              </m:rPr>
              <w:rPr>
                <w:rFonts w:ascii="Cambria Math" w:hAnsi="Cambria Math"/>
              </w:rPr>
              <m:t>BAU</m:t>
            </m:r>
          </m:e>
          <m:sub>
            <m:r>
              <m:rPr>
                <m:sty m:val="bi"/>
              </m:rPr>
              <w:rPr>
                <w:rFonts w:ascii="Cambria Math" w:hAnsi="Cambria Math"/>
              </w:rPr>
              <m:t>cons</m:t>
            </m:r>
            <m:r>
              <m:rPr>
                <m:sty m:val="b"/>
              </m:rPr>
              <w:rPr>
                <w:rFonts w:ascii="Cambria Math" w:hAnsi="Cambria Math"/>
              </w:rPr>
              <m:t>,</m:t>
            </m:r>
            <m:r>
              <m:rPr>
                <m:sty m:val="bi"/>
              </m:rPr>
              <w:rPr>
                <w:rFonts w:ascii="Cambria Math" w:hAnsi="Cambria Math"/>
              </w:rPr>
              <m:t>UNC</m:t>
            </m:r>
            <m:r>
              <m:rPr>
                <m:sty m:val="b"/>
              </m:rPr>
              <w:rPr>
                <w:rFonts w:ascii="Cambria Math" w:hAnsi="Cambria Math"/>
              </w:rPr>
              <m:t>,</m:t>
            </m:r>
            <m:r>
              <m:rPr>
                <m:sty m:val="bi"/>
              </m:rPr>
              <w:rPr>
                <w:rFonts w:ascii="Cambria Math" w:hAnsi="Cambria Math"/>
              </w:rPr>
              <m:t>i</m:t>
            </m:r>
            <m:r>
              <m:rPr>
                <m:sty m:val="b"/>
              </m:rPr>
              <w:rPr>
                <w:rFonts w:ascii="Cambria Math" w:hAnsi="Cambria Math"/>
              </w:rPr>
              <m:t>,</m:t>
            </m:r>
            <m:r>
              <m:rPr>
                <m:sty m:val="bi"/>
              </m:rPr>
              <w:rPr>
                <w:rFonts w:ascii="Cambria Math" w:hAnsi="Cambria Math"/>
              </w:rPr>
              <m:t>y</m:t>
            </m:r>
          </m:sub>
        </m:sSub>
      </m:oMath>
      <w:r>
        <w:t xml:space="preserve"> and </w:t>
      </w:r>
      <m:oMath>
        <m:sSub>
          <m:sSubPr>
            <m:ctrlPr>
              <w:rPr>
                <w:rFonts w:ascii="Cambria Math" w:hAnsi="Cambria Math"/>
              </w:rPr>
            </m:ctrlPr>
          </m:sSubPr>
          <m:e>
            <m:r>
              <m:rPr>
                <m:sty m:val="bi"/>
              </m:rPr>
              <w:rPr>
                <w:rFonts w:ascii="Cambria Math" w:hAnsi="Cambria Math"/>
              </w:rPr>
              <m:t>BAU</m:t>
            </m:r>
          </m:e>
          <m:sub>
            <m:r>
              <m:rPr>
                <m:sty m:val="bi"/>
              </m:rPr>
              <w:rPr>
                <w:rFonts w:ascii="Cambria Math" w:hAnsi="Cambria Math"/>
              </w:rPr>
              <m:t>cons</m:t>
            </m:r>
            <m:r>
              <m:rPr>
                <m:sty m:val="b"/>
              </m:rPr>
              <w:rPr>
                <w:rFonts w:ascii="Cambria Math" w:hAnsi="Cambria Math"/>
              </w:rPr>
              <m:t>,</m:t>
            </m:r>
            <m:r>
              <m:rPr>
                <m:sty m:val="bi"/>
              </m:rPr>
              <w:rPr>
                <w:rFonts w:ascii="Cambria Math" w:hAnsi="Cambria Math"/>
              </w:rPr>
              <m:t>min</m:t>
            </m:r>
            <m:r>
              <m:rPr>
                <m:sty m:val="b"/>
              </m:rPr>
              <w:rPr>
                <w:rFonts w:ascii="Cambria Math" w:hAnsi="Cambria Math"/>
              </w:rPr>
              <m:t>,</m:t>
            </m:r>
            <m:r>
              <m:rPr>
                <m:sty m:val="bi"/>
              </m:rPr>
              <w:rPr>
                <w:rFonts w:ascii="Cambria Math" w:hAnsi="Cambria Math"/>
              </w:rPr>
              <m:t>i</m:t>
            </m:r>
            <m:r>
              <m:rPr>
                <m:sty m:val="b"/>
              </m:rPr>
              <w:rPr>
                <w:rFonts w:ascii="Cambria Math" w:hAnsi="Cambria Math"/>
              </w:rPr>
              <m:t>,</m:t>
            </m:r>
            <m:r>
              <m:rPr>
                <m:sty m:val="bi"/>
              </m:rPr>
              <w:rPr>
                <w:rFonts w:ascii="Cambria Math" w:hAnsi="Cambria Math"/>
              </w:rPr>
              <m:t>y</m:t>
            </m:r>
          </m:sub>
        </m:sSub>
      </m:oMath>
    </w:p>
    <w:p w14:paraId="0F159038" w14:textId="185C08DF" w:rsidR="004334D2" w:rsidRDefault="004334D2" w:rsidP="00DA05CE">
      <w:pPr>
        <w:pStyle w:val="SDMPara"/>
        <w:keepNext/>
      </w:pPr>
      <w:r>
        <w:t xml:space="preserve">The conservative BAU baseline emissions </w:t>
      </w:r>
      <w:r w:rsidRPr="00777C0B">
        <w:t xml:space="preserve">shall be the </w:t>
      </w:r>
      <w:r>
        <w:t xml:space="preserve">lowest </w:t>
      </w:r>
      <w:r w:rsidRPr="00777C0B">
        <w:t xml:space="preserve">between </w:t>
      </w:r>
      <m:oMath>
        <m:sSub>
          <m:sSubPr>
            <m:ctrlPr>
              <w:rPr>
                <w:rFonts w:ascii="Cambria Math" w:hAnsi="Cambria Math"/>
                <w:i/>
              </w:rPr>
            </m:ctrlPr>
          </m:sSubPr>
          <m:e>
            <m:r>
              <w:rPr>
                <w:rFonts w:ascii="Cambria Math" w:hAnsi="Cambria Math"/>
              </w:rPr>
              <m:t>BAU</m:t>
            </m:r>
          </m:e>
          <m:sub>
            <m:r>
              <w:rPr>
                <w:rFonts w:ascii="Cambria Math" w:hAnsi="Cambria Math"/>
              </w:rPr>
              <m:t>cons,UNC,i,y</m:t>
            </m:r>
          </m:sub>
        </m:sSub>
      </m:oMath>
      <w:r w:rsidRPr="00777C0B">
        <w:t xml:space="preserve"> and </w:t>
      </w:r>
      <m:oMath>
        <m:sSub>
          <m:sSubPr>
            <m:ctrlPr>
              <w:rPr>
                <w:rFonts w:ascii="Cambria Math" w:hAnsi="Cambria Math"/>
                <w:i/>
              </w:rPr>
            </m:ctrlPr>
          </m:sSubPr>
          <m:e>
            <m:r>
              <w:rPr>
                <w:rFonts w:ascii="Cambria Math" w:hAnsi="Cambria Math"/>
              </w:rPr>
              <m:t>BAU</m:t>
            </m:r>
          </m:e>
          <m:sub>
            <m:r>
              <w:rPr>
                <w:rFonts w:ascii="Cambria Math" w:hAnsi="Cambria Math"/>
              </w:rPr>
              <m:t>cons,min,i,y</m:t>
            </m:r>
          </m:sub>
        </m:sSub>
      </m:oMath>
      <w:r>
        <w:t>, as follows:</w:t>
      </w:r>
    </w:p>
    <w:tbl>
      <w:tblPr>
        <w:tblStyle w:val="SDMMethTableEquation"/>
        <w:tblW w:w="8760" w:type="dxa"/>
        <w:tblLook w:val="0600" w:firstRow="0" w:lastRow="0" w:firstColumn="0" w:lastColumn="0" w:noHBand="1" w:noVBand="1"/>
      </w:tblPr>
      <w:tblGrid>
        <w:gridCol w:w="7111"/>
        <w:gridCol w:w="1649"/>
      </w:tblGrid>
      <w:tr w:rsidR="004334D2" w:rsidRPr="00E32F75" w14:paraId="39DCB327" w14:textId="77777777" w:rsidTr="007E5A9B">
        <w:tc>
          <w:tcPr>
            <w:tcW w:w="7224" w:type="dxa"/>
          </w:tcPr>
          <w:p w14:paraId="494A73E2" w14:textId="1025C360"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BAU</m:t>
                    </m:r>
                  </m:e>
                  <m:sub>
                    <m:r>
                      <w:rPr>
                        <w:rFonts w:ascii="Cambria Math" w:hAnsi="Cambria Math"/>
                      </w:rPr>
                      <m:t>cons,i,y</m:t>
                    </m:r>
                  </m:sub>
                </m:sSub>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BAU</m:t>
                        </m:r>
                      </m:e>
                      <m:sub>
                        <m:r>
                          <w:rPr>
                            <w:rFonts w:ascii="Cambria Math" w:hAnsi="Cambria Math"/>
                          </w:rPr>
                          <m:t>cons,min,i,y</m:t>
                        </m:r>
                      </m:sub>
                    </m:sSub>
                    <m:r>
                      <w:rPr>
                        <w:rFonts w:ascii="Cambria Math" w:hAnsi="Cambria Math"/>
                      </w:rPr>
                      <m:t xml:space="preserve"> ; </m:t>
                    </m:r>
                    <m:sSub>
                      <m:sSubPr>
                        <m:ctrlPr>
                          <w:rPr>
                            <w:rFonts w:ascii="Cambria Math" w:hAnsi="Cambria Math"/>
                            <w:i/>
                          </w:rPr>
                        </m:ctrlPr>
                      </m:sSubPr>
                      <m:e>
                        <m:r>
                          <w:rPr>
                            <w:rFonts w:ascii="Cambria Math" w:hAnsi="Cambria Math"/>
                          </w:rPr>
                          <m:t>BAU</m:t>
                        </m:r>
                      </m:e>
                      <m:sub>
                        <m:r>
                          <w:rPr>
                            <w:rFonts w:ascii="Cambria Math" w:hAnsi="Cambria Math"/>
                          </w:rPr>
                          <m:t>cons,UNC,i,y</m:t>
                        </m:r>
                      </m:sub>
                    </m:sSub>
                  </m:e>
                </m:d>
              </m:oMath>
            </m:oMathPara>
          </w:p>
        </w:tc>
        <w:tc>
          <w:tcPr>
            <w:tcW w:w="1701" w:type="dxa"/>
          </w:tcPr>
          <w:p w14:paraId="484C8024" w14:textId="77777777" w:rsidR="004334D2" w:rsidRPr="002B6960" w:rsidRDefault="004334D2" w:rsidP="00247E9F">
            <w:pPr>
              <w:pStyle w:val="SDMMethEquationNr"/>
              <w:numPr>
                <w:ilvl w:val="0"/>
                <w:numId w:val="4"/>
              </w:numPr>
            </w:pPr>
          </w:p>
        </w:tc>
      </w:tr>
    </w:tbl>
    <w:p w14:paraId="62D1C358"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49"/>
        <w:gridCol w:w="345"/>
        <w:gridCol w:w="86"/>
        <w:gridCol w:w="6580"/>
      </w:tblGrid>
      <w:tr w:rsidR="004334D2" w14:paraId="12F04041" w14:textId="77777777" w:rsidTr="007E5A9B">
        <w:tc>
          <w:tcPr>
            <w:tcW w:w="1749" w:type="dxa"/>
            <w:vAlign w:val="top"/>
          </w:tcPr>
          <w:p w14:paraId="2440018E" w14:textId="093839A6" w:rsidR="004334D2" w:rsidRPr="00E140A8"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BAU</m:t>
                    </m:r>
                  </m:e>
                  <m:sub>
                    <m:r>
                      <w:rPr>
                        <w:rFonts w:ascii="Cambria Math" w:hAnsi="Cambria Math"/>
                      </w:rPr>
                      <m:t>cons,i,y</m:t>
                    </m:r>
                  </m:sub>
                </m:sSub>
              </m:oMath>
            </m:oMathPara>
          </w:p>
        </w:tc>
        <w:tc>
          <w:tcPr>
            <w:tcW w:w="345" w:type="dxa"/>
            <w:vAlign w:val="top"/>
          </w:tcPr>
          <w:p w14:paraId="46885E5B" w14:textId="77777777" w:rsidR="004334D2" w:rsidRDefault="004334D2" w:rsidP="00081FD4">
            <w:pPr>
              <w:pStyle w:val="SDMTableBoxParaNotNumbered"/>
            </w:pPr>
            <w:r>
              <w:t>=</w:t>
            </w:r>
          </w:p>
        </w:tc>
        <w:tc>
          <w:tcPr>
            <w:tcW w:w="0" w:type="auto"/>
            <w:gridSpan w:val="2"/>
            <w:vAlign w:val="top"/>
          </w:tcPr>
          <w:p w14:paraId="7898A49E" w14:textId="558373EB" w:rsidR="004334D2" w:rsidRDefault="004334D2" w:rsidP="00081FD4">
            <w:pPr>
              <w:pStyle w:val="SDMTableBoxParaNotNumbered"/>
            </w:pPr>
            <w:r>
              <w:t>Conservative BAU baseline emissions for the component</w:t>
            </w:r>
            <w:r w:rsidR="00CA14CD">
              <w:t> </w:t>
            </w:r>
            <w:r w:rsidRPr="003D2C3B">
              <w:rPr>
                <w:i/>
                <w:iCs/>
              </w:rPr>
              <w:t>i</w:t>
            </w:r>
            <w:r>
              <w:t xml:space="preserve"> in year</w:t>
            </w:r>
            <w:r w:rsidR="00CA14CD">
              <w:t> </w:t>
            </w:r>
            <w:r w:rsidRPr="00930749">
              <w:rPr>
                <w:i/>
                <w:iCs/>
              </w:rPr>
              <w:t>y</w:t>
            </w:r>
            <w:r>
              <w:t xml:space="preserve"> (tCO</w:t>
            </w:r>
            <w:r w:rsidRPr="00930749">
              <w:rPr>
                <w:vertAlign w:val="subscript"/>
              </w:rPr>
              <w:t>2</w:t>
            </w:r>
            <w:r>
              <w:t>e/year)</w:t>
            </w:r>
          </w:p>
        </w:tc>
      </w:tr>
      <w:tr w:rsidR="004334D2" w14:paraId="3D1BFEFC" w14:textId="77777777" w:rsidTr="007E5A9B">
        <w:tc>
          <w:tcPr>
            <w:tcW w:w="1749" w:type="dxa"/>
            <w:vAlign w:val="top"/>
          </w:tcPr>
          <w:p w14:paraId="25DDC506" w14:textId="77777777" w:rsidR="004334D2" w:rsidRPr="00E140A8" w:rsidRDefault="004334D2" w:rsidP="00081FD4">
            <w:pPr>
              <w:pStyle w:val="SDMTableBoxParaNotNumbered"/>
            </w:pPr>
            <m:oMathPara>
              <m:oMathParaPr>
                <m:jc m:val="left"/>
              </m:oMathParaPr>
              <m:oMath>
                <m:r>
                  <w:rPr>
                    <w:rFonts w:ascii="Cambria Math" w:hAnsi="Cambria Math"/>
                  </w:rPr>
                  <m:t>y</m:t>
                </m:r>
              </m:oMath>
            </m:oMathPara>
          </w:p>
        </w:tc>
        <w:tc>
          <w:tcPr>
            <w:tcW w:w="345" w:type="dxa"/>
            <w:vAlign w:val="top"/>
          </w:tcPr>
          <w:p w14:paraId="47DC2EA0" w14:textId="77777777" w:rsidR="004334D2" w:rsidRDefault="004334D2" w:rsidP="00081FD4">
            <w:pPr>
              <w:pStyle w:val="SDMTableBoxParaNotNumbered"/>
            </w:pPr>
            <w:r>
              <w:t>=</w:t>
            </w:r>
          </w:p>
        </w:tc>
        <w:tc>
          <w:tcPr>
            <w:tcW w:w="0" w:type="auto"/>
            <w:gridSpan w:val="2"/>
            <w:vAlign w:val="top"/>
          </w:tcPr>
          <w:p w14:paraId="64F599D9" w14:textId="77777777" w:rsidR="004334D2" w:rsidRDefault="004334D2" w:rsidP="00081FD4">
            <w:pPr>
              <w:pStyle w:val="SDMTableBoxParaNotNumbered"/>
            </w:pPr>
            <w:r>
              <w:t>Relevant year or period</w:t>
            </w:r>
          </w:p>
        </w:tc>
      </w:tr>
      <w:tr w:rsidR="004334D2" w14:paraId="178F7AD7" w14:textId="77777777" w:rsidTr="007E5A9B">
        <w:tc>
          <w:tcPr>
            <w:tcW w:w="1749" w:type="dxa"/>
            <w:vAlign w:val="top"/>
          </w:tcPr>
          <w:p w14:paraId="7611EBA0" w14:textId="77777777" w:rsidR="004334D2" w:rsidRPr="00D24FBC" w:rsidRDefault="004334D2" w:rsidP="00081FD4">
            <w:pPr>
              <w:pStyle w:val="SDMTableBoxParaNotNumbered"/>
              <w:rPr>
                <w:sz w:val="22"/>
                <w:szCs w:val="22"/>
              </w:rPr>
            </w:pPr>
            <m:oMathPara>
              <m:oMathParaPr>
                <m:jc m:val="left"/>
              </m:oMathParaPr>
              <m:oMath>
                <m:r>
                  <w:rPr>
                    <w:rFonts w:ascii="Cambria Math" w:hAnsi="Cambria Math" w:cs="Arial"/>
                    <w:sz w:val="22"/>
                    <w:szCs w:val="22"/>
                  </w:rPr>
                  <m:t>i</m:t>
                </m:r>
              </m:oMath>
            </m:oMathPara>
          </w:p>
        </w:tc>
        <w:tc>
          <w:tcPr>
            <w:tcW w:w="430" w:type="dxa"/>
            <w:gridSpan w:val="2"/>
            <w:vAlign w:val="top"/>
          </w:tcPr>
          <w:p w14:paraId="2889506A" w14:textId="77777777" w:rsidR="004334D2" w:rsidRDefault="004334D2" w:rsidP="00081FD4">
            <w:pPr>
              <w:pStyle w:val="SDMTableBoxParaNotNumbered"/>
            </w:pPr>
            <w:r>
              <w:t>=</w:t>
            </w:r>
          </w:p>
        </w:tc>
        <w:tc>
          <w:tcPr>
            <w:tcW w:w="0" w:type="auto"/>
            <w:vAlign w:val="top"/>
          </w:tcPr>
          <w:p w14:paraId="36DEAC94" w14:textId="77777777" w:rsidR="004334D2" w:rsidRDefault="004334D2" w:rsidP="00081FD4">
            <w:pPr>
              <w:pStyle w:val="SDMTableBoxParaNotNumbered"/>
            </w:pPr>
            <w:r>
              <w:t>BAU component (i = methane, electricity, heat and supply of LFG/biomethane)</w:t>
            </w:r>
          </w:p>
        </w:tc>
      </w:tr>
    </w:tbl>
    <w:p w14:paraId="7668521C" w14:textId="16904372" w:rsidR="004334D2" w:rsidRDefault="004334D2" w:rsidP="00E66E80">
      <w:pPr>
        <w:pStyle w:val="SDMPara"/>
      </w:pPr>
      <w:r>
        <w:t>The BAU scenario shall be determined ex ante and described in the PDD</w:t>
      </w:r>
      <w:r w:rsidRPr="00F5361F">
        <w:t xml:space="preserve"> </w:t>
      </w:r>
      <w:r>
        <w:t>at the start of the first crediting period for the same duration as the crediting period of the proposed Article 6.4 activity, and shall be redetermined at each crediting period renewal.</w:t>
      </w:r>
    </w:p>
    <w:p w14:paraId="1B22EB5E" w14:textId="77777777" w:rsidR="004334D2" w:rsidRDefault="004334D2" w:rsidP="00DA05CE">
      <w:pPr>
        <w:pStyle w:val="SDMPara"/>
        <w:keepNext/>
      </w:pPr>
      <w:r>
        <w:t>The quantification of the BAU emissions shall be determined:</w:t>
      </w:r>
    </w:p>
    <w:p w14:paraId="25AC3DE8" w14:textId="77777777" w:rsidR="004334D2" w:rsidRDefault="004334D2" w:rsidP="00E66E80">
      <w:pPr>
        <w:pStyle w:val="SDMSubPara1"/>
      </w:pPr>
      <w:r>
        <w:t>Ex ante and in the PDD at the start of the first crediting period for the same duration as the crediting period of the proposed Article 6.4 activity and specified for each calendar year within the crediting period; and</w:t>
      </w:r>
    </w:p>
    <w:p w14:paraId="5BCFAF11" w14:textId="77777777" w:rsidR="004334D2" w:rsidRDefault="004334D2" w:rsidP="00E66E80">
      <w:pPr>
        <w:pStyle w:val="SDMSubPara1"/>
      </w:pPr>
      <w:r>
        <w:t>Ex post for each calendar year within the crediting period.</w:t>
      </w:r>
    </w:p>
    <w:p w14:paraId="497C0B72" w14:textId="77777777" w:rsidR="004334D2" w:rsidRDefault="004334D2" w:rsidP="0069640C">
      <w:pPr>
        <w:pStyle w:val="SDMHead2"/>
      </w:pPr>
      <w:bookmarkStart w:id="331" w:name="_Ref204604266"/>
      <w:bookmarkStart w:id="332" w:name="_Ref204604267"/>
      <w:bookmarkStart w:id="333" w:name="_Toc211555321"/>
      <w:bookmarkStart w:id="334" w:name="_Toc211598973"/>
      <w:bookmarkStart w:id="335" w:name="_Toc211599475"/>
      <w:bookmarkStart w:id="336" w:name="_Toc211612271"/>
      <w:bookmarkStart w:id="337" w:name="_Toc211614718"/>
      <w:bookmarkStart w:id="338" w:name="_Toc211614761"/>
      <w:r>
        <w:t xml:space="preserve">Comparison of </w:t>
      </w:r>
      <w:r w:rsidRPr="0069640C">
        <w:t>crediting</w:t>
      </w:r>
      <w:r>
        <w:t xml:space="preserve"> baselines</w:t>
      </w:r>
      <w:bookmarkEnd w:id="331"/>
      <w:bookmarkEnd w:id="332"/>
      <w:bookmarkEnd w:id="333"/>
      <w:bookmarkEnd w:id="334"/>
      <w:bookmarkEnd w:id="335"/>
      <w:bookmarkEnd w:id="336"/>
      <w:bookmarkEnd w:id="337"/>
      <w:bookmarkEnd w:id="338"/>
    </w:p>
    <w:p w14:paraId="48298F72" w14:textId="3ED071FF" w:rsidR="003C508B" w:rsidRDefault="004334D2" w:rsidP="00E66E80">
      <w:pPr>
        <w:pStyle w:val="SDMPara"/>
      </w:pPr>
      <w:r>
        <w:t>Activity participants shall compare,</w:t>
      </w:r>
      <w:r w:rsidRPr="00D25962">
        <w:t xml:space="preserve"> </w:t>
      </w:r>
      <w:r>
        <w:t>in the PDD, the downward adjusted baseline (</w:t>
      </w:r>
      <w:r w:rsidR="001B32F2" w:rsidRPr="001B32F2">
        <w:rPr>
          <w:i/>
          <w:iCs/>
        </w:rPr>
        <w:t>BE</w:t>
      </w:r>
      <w:r w:rsidR="001B32F2" w:rsidRPr="001B32F2">
        <w:rPr>
          <w:i/>
          <w:iCs/>
          <w:vertAlign w:val="subscript"/>
        </w:rPr>
        <w:t>adj,y</w:t>
      </w:r>
      <w:r>
        <w:t>) determined in section</w:t>
      </w:r>
      <w:r w:rsidR="0069353F">
        <w:t xml:space="preserve"> </w:t>
      </w:r>
      <w:r w:rsidR="0069353F">
        <w:fldChar w:fldCharType="begin"/>
      </w:r>
      <w:r w:rsidR="0069353F">
        <w:instrText xml:space="preserve"> REF _Ref211087375 \w \h </w:instrText>
      </w:r>
      <w:r w:rsidR="0069353F">
        <w:fldChar w:fldCharType="separate"/>
      </w:r>
      <w:r w:rsidR="00302468">
        <w:rPr>
          <w:cs/>
        </w:rPr>
        <w:t>‎</w:t>
      </w:r>
      <w:r w:rsidR="00302468">
        <w:t>7.4.2.5</w:t>
      </w:r>
      <w:r w:rsidR="0069353F">
        <w:fldChar w:fldCharType="end"/>
      </w:r>
      <w:r w:rsidR="0069353F">
        <w:t xml:space="preserve"> w</w:t>
      </w:r>
      <w:r>
        <w:t>ith the conservative BAU baseline (</w:t>
      </w:r>
      <w:r w:rsidR="001B32F2" w:rsidRPr="001B32F2">
        <w:rPr>
          <w:i/>
          <w:iCs/>
        </w:rPr>
        <w:t>B</w:t>
      </w:r>
      <w:r w:rsidR="001B32F2">
        <w:rPr>
          <w:i/>
          <w:iCs/>
        </w:rPr>
        <w:t>AU</w:t>
      </w:r>
      <w:r w:rsidR="001B32F2">
        <w:rPr>
          <w:i/>
          <w:iCs/>
          <w:vertAlign w:val="subscript"/>
        </w:rPr>
        <w:t>cons</w:t>
      </w:r>
      <w:r w:rsidR="001B32F2" w:rsidRPr="001B32F2">
        <w:rPr>
          <w:i/>
          <w:iCs/>
          <w:vertAlign w:val="subscript"/>
        </w:rPr>
        <w:t>,y</w:t>
      </w:r>
      <w:r>
        <w:t>) determined in section</w:t>
      </w:r>
      <w:r w:rsidR="00E87FA4">
        <w:t xml:space="preserve"> </w:t>
      </w:r>
      <w:r w:rsidR="00E87FA4">
        <w:fldChar w:fldCharType="begin"/>
      </w:r>
      <w:r w:rsidR="00E87FA4">
        <w:instrText xml:space="preserve"> REF _Ref211585901 \r \p \h </w:instrText>
      </w:r>
      <w:r w:rsidR="00E87FA4">
        <w:fldChar w:fldCharType="separate"/>
      </w:r>
      <w:r w:rsidR="00302468">
        <w:rPr>
          <w:cs/>
        </w:rPr>
        <w:t>‎</w:t>
      </w:r>
      <w:r w:rsidR="00302468">
        <w:t>7.5.1 above</w:t>
      </w:r>
      <w:r w:rsidR="00E87FA4">
        <w:fldChar w:fldCharType="end"/>
      </w:r>
      <w:r w:rsidR="004062FD">
        <w:t>.</w:t>
      </w:r>
    </w:p>
    <w:p w14:paraId="64A8C61E" w14:textId="12A09FD6" w:rsidR="004334D2" w:rsidRDefault="004334D2" w:rsidP="00E66E80">
      <w:pPr>
        <w:pStyle w:val="SDMPara"/>
      </w:pPr>
      <w:r>
        <w:t xml:space="preserve">If, as a result of the comparison, the ex-ante </w:t>
      </w:r>
      <w:r w:rsidR="001B32F2" w:rsidRPr="001B32F2">
        <w:rPr>
          <w:i/>
          <w:iCs/>
        </w:rPr>
        <w:t>B</w:t>
      </w:r>
      <w:r w:rsidR="001B32F2">
        <w:rPr>
          <w:i/>
          <w:iCs/>
        </w:rPr>
        <w:t>AU</w:t>
      </w:r>
      <w:r w:rsidR="001B32F2">
        <w:rPr>
          <w:i/>
          <w:iCs/>
          <w:vertAlign w:val="subscript"/>
        </w:rPr>
        <w:t>cons</w:t>
      </w:r>
      <w:r w:rsidR="001B32F2" w:rsidRPr="001B32F2">
        <w:rPr>
          <w:i/>
          <w:iCs/>
          <w:vertAlign w:val="subscript"/>
        </w:rPr>
        <w:t>,y</w:t>
      </w:r>
      <w:r>
        <w:t xml:space="preserve"> is lower than the ex-ante </w:t>
      </w:r>
      <w:r w:rsidR="001B32F2" w:rsidRPr="001B32F2">
        <w:rPr>
          <w:i/>
          <w:iCs/>
        </w:rPr>
        <w:t>BE</w:t>
      </w:r>
      <w:r w:rsidR="001B32F2" w:rsidRPr="001B32F2">
        <w:rPr>
          <w:i/>
          <w:iCs/>
          <w:vertAlign w:val="subscript"/>
        </w:rPr>
        <w:t>adj,y</w:t>
      </w:r>
      <w:r>
        <w:t xml:space="preserve"> for any calendar year or cumulatively over the crediting period, activity participants shall revise the quantitative methods and factors to determine the downward adjustment in section </w:t>
      </w:r>
      <w:r>
        <w:fldChar w:fldCharType="begin"/>
      </w:r>
      <w:r>
        <w:instrText xml:space="preserve"> REF _Ref203660539 \w \p \h </w:instrText>
      </w:r>
      <w:r>
        <w:fldChar w:fldCharType="separate"/>
      </w:r>
      <w:r w:rsidR="00302468">
        <w:rPr>
          <w:cs/>
        </w:rPr>
        <w:t>‎</w:t>
      </w:r>
      <w:r w:rsidR="00302468">
        <w:t>7.4 above</w:t>
      </w:r>
      <w:r>
        <w:fldChar w:fldCharType="end"/>
      </w:r>
      <w:r>
        <w:t xml:space="preserve"> to ensure that the downward adjusted baseline is lower than the conservative BAU baseline for each calendar year and cumulatively for the crediting period or use a discounted value of conservative BAU (</w:t>
      </w:r>
      <w:r w:rsidRPr="003C508B">
        <w:rPr>
          <w:i/>
          <w:iCs/>
        </w:rPr>
        <w:t>BAU</w:t>
      </w:r>
      <w:r w:rsidRPr="003C508B">
        <w:rPr>
          <w:i/>
          <w:iCs/>
          <w:vertAlign w:val="subscript"/>
        </w:rPr>
        <w:t>cons,y</w:t>
      </w:r>
      <w:r>
        <w:t>).</w:t>
      </w:r>
    </w:p>
    <w:p w14:paraId="39C54A8F" w14:textId="77777777" w:rsidR="004334D2" w:rsidRDefault="004334D2" w:rsidP="00E66E80">
      <w:pPr>
        <w:pStyle w:val="SDMPara"/>
      </w:pPr>
      <w:r>
        <w:t>Activity participants shall also compare in monitoring reports, for each individual calendar year during the crediting period, the ex-post calculated downward adjusted baseline for the year and the ex-post calculated conservative BAU baseline for the same year to confirm that the downward adjusted baseline is lower than the conservative BAU baseline. If it is not, then the conservative BAU baseline shall be used for that specific calendar year.</w:t>
      </w:r>
    </w:p>
    <w:p w14:paraId="60CA2BBC" w14:textId="2D0C5538" w:rsidR="004334D2" w:rsidRDefault="00E528C4" w:rsidP="0069640C">
      <w:pPr>
        <w:pStyle w:val="SDMHead1"/>
      </w:pPr>
      <w:bookmarkStart w:id="339" w:name="_Toc211555322"/>
      <w:bookmarkStart w:id="340" w:name="_Toc211598974"/>
      <w:bookmarkStart w:id="341" w:name="_Toc211599476"/>
      <w:bookmarkStart w:id="342" w:name="_Toc211612272"/>
      <w:bookmarkStart w:id="343" w:name="_Toc211614719"/>
      <w:bookmarkStart w:id="344" w:name="_Toc211614762"/>
      <w:r>
        <w:t>Project</w:t>
      </w:r>
      <w:r w:rsidR="004334D2">
        <w:t xml:space="preserve"> </w:t>
      </w:r>
      <w:r w:rsidR="004334D2" w:rsidRPr="0069640C">
        <w:t>scenario</w:t>
      </w:r>
      <w:bookmarkEnd w:id="339"/>
      <w:bookmarkEnd w:id="340"/>
      <w:bookmarkEnd w:id="341"/>
      <w:bookmarkEnd w:id="342"/>
      <w:bookmarkEnd w:id="343"/>
      <w:bookmarkEnd w:id="344"/>
    </w:p>
    <w:p w14:paraId="46FCB8B1" w14:textId="661E62D0" w:rsidR="004334D2" w:rsidRDefault="004334D2" w:rsidP="0069640C">
      <w:pPr>
        <w:pStyle w:val="SDMHead2"/>
      </w:pPr>
      <w:bookmarkStart w:id="345" w:name="_Ref211528102"/>
      <w:bookmarkStart w:id="346" w:name="_Toc211555323"/>
      <w:bookmarkStart w:id="347" w:name="_Toc211598975"/>
      <w:bookmarkStart w:id="348" w:name="_Toc211599477"/>
      <w:bookmarkStart w:id="349" w:name="_Toc211612273"/>
      <w:bookmarkStart w:id="350" w:name="_Toc211614720"/>
      <w:bookmarkStart w:id="351" w:name="_Toc211614763"/>
      <w:r>
        <w:t xml:space="preserve">Calculation of </w:t>
      </w:r>
      <w:r w:rsidR="005704AC" w:rsidRPr="0069640C">
        <w:t>project</w:t>
      </w:r>
      <w:r w:rsidR="005704AC">
        <w:t xml:space="preserve"> emissions</w:t>
      </w:r>
      <w:bookmarkEnd w:id="345"/>
      <w:bookmarkEnd w:id="346"/>
      <w:bookmarkEnd w:id="347"/>
      <w:bookmarkEnd w:id="348"/>
      <w:bookmarkEnd w:id="349"/>
      <w:bookmarkEnd w:id="350"/>
      <w:bookmarkEnd w:id="351"/>
    </w:p>
    <w:p w14:paraId="68463FA1" w14:textId="343E2ED8" w:rsidR="004334D2" w:rsidRDefault="005704AC" w:rsidP="00DA05CE">
      <w:pPr>
        <w:pStyle w:val="SDMPara"/>
        <w:keepNext/>
      </w:pPr>
      <w:bookmarkStart w:id="352" w:name="_Ref210748912"/>
      <w:r>
        <w:t>Project emissions</w:t>
      </w:r>
      <w:r w:rsidR="004334D2">
        <w:t xml:space="preserve"> are calculated as follows:</w:t>
      </w:r>
      <w:bookmarkEnd w:id="352"/>
    </w:p>
    <w:tbl>
      <w:tblPr>
        <w:tblStyle w:val="SDMMethTableEquation"/>
        <w:tblW w:w="8760" w:type="dxa"/>
        <w:tblLook w:val="0600" w:firstRow="0" w:lastRow="0" w:firstColumn="0" w:lastColumn="0" w:noHBand="1" w:noVBand="1"/>
      </w:tblPr>
      <w:tblGrid>
        <w:gridCol w:w="7095"/>
        <w:gridCol w:w="1665"/>
      </w:tblGrid>
      <w:tr w:rsidR="004334D2" w:rsidRPr="00E32F75" w14:paraId="7AE3C894" w14:textId="77777777" w:rsidTr="007E5A9B">
        <w:tc>
          <w:tcPr>
            <w:tcW w:w="7224" w:type="dxa"/>
          </w:tcPr>
          <w:p w14:paraId="6A0401D1" w14:textId="332835A4"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PE</m:t>
                    </m:r>
                  </m:e>
                  <m:sub>
                    <m:r>
                      <w:rPr>
                        <w:rFonts w:ascii="Cambria Math" w:hAnsi="Cambria Math"/>
                      </w:rPr>
                      <m:t>EC,y</m:t>
                    </m:r>
                  </m:sub>
                </m:sSub>
                <m:r>
                  <w:rPr>
                    <w:rFonts w:ascii="Cambria Math" w:hAnsi="Cambria Math"/>
                  </w:rPr>
                  <m:t>+</m:t>
                </m:r>
                <m:sSub>
                  <m:sSubPr>
                    <m:ctrlPr>
                      <w:rPr>
                        <w:rFonts w:ascii="Cambria Math" w:hAnsi="Cambria Math"/>
                        <w:i/>
                      </w:rPr>
                    </m:ctrlPr>
                  </m:sSubPr>
                  <m:e>
                    <m:r>
                      <w:rPr>
                        <w:rFonts w:ascii="Cambria Math" w:hAnsi="Cambria Math"/>
                      </w:rPr>
                      <m:t>PE</m:t>
                    </m:r>
                  </m:e>
                  <m:sub>
                    <m:r>
                      <w:rPr>
                        <w:rFonts w:ascii="Cambria Math" w:hAnsi="Cambria Math"/>
                      </w:rPr>
                      <m:t>FC,y</m:t>
                    </m:r>
                  </m:sub>
                </m:sSub>
                <m:r>
                  <w:rPr>
                    <w:rFonts w:ascii="Cambria Math" w:hAnsi="Cambria Math"/>
                  </w:rPr>
                  <m:t>+</m:t>
                </m:r>
                <m:sSub>
                  <m:sSubPr>
                    <m:ctrlPr>
                      <w:rPr>
                        <w:rFonts w:ascii="Cambria Math" w:hAnsi="Cambria Math"/>
                        <w:i/>
                      </w:rPr>
                    </m:ctrlPr>
                  </m:sSubPr>
                  <m:e>
                    <m:r>
                      <w:rPr>
                        <w:rFonts w:ascii="Cambria Math" w:hAnsi="Cambria Math"/>
                      </w:rPr>
                      <m:t>PE</m:t>
                    </m:r>
                  </m:e>
                  <m:sub>
                    <m:r>
                      <w:rPr>
                        <w:rFonts w:ascii="Cambria Math" w:hAnsi="Cambria Math"/>
                      </w:rPr>
                      <m:t>DT,y</m:t>
                    </m:r>
                  </m:sub>
                </m:sSub>
                <m:sSub>
                  <m:sSubPr>
                    <m:ctrlPr>
                      <w:rPr>
                        <w:rFonts w:ascii="Cambria Math" w:hAnsi="Cambria Math"/>
                        <w:i/>
                      </w:rPr>
                    </m:ctrlPr>
                  </m:sSubPr>
                  <m:e>
                    <m:r>
                      <w:rPr>
                        <w:rFonts w:ascii="Cambria Math" w:hAnsi="Cambria Math"/>
                      </w:rPr>
                      <m:t>+ PE</m:t>
                    </m:r>
                  </m:e>
                  <m:sub>
                    <m:r>
                      <w:rPr>
                        <w:rFonts w:ascii="Cambria Math" w:hAnsi="Cambria Math"/>
                      </w:rPr>
                      <m:t>SP,y</m:t>
                    </m:r>
                  </m:sub>
                </m:sSub>
              </m:oMath>
            </m:oMathPara>
          </w:p>
        </w:tc>
        <w:tc>
          <w:tcPr>
            <w:tcW w:w="1701" w:type="dxa"/>
          </w:tcPr>
          <w:p w14:paraId="36C69235" w14:textId="77777777" w:rsidR="004334D2" w:rsidRPr="002B6960" w:rsidRDefault="004334D2" w:rsidP="00247E9F">
            <w:pPr>
              <w:pStyle w:val="SDMMethEquationNr"/>
              <w:numPr>
                <w:ilvl w:val="0"/>
                <w:numId w:val="4"/>
              </w:numPr>
            </w:pPr>
          </w:p>
        </w:tc>
      </w:tr>
    </w:tbl>
    <w:p w14:paraId="0F92C0FE"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4334D2" w14:paraId="29AC870D" w14:textId="77777777" w:rsidTr="007E5A9B">
        <w:tc>
          <w:tcPr>
            <w:tcW w:w="1701" w:type="dxa"/>
            <w:vAlign w:val="top"/>
          </w:tcPr>
          <w:p w14:paraId="0C02810E" w14:textId="041B54C8" w:rsidR="004334D2" w:rsidRPr="009E5527"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PE</m:t>
                    </m:r>
                  </m:e>
                  <m:sub>
                    <m:r>
                      <w:rPr>
                        <w:rFonts w:ascii="Cambria Math" w:hAnsi="Cambria Math"/>
                      </w:rPr>
                      <m:t>y</m:t>
                    </m:r>
                  </m:sub>
                </m:sSub>
              </m:oMath>
            </m:oMathPara>
          </w:p>
        </w:tc>
        <w:tc>
          <w:tcPr>
            <w:tcW w:w="345" w:type="dxa"/>
            <w:vAlign w:val="top"/>
          </w:tcPr>
          <w:p w14:paraId="571DB314" w14:textId="77777777" w:rsidR="004334D2" w:rsidRDefault="004334D2" w:rsidP="00081FD4">
            <w:pPr>
              <w:pStyle w:val="SDMTableBoxParaNotNumbered"/>
            </w:pPr>
            <w:r>
              <w:t>=</w:t>
            </w:r>
          </w:p>
        </w:tc>
        <w:tc>
          <w:tcPr>
            <w:tcW w:w="0" w:type="auto"/>
            <w:vAlign w:val="top"/>
          </w:tcPr>
          <w:p w14:paraId="296BDA90" w14:textId="4079D291" w:rsidR="004334D2" w:rsidRDefault="005704AC" w:rsidP="00081FD4">
            <w:pPr>
              <w:pStyle w:val="SDMTableBoxParaNotNumbered"/>
            </w:pPr>
            <w:r>
              <w:t>Project emissions</w:t>
            </w:r>
            <w:r w:rsidR="004334D2" w:rsidRPr="000C5FD6">
              <w:t xml:space="preserve"> in year </w:t>
            </w:r>
            <w:r w:rsidR="004334D2" w:rsidRPr="000C5FD6">
              <w:rPr>
                <w:i/>
              </w:rPr>
              <w:t xml:space="preserve">y </w:t>
            </w:r>
            <w:r w:rsidR="004334D2" w:rsidRPr="000C5FD6">
              <w:t>(t CO</w:t>
            </w:r>
            <w:r w:rsidR="004334D2" w:rsidRPr="000C5FD6">
              <w:rPr>
                <w:vertAlign w:val="subscript"/>
              </w:rPr>
              <w:t>2</w:t>
            </w:r>
            <w:r w:rsidR="004334D2" w:rsidRPr="00BD6668">
              <w:t>/</w:t>
            </w:r>
            <w:r w:rsidR="004334D2">
              <w:t>year</w:t>
            </w:r>
            <w:r w:rsidR="004334D2" w:rsidRPr="000C5FD6">
              <w:t>)</w:t>
            </w:r>
          </w:p>
        </w:tc>
      </w:tr>
      <w:tr w:rsidR="004334D2" w14:paraId="2E98EB00" w14:textId="77777777" w:rsidTr="007E5A9B">
        <w:tc>
          <w:tcPr>
            <w:tcW w:w="1701" w:type="dxa"/>
            <w:vAlign w:val="top"/>
          </w:tcPr>
          <w:p w14:paraId="5AC5D52A" w14:textId="24EAE37E" w:rsidR="004334D2" w:rsidRPr="009E5527"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EC,y</m:t>
                    </m:r>
                  </m:sub>
                </m:sSub>
              </m:oMath>
            </m:oMathPara>
          </w:p>
        </w:tc>
        <w:tc>
          <w:tcPr>
            <w:tcW w:w="345" w:type="dxa"/>
            <w:vAlign w:val="top"/>
          </w:tcPr>
          <w:p w14:paraId="728F851F" w14:textId="77777777" w:rsidR="004334D2" w:rsidRDefault="004334D2" w:rsidP="00081FD4">
            <w:pPr>
              <w:pStyle w:val="SDMTableBoxParaNotNumbered"/>
            </w:pPr>
            <w:r>
              <w:t>=</w:t>
            </w:r>
          </w:p>
        </w:tc>
        <w:tc>
          <w:tcPr>
            <w:tcW w:w="0" w:type="auto"/>
            <w:vAlign w:val="top"/>
          </w:tcPr>
          <w:p w14:paraId="06F2E070" w14:textId="5302CAE3" w:rsidR="004334D2" w:rsidRDefault="005704AC" w:rsidP="00081FD4">
            <w:pPr>
              <w:pStyle w:val="SDMTableBoxParaNotNumbered"/>
            </w:pPr>
            <w:r>
              <w:t>Project emissions</w:t>
            </w:r>
            <w:r w:rsidR="004334D2" w:rsidRPr="000C5FD6">
              <w:t xml:space="preserve"> from </w:t>
            </w:r>
            <w:r w:rsidR="003F6A07">
              <w:t xml:space="preserve">electricity </w:t>
            </w:r>
            <w:r w:rsidR="004334D2" w:rsidRPr="000C5FD6">
              <w:t xml:space="preserve">consumption due to the </w:t>
            </w:r>
            <w:r>
              <w:t>Article 6.4 activity</w:t>
            </w:r>
            <w:r w:rsidR="004334D2" w:rsidRPr="000C5FD6">
              <w:t xml:space="preserve"> in year </w:t>
            </w:r>
            <w:r w:rsidR="004334D2" w:rsidRPr="0007317B">
              <w:rPr>
                <w:i/>
                <w:iCs/>
              </w:rPr>
              <w:t>y</w:t>
            </w:r>
            <w:r w:rsidR="004334D2" w:rsidRPr="0007317B">
              <w:t xml:space="preserve"> </w:t>
            </w:r>
            <w:r w:rsidR="004334D2" w:rsidRPr="000C5FD6">
              <w:t>(tCO</w:t>
            </w:r>
            <w:r w:rsidR="004334D2" w:rsidRPr="0007317B">
              <w:rPr>
                <w:vertAlign w:val="subscript"/>
              </w:rPr>
              <w:t>2</w:t>
            </w:r>
            <w:r w:rsidR="004334D2" w:rsidRPr="00BD6668">
              <w:t>/</w:t>
            </w:r>
            <w:r w:rsidR="004334D2">
              <w:t>year</w:t>
            </w:r>
            <w:r w:rsidR="004334D2" w:rsidRPr="000C5FD6">
              <w:t>)</w:t>
            </w:r>
          </w:p>
        </w:tc>
      </w:tr>
      <w:tr w:rsidR="004334D2" w14:paraId="565B860C" w14:textId="77777777" w:rsidTr="007E5A9B">
        <w:tc>
          <w:tcPr>
            <w:tcW w:w="1701" w:type="dxa"/>
            <w:vAlign w:val="top"/>
          </w:tcPr>
          <w:p w14:paraId="3B7C2F53" w14:textId="2B2761CF" w:rsidR="004334D2" w:rsidRPr="009E5527" w:rsidRDefault="00302468" w:rsidP="00081FD4">
            <w:pPr>
              <w:pStyle w:val="SDMTableBoxParaNotNumbered"/>
              <w:rPr>
                <w:b/>
                <w:bCs/>
              </w:rPr>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FC,y</m:t>
                    </m:r>
                  </m:sub>
                </m:sSub>
              </m:oMath>
            </m:oMathPara>
          </w:p>
        </w:tc>
        <w:tc>
          <w:tcPr>
            <w:tcW w:w="345" w:type="dxa"/>
            <w:vAlign w:val="top"/>
          </w:tcPr>
          <w:p w14:paraId="26305234" w14:textId="77777777" w:rsidR="004334D2" w:rsidRDefault="004334D2" w:rsidP="00081FD4">
            <w:pPr>
              <w:pStyle w:val="SDMTableBoxParaNotNumbered"/>
            </w:pPr>
            <w:r>
              <w:t>=</w:t>
            </w:r>
          </w:p>
        </w:tc>
        <w:tc>
          <w:tcPr>
            <w:tcW w:w="0" w:type="auto"/>
            <w:vAlign w:val="top"/>
          </w:tcPr>
          <w:p w14:paraId="26CE6092" w14:textId="7C896DAF" w:rsidR="004334D2" w:rsidRDefault="005704AC" w:rsidP="00081FD4">
            <w:pPr>
              <w:pStyle w:val="SDMTableBoxParaNotNumbered"/>
            </w:pPr>
            <w:r>
              <w:t>Project emissions</w:t>
            </w:r>
            <w:r w:rsidR="004334D2" w:rsidRPr="000C5FD6">
              <w:t xml:space="preserve"> from </w:t>
            </w:r>
            <w:r w:rsidR="003F6A07">
              <w:t xml:space="preserve">fossil fuel </w:t>
            </w:r>
            <w:r w:rsidR="004334D2" w:rsidRPr="000C5FD6">
              <w:t xml:space="preserve">consumption due to the </w:t>
            </w:r>
            <w:r>
              <w:t>Article 6.4 activity</w:t>
            </w:r>
            <w:r w:rsidR="004334D2" w:rsidRPr="000C5FD6">
              <w:t xml:space="preserve"> for purpose</w:t>
            </w:r>
            <w:r w:rsidR="000817EC">
              <w:t>s</w:t>
            </w:r>
            <w:r w:rsidR="004334D2" w:rsidRPr="000C5FD6">
              <w:t xml:space="preserve"> other than electricity generation in year </w:t>
            </w:r>
            <w:r w:rsidR="004334D2" w:rsidRPr="0007317B">
              <w:rPr>
                <w:i/>
                <w:iCs/>
              </w:rPr>
              <w:t>y</w:t>
            </w:r>
            <w:r w:rsidR="004334D2" w:rsidRPr="0007317B">
              <w:t xml:space="preserve"> </w:t>
            </w:r>
            <w:r w:rsidR="004334D2" w:rsidRPr="000C5FD6">
              <w:t>(tCO</w:t>
            </w:r>
            <w:r w:rsidR="004334D2" w:rsidRPr="0007317B">
              <w:rPr>
                <w:vertAlign w:val="subscript"/>
              </w:rPr>
              <w:t>2</w:t>
            </w:r>
            <w:r w:rsidR="004334D2" w:rsidRPr="00BD6668">
              <w:t>/</w:t>
            </w:r>
            <w:r w:rsidR="004334D2">
              <w:t>year</w:t>
            </w:r>
            <w:r w:rsidR="004334D2" w:rsidRPr="000C5FD6">
              <w:t>)</w:t>
            </w:r>
          </w:p>
        </w:tc>
      </w:tr>
      <w:tr w:rsidR="004334D2" w14:paraId="2E6466F6" w14:textId="77777777" w:rsidTr="007E5A9B">
        <w:tc>
          <w:tcPr>
            <w:tcW w:w="1701" w:type="dxa"/>
            <w:vAlign w:val="top"/>
          </w:tcPr>
          <w:p w14:paraId="10325F5E" w14:textId="6393B672" w:rsidR="004334D2" w:rsidRPr="009E5527"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DT,y</m:t>
                    </m:r>
                  </m:sub>
                </m:sSub>
              </m:oMath>
            </m:oMathPara>
          </w:p>
        </w:tc>
        <w:tc>
          <w:tcPr>
            <w:tcW w:w="345" w:type="dxa"/>
            <w:vAlign w:val="top"/>
          </w:tcPr>
          <w:p w14:paraId="778146ED" w14:textId="77777777" w:rsidR="004334D2" w:rsidRDefault="004334D2" w:rsidP="00081FD4">
            <w:pPr>
              <w:pStyle w:val="SDMTableBoxParaNotNumbered"/>
            </w:pPr>
            <w:r>
              <w:t>=</w:t>
            </w:r>
          </w:p>
        </w:tc>
        <w:tc>
          <w:tcPr>
            <w:tcW w:w="0" w:type="auto"/>
            <w:vAlign w:val="top"/>
          </w:tcPr>
          <w:p w14:paraId="358AF1A0" w14:textId="44B3CBAA" w:rsidR="004334D2" w:rsidRDefault="005704AC" w:rsidP="00081FD4">
            <w:pPr>
              <w:pStyle w:val="SDMTableBoxParaNotNumbered"/>
            </w:pPr>
            <w:r>
              <w:t>Project emissions</w:t>
            </w:r>
            <w:r w:rsidR="004334D2" w:rsidRPr="000C5FD6">
              <w:t xml:space="preserve"> from the distribution of LFG </w:t>
            </w:r>
            <w:r w:rsidR="004334D2">
              <w:t xml:space="preserve">or biomethane </w:t>
            </w:r>
            <w:r w:rsidR="004334D2" w:rsidRPr="000C5FD6">
              <w:t>using trucks, in year </w:t>
            </w:r>
            <w:r w:rsidR="004334D2" w:rsidRPr="0007317B">
              <w:rPr>
                <w:i/>
                <w:iCs/>
              </w:rPr>
              <w:t>y</w:t>
            </w:r>
            <w:r w:rsidR="004334D2" w:rsidRPr="000C5FD6">
              <w:t xml:space="preserve"> (tCO</w:t>
            </w:r>
            <w:r w:rsidR="004334D2" w:rsidRPr="0007317B">
              <w:rPr>
                <w:vertAlign w:val="subscript"/>
              </w:rPr>
              <w:t>2</w:t>
            </w:r>
            <w:r w:rsidR="004334D2" w:rsidRPr="00BD6668">
              <w:t>/</w:t>
            </w:r>
            <w:r w:rsidR="004334D2">
              <w:t>year</w:t>
            </w:r>
            <w:r w:rsidR="004334D2" w:rsidRPr="000C5FD6">
              <w:t>)</w:t>
            </w:r>
          </w:p>
        </w:tc>
      </w:tr>
      <w:tr w:rsidR="004334D2" w14:paraId="37EE26DF" w14:textId="77777777" w:rsidTr="007E5A9B">
        <w:tc>
          <w:tcPr>
            <w:tcW w:w="1701" w:type="dxa"/>
            <w:vAlign w:val="top"/>
          </w:tcPr>
          <w:p w14:paraId="5CCEAB0E" w14:textId="19AC344A" w:rsidR="004334D2" w:rsidRPr="009E5527"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SP,y</m:t>
                    </m:r>
                  </m:sub>
                </m:sSub>
              </m:oMath>
            </m:oMathPara>
          </w:p>
        </w:tc>
        <w:tc>
          <w:tcPr>
            <w:tcW w:w="345" w:type="dxa"/>
            <w:vAlign w:val="top"/>
          </w:tcPr>
          <w:p w14:paraId="7F85210F" w14:textId="77777777" w:rsidR="004334D2" w:rsidRDefault="004334D2" w:rsidP="00081FD4">
            <w:pPr>
              <w:pStyle w:val="SDMTableBoxParaNotNumbered"/>
            </w:pPr>
            <w:r>
              <w:t>=</w:t>
            </w:r>
          </w:p>
        </w:tc>
        <w:tc>
          <w:tcPr>
            <w:tcW w:w="0" w:type="auto"/>
            <w:vAlign w:val="top"/>
          </w:tcPr>
          <w:p w14:paraId="315228A6" w14:textId="4CD29916" w:rsidR="004334D2" w:rsidRDefault="005704AC" w:rsidP="00081FD4">
            <w:pPr>
              <w:pStyle w:val="SDMTableBoxParaNotNumbered"/>
            </w:pPr>
            <w:r>
              <w:t>Project emissions</w:t>
            </w:r>
            <w:r w:rsidR="004334D2" w:rsidRPr="000C5FD6">
              <w:t xml:space="preserve"> from the supply of </w:t>
            </w:r>
            <w:r w:rsidR="004334D2">
              <w:t xml:space="preserve">biomethane or </w:t>
            </w:r>
            <w:r w:rsidR="004334D2" w:rsidRPr="000C5FD6">
              <w:t>LFG to consumers through a dedicated pipeline, in year </w:t>
            </w:r>
            <w:r w:rsidR="004334D2" w:rsidRPr="0007317B">
              <w:rPr>
                <w:i/>
                <w:iCs/>
              </w:rPr>
              <w:t>y</w:t>
            </w:r>
            <w:r w:rsidR="004334D2" w:rsidRPr="000C5FD6">
              <w:t xml:space="preserve"> (tCO</w:t>
            </w:r>
            <w:r w:rsidR="004334D2" w:rsidRPr="0007317B">
              <w:rPr>
                <w:vertAlign w:val="subscript"/>
              </w:rPr>
              <w:t>2</w:t>
            </w:r>
            <w:r w:rsidR="004334D2" w:rsidRPr="00BD6668">
              <w:t>/</w:t>
            </w:r>
            <w:r w:rsidR="004334D2">
              <w:t>year</w:t>
            </w:r>
            <w:r w:rsidR="004334D2" w:rsidRPr="000C5FD6">
              <w:t>)</w:t>
            </w:r>
          </w:p>
        </w:tc>
      </w:tr>
    </w:tbl>
    <w:p w14:paraId="46560630" w14:textId="2E4458DE" w:rsidR="004334D2" w:rsidRDefault="005704AC" w:rsidP="00CB4A5A">
      <w:pPr>
        <w:pStyle w:val="SDMHead3"/>
        <w:tabs>
          <w:tab w:val="clear" w:pos="709"/>
        </w:tabs>
        <w:ind w:left="426" w:hanging="426"/>
      </w:pPr>
      <w:bookmarkStart w:id="353" w:name="_Ref210999090"/>
      <w:bookmarkStart w:id="354" w:name="_Toc211555324"/>
      <w:bookmarkStart w:id="355" w:name="_Toc211598976"/>
      <w:bookmarkStart w:id="356" w:name="_Toc211599478"/>
      <w:bookmarkStart w:id="357" w:name="_Toc211612274"/>
      <w:bookmarkStart w:id="358" w:name="_Toc211614721"/>
      <w:bookmarkStart w:id="359" w:name="_Toc211614764"/>
      <w:r>
        <w:t>Project emissions</w:t>
      </w:r>
      <w:r w:rsidR="004334D2">
        <w:t xml:space="preserve"> from </w:t>
      </w:r>
      <w:r w:rsidR="003F6A07">
        <w:t xml:space="preserve">electricity </w:t>
      </w:r>
      <w:r w:rsidR="004334D2">
        <w:t>consumption</w:t>
      </w:r>
      <w:bookmarkEnd w:id="353"/>
      <w:bookmarkEnd w:id="354"/>
      <w:bookmarkEnd w:id="355"/>
      <w:bookmarkEnd w:id="356"/>
      <w:bookmarkEnd w:id="357"/>
      <w:bookmarkEnd w:id="358"/>
      <w:bookmarkEnd w:id="359"/>
    </w:p>
    <w:p w14:paraId="6D383CB9" w14:textId="137303EC" w:rsidR="004334D2" w:rsidRDefault="005704AC" w:rsidP="00DA05CE">
      <w:pPr>
        <w:pStyle w:val="SDMPara"/>
        <w:keepNext/>
      </w:pPr>
      <w:r>
        <w:t>Project emissions</w:t>
      </w:r>
      <w:r w:rsidR="004334D2" w:rsidRPr="007D447E">
        <w:t xml:space="preserve"> from </w:t>
      </w:r>
      <w:r w:rsidR="004334D2">
        <w:t xml:space="preserve">electricity consumption </w:t>
      </w:r>
      <w:r w:rsidR="004334D2" w:rsidRPr="007D447E">
        <w:t xml:space="preserve">are calculated </w:t>
      </w:r>
      <w:r w:rsidR="004334D2">
        <w:t>as follows:</w:t>
      </w:r>
    </w:p>
    <w:tbl>
      <w:tblPr>
        <w:tblStyle w:val="SDMMethTableEquation"/>
        <w:tblW w:w="8760" w:type="dxa"/>
        <w:tblLook w:val="0600" w:firstRow="0" w:lastRow="0" w:firstColumn="0" w:lastColumn="0" w:noHBand="1" w:noVBand="1"/>
      </w:tblPr>
      <w:tblGrid>
        <w:gridCol w:w="7094"/>
        <w:gridCol w:w="1666"/>
      </w:tblGrid>
      <w:tr w:rsidR="004334D2" w:rsidRPr="00E32F75" w14:paraId="06413B51" w14:textId="77777777" w:rsidTr="007E5A9B">
        <w:tc>
          <w:tcPr>
            <w:tcW w:w="7224" w:type="dxa"/>
          </w:tcPr>
          <w:p w14:paraId="217E6485" w14:textId="41A50977"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EC,y</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EC</m:t>
                        </m:r>
                      </m:e>
                      <m:sub>
                        <m:r>
                          <w:rPr>
                            <w:rFonts w:ascii="Cambria Math" w:hAnsi="Cambria Math"/>
                          </w:rPr>
                          <m:t>grid,y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EC,grid,y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TDL,grid</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EC</m:t>
                        </m:r>
                      </m:e>
                      <m:sub>
                        <m:r>
                          <w:rPr>
                            <w:rFonts w:ascii="Cambria Math" w:hAnsi="Cambria Math"/>
                          </w:rPr>
                          <m:t>captive,y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EC,captive,y</m:t>
                        </m:r>
                      </m:sub>
                    </m:sSub>
                  </m:e>
                </m:d>
              </m:oMath>
            </m:oMathPara>
          </w:p>
        </w:tc>
        <w:tc>
          <w:tcPr>
            <w:tcW w:w="1701" w:type="dxa"/>
          </w:tcPr>
          <w:p w14:paraId="08E2F798" w14:textId="77777777" w:rsidR="004334D2" w:rsidRPr="002B6960" w:rsidRDefault="004334D2" w:rsidP="00247E9F">
            <w:pPr>
              <w:pStyle w:val="SDMMethEquationNr"/>
              <w:numPr>
                <w:ilvl w:val="0"/>
                <w:numId w:val="4"/>
              </w:numPr>
            </w:pPr>
          </w:p>
        </w:tc>
      </w:tr>
    </w:tbl>
    <w:p w14:paraId="0F8D55A4"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4334D2" w14:paraId="721AFCED" w14:textId="77777777" w:rsidTr="007E5A9B">
        <w:tc>
          <w:tcPr>
            <w:tcW w:w="1701" w:type="dxa"/>
            <w:vAlign w:val="top"/>
          </w:tcPr>
          <w:p w14:paraId="3C1B256F" w14:textId="661EE7AA" w:rsidR="004334D2" w:rsidRPr="0099169E"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PE</m:t>
                    </m:r>
                  </m:e>
                  <m:sub>
                    <m:r>
                      <w:rPr>
                        <w:rFonts w:ascii="Cambria Math" w:hAnsi="Cambria Math"/>
                      </w:rPr>
                      <m:t>EC,y</m:t>
                    </m:r>
                  </m:sub>
                </m:sSub>
              </m:oMath>
            </m:oMathPara>
          </w:p>
        </w:tc>
        <w:tc>
          <w:tcPr>
            <w:tcW w:w="345" w:type="dxa"/>
            <w:vAlign w:val="top"/>
          </w:tcPr>
          <w:p w14:paraId="7877D748" w14:textId="77777777" w:rsidR="004334D2" w:rsidRDefault="004334D2" w:rsidP="00081FD4">
            <w:pPr>
              <w:pStyle w:val="SDMTableBoxParaNotNumbered"/>
            </w:pPr>
            <w:r>
              <w:t>=</w:t>
            </w:r>
          </w:p>
        </w:tc>
        <w:tc>
          <w:tcPr>
            <w:tcW w:w="0" w:type="auto"/>
            <w:vAlign w:val="top"/>
          </w:tcPr>
          <w:p w14:paraId="288ADBB2" w14:textId="0515BE2C" w:rsidR="004334D2" w:rsidRPr="0099169E" w:rsidRDefault="005704AC" w:rsidP="00081FD4">
            <w:pPr>
              <w:pStyle w:val="SDMTableBoxParaNotNumbered"/>
            </w:pPr>
            <w:r>
              <w:t>Project emissions</w:t>
            </w:r>
            <w:r w:rsidR="004334D2" w:rsidRPr="0099169E">
              <w:t xml:space="preserve"> from electricity consumption </w:t>
            </w:r>
            <w:r w:rsidR="003A4570">
              <w:t xml:space="preserve">due to the Article 6.4 activity </w:t>
            </w:r>
            <w:r w:rsidR="004334D2" w:rsidRPr="0099169E">
              <w:t>in year</w:t>
            </w:r>
            <w:r w:rsidR="004334D2" w:rsidRPr="0099169E">
              <w:rPr>
                <w:i/>
              </w:rPr>
              <w:t xml:space="preserve"> y </w:t>
            </w:r>
            <w:r w:rsidR="004334D2" w:rsidRPr="0099169E">
              <w:t>(t CO</w:t>
            </w:r>
            <w:r w:rsidR="004334D2" w:rsidRPr="0099169E">
              <w:rPr>
                <w:vertAlign w:val="subscript"/>
              </w:rPr>
              <w:t>2</w:t>
            </w:r>
            <w:r w:rsidR="004334D2" w:rsidRPr="0099169E">
              <w:t>/yr)</w:t>
            </w:r>
          </w:p>
        </w:tc>
      </w:tr>
      <w:tr w:rsidR="004334D2" w14:paraId="1530A6C5" w14:textId="77777777" w:rsidTr="007E5A9B">
        <w:tc>
          <w:tcPr>
            <w:tcW w:w="1701" w:type="dxa"/>
            <w:vAlign w:val="top"/>
          </w:tcPr>
          <w:p w14:paraId="1065F1F5" w14:textId="77777777" w:rsidR="004334D2" w:rsidRPr="0099169E"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EC</m:t>
                    </m:r>
                  </m:e>
                  <m:sub>
                    <m:r>
                      <w:rPr>
                        <w:rFonts w:ascii="Cambria Math" w:hAnsi="Cambria Math"/>
                      </w:rPr>
                      <m:t>grid,y</m:t>
                    </m:r>
                  </m:sub>
                </m:sSub>
              </m:oMath>
            </m:oMathPara>
          </w:p>
        </w:tc>
        <w:tc>
          <w:tcPr>
            <w:tcW w:w="345" w:type="dxa"/>
            <w:vAlign w:val="top"/>
          </w:tcPr>
          <w:p w14:paraId="3200002C" w14:textId="77777777" w:rsidR="004334D2" w:rsidRDefault="004334D2" w:rsidP="00081FD4">
            <w:pPr>
              <w:pStyle w:val="SDMTableBoxParaNotNumbered"/>
            </w:pPr>
            <w:r>
              <w:t>=</w:t>
            </w:r>
          </w:p>
        </w:tc>
        <w:tc>
          <w:tcPr>
            <w:tcW w:w="0" w:type="auto"/>
            <w:vAlign w:val="top"/>
          </w:tcPr>
          <w:p w14:paraId="45136C5B" w14:textId="77777777" w:rsidR="004334D2" w:rsidRPr="0099169E" w:rsidRDefault="004334D2" w:rsidP="00081FD4">
            <w:pPr>
              <w:pStyle w:val="SDMTableBoxParaNotNumbered"/>
            </w:pPr>
            <w:r w:rsidRPr="0099169E">
              <w:t>Quantity of electricity consumed from the electric grid in year</w:t>
            </w:r>
            <w:r w:rsidRPr="0099169E">
              <w:rPr>
                <w:i/>
              </w:rPr>
              <w:t xml:space="preserve"> y </w:t>
            </w:r>
            <w:r w:rsidRPr="0099169E">
              <w:t>(MWh/yr)</w:t>
            </w:r>
          </w:p>
        </w:tc>
      </w:tr>
      <w:tr w:rsidR="004334D2" w14:paraId="6334352C" w14:textId="77777777" w:rsidTr="007E5A9B">
        <w:tc>
          <w:tcPr>
            <w:tcW w:w="1701" w:type="dxa"/>
            <w:vAlign w:val="top"/>
          </w:tcPr>
          <w:p w14:paraId="067A8087" w14:textId="77777777" w:rsidR="004334D2" w:rsidRPr="0099169E"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EF</m:t>
                    </m:r>
                  </m:e>
                  <m:sub>
                    <m:r>
                      <w:rPr>
                        <w:rFonts w:ascii="Cambria Math" w:hAnsi="Cambria Math"/>
                      </w:rPr>
                      <m:t>EC,grid,y</m:t>
                    </m:r>
                  </m:sub>
                </m:sSub>
              </m:oMath>
            </m:oMathPara>
          </w:p>
        </w:tc>
        <w:tc>
          <w:tcPr>
            <w:tcW w:w="345" w:type="dxa"/>
            <w:vAlign w:val="top"/>
          </w:tcPr>
          <w:p w14:paraId="24A16DEC" w14:textId="77777777" w:rsidR="004334D2" w:rsidRDefault="004334D2" w:rsidP="00081FD4">
            <w:pPr>
              <w:pStyle w:val="SDMTableBoxParaNotNumbered"/>
            </w:pPr>
            <w:r>
              <w:t>=</w:t>
            </w:r>
          </w:p>
        </w:tc>
        <w:tc>
          <w:tcPr>
            <w:tcW w:w="0" w:type="auto"/>
            <w:vAlign w:val="top"/>
          </w:tcPr>
          <w:p w14:paraId="6002B705" w14:textId="77777777" w:rsidR="004334D2" w:rsidRPr="0099169E" w:rsidRDefault="004334D2" w:rsidP="00081FD4">
            <w:pPr>
              <w:pStyle w:val="SDMTableBoxParaNotNumbered"/>
            </w:pPr>
            <w:r w:rsidRPr="0099169E">
              <w:t>Emission factor from the electric grid in year</w:t>
            </w:r>
            <w:r w:rsidRPr="0099169E">
              <w:rPr>
                <w:i/>
              </w:rPr>
              <w:t xml:space="preserve"> y </w:t>
            </w:r>
            <w:r w:rsidRPr="0099169E">
              <w:t>(t CO</w:t>
            </w:r>
            <w:r w:rsidRPr="0099169E">
              <w:rPr>
                <w:vertAlign w:val="subscript"/>
              </w:rPr>
              <w:t>2</w:t>
            </w:r>
            <w:r w:rsidRPr="0099169E">
              <w:t>/MWh)</w:t>
            </w:r>
          </w:p>
        </w:tc>
      </w:tr>
      <w:tr w:rsidR="004334D2" w14:paraId="77D5E1FF" w14:textId="77777777" w:rsidTr="007E5A9B">
        <w:tc>
          <w:tcPr>
            <w:tcW w:w="1701" w:type="dxa"/>
            <w:vAlign w:val="top"/>
          </w:tcPr>
          <w:p w14:paraId="64E8CA93" w14:textId="77777777" w:rsidR="004334D2" w:rsidRPr="0099169E"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F</m:t>
                    </m:r>
                  </m:e>
                  <m:sub>
                    <m:r>
                      <w:rPr>
                        <w:rFonts w:ascii="Cambria Math" w:hAnsi="Cambria Math"/>
                      </w:rPr>
                      <m:t>TDL,grid</m:t>
                    </m:r>
                  </m:sub>
                </m:sSub>
              </m:oMath>
            </m:oMathPara>
          </w:p>
        </w:tc>
        <w:tc>
          <w:tcPr>
            <w:tcW w:w="345" w:type="dxa"/>
            <w:vAlign w:val="top"/>
          </w:tcPr>
          <w:p w14:paraId="51B05154" w14:textId="77777777" w:rsidR="004334D2" w:rsidRDefault="004334D2" w:rsidP="00081FD4">
            <w:pPr>
              <w:pStyle w:val="SDMTableBoxParaNotNumbered"/>
            </w:pPr>
            <w:r>
              <w:t>=</w:t>
            </w:r>
          </w:p>
        </w:tc>
        <w:tc>
          <w:tcPr>
            <w:tcW w:w="0" w:type="auto"/>
            <w:vAlign w:val="top"/>
          </w:tcPr>
          <w:p w14:paraId="742CDAE1" w14:textId="77777777" w:rsidR="004334D2" w:rsidRPr="0099169E" w:rsidRDefault="004334D2" w:rsidP="00081FD4">
            <w:pPr>
              <w:pStyle w:val="SDMTableBoxParaNotNumbered"/>
            </w:pPr>
            <w:r w:rsidRPr="0099169E">
              <w:t>Factor to account for transmission and distribution losses from the electric grid</w:t>
            </w:r>
            <w:r w:rsidRPr="0099169E">
              <w:rPr>
                <w:i/>
              </w:rPr>
              <w:t xml:space="preserve"> </w:t>
            </w:r>
            <w:r w:rsidRPr="0099169E">
              <w:t>(unitless)</w:t>
            </w:r>
          </w:p>
        </w:tc>
      </w:tr>
      <w:tr w:rsidR="004334D2" w14:paraId="08B1D06F" w14:textId="77777777" w:rsidTr="007E5A9B">
        <w:tc>
          <w:tcPr>
            <w:tcW w:w="1701" w:type="dxa"/>
            <w:vAlign w:val="top"/>
          </w:tcPr>
          <w:p w14:paraId="634BE201" w14:textId="77777777" w:rsidR="004334D2" w:rsidRPr="0099169E"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EC</m:t>
                    </m:r>
                  </m:e>
                  <m:sub>
                    <m:r>
                      <w:rPr>
                        <w:rFonts w:ascii="Cambria Math" w:hAnsi="Cambria Math"/>
                      </w:rPr>
                      <m:t>captive,y</m:t>
                    </m:r>
                  </m:sub>
                </m:sSub>
              </m:oMath>
            </m:oMathPara>
          </w:p>
        </w:tc>
        <w:tc>
          <w:tcPr>
            <w:tcW w:w="345" w:type="dxa"/>
            <w:vAlign w:val="top"/>
          </w:tcPr>
          <w:p w14:paraId="712A2FA1" w14:textId="77777777" w:rsidR="004334D2" w:rsidRDefault="004334D2" w:rsidP="00081FD4">
            <w:pPr>
              <w:pStyle w:val="SDMTableBoxParaNotNumbered"/>
            </w:pPr>
            <w:r>
              <w:t>=</w:t>
            </w:r>
          </w:p>
        </w:tc>
        <w:tc>
          <w:tcPr>
            <w:tcW w:w="0" w:type="auto"/>
            <w:vAlign w:val="top"/>
          </w:tcPr>
          <w:p w14:paraId="7A722992" w14:textId="77777777" w:rsidR="004334D2" w:rsidRPr="0099169E" w:rsidRDefault="004334D2" w:rsidP="00081FD4">
            <w:pPr>
              <w:pStyle w:val="SDMTableBoxParaNotNumbered"/>
            </w:pPr>
            <w:r w:rsidRPr="0099169E">
              <w:t>Quantity of electricity consumed from the captive fossil fuel fired power plant in year</w:t>
            </w:r>
            <w:r w:rsidRPr="0099169E">
              <w:rPr>
                <w:i/>
              </w:rPr>
              <w:t xml:space="preserve"> y </w:t>
            </w:r>
            <w:r w:rsidRPr="0099169E">
              <w:t>(MWh/yr)</w:t>
            </w:r>
          </w:p>
        </w:tc>
      </w:tr>
      <w:tr w:rsidR="004334D2" w14:paraId="7FB8D3B3" w14:textId="77777777" w:rsidTr="007E5A9B">
        <w:tc>
          <w:tcPr>
            <w:tcW w:w="1701" w:type="dxa"/>
            <w:vAlign w:val="top"/>
          </w:tcPr>
          <w:p w14:paraId="2895F8AF" w14:textId="77777777" w:rsidR="004334D2" w:rsidRPr="0099169E"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EF</m:t>
                    </m:r>
                  </m:e>
                  <m:sub>
                    <m:r>
                      <w:rPr>
                        <w:rFonts w:ascii="Cambria Math" w:hAnsi="Cambria Math"/>
                      </w:rPr>
                      <m:t>EC,captive,y</m:t>
                    </m:r>
                  </m:sub>
                </m:sSub>
              </m:oMath>
            </m:oMathPara>
          </w:p>
        </w:tc>
        <w:tc>
          <w:tcPr>
            <w:tcW w:w="345" w:type="dxa"/>
            <w:vAlign w:val="top"/>
          </w:tcPr>
          <w:p w14:paraId="1C721A8F" w14:textId="77777777" w:rsidR="004334D2" w:rsidRDefault="004334D2" w:rsidP="00081FD4">
            <w:pPr>
              <w:pStyle w:val="SDMTableBoxParaNotNumbered"/>
            </w:pPr>
            <w:r>
              <w:t>=</w:t>
            </w:r>
          </w:p>
        </w:tc>
        <w:tc>
          <w:tcPr>
            <w:tcW w:w="0" w:type="auto"/>
            <w:vAlign w:val="top"/>
          </w:tcPr>
          <w:p w14:paraId="60719047" w14:textId="77777777" w:rsidR="004334D2" w:rsidRPr="0099169E" w:rsidRDefault="004334D2" w:rsidP="00081FD4">
            <w:pPr>
              <w:pStyle w:val="SDMTableBoxParaNotNumbered"/>
            </w:pPr>
            <w:r w:rsidRPr="0099169E">
              <w:t>Emission factor from the fossil fuel fired captive power plant in year</w:t>
            </w:r>
            <w:r w:rsidRPr="0099169E">
              <w:rPr>
                <w:i/>
              </w:rPr>
              <w:t xml:space="preserve"> y </w:t>
            </w:r>
            <w:r w:rsidRPr="0099169E">
              <w:t>(t CO</w:t>
            </w:r>
            <w:r w:rsidRPr="0099169E">
              <w:rPr>
                <w:vertAlign w:val="subscript"/>
              </w:rPr>
              <w:t>2</w:t>
            </w:r>
            <w:r w:rsidRPr="0099169E">
              <w:t>/MWh)</w:t>
            </w:r>
          </w:p>
        </w:tc>
      </w:tr>
    </w:tbl>
    <w:p w14:paraId="127F3180" w14:textId="5A77643F" w:rsidR="004334D2" w:rsidRPr="0073176B" w:rsidRDefault="004334D2" w:rsidP="00DA05CE">
      <w:pPr>
        <w:pStyle w:val="SDMPara"/>
        <w:keepNext/>
        <w:rPr>
          <w:iCs/>
        </w:rPr>
      </w:pPr>
      <w:r w:rsidRPr="0073176B">
        <w:rPr>
          <w:iCs/>
        </w:rPr>
        <w:t xml:space="preserve">Apply one of the following default values for </w:t>
      </w:r>
      <w:r w:rsidRPr="0073176B">
        <w:rPr>
          <w:i/>
        </w:rPr>
        <w:t>EF</w:t>
      </w:r>
      <w:r w:rsidRPr="0073176B">
        <w:rPr>
          <w:i/>
          <w:vertAlign w:val="subscript"/>
        </w:rPr>
        <w:t>EC,</w:t>
      </w:r>
      <w:r w:rsidRPr="0069640C">
        <w:rPr>
          <w:i/>
          <w:vertAlign w:val="subscript"/>
        </w:rPr>
        <w:t>grid,y</w:t>
      </w:r>
      <w:r w:rsidRPr="0069640C">
        <w:rPr>
          <w:iCs/>
        </w:rPr>
        <w:t>:</w:t>
      </w:r>
      <w:r w:rsidR="005D1489" w:rsidRPr="0069640C">
        <w:rPr>
          <w:rStyle w:val="FootnoteReference"/>
        </w:rPr>
        <w:t xml:space="preserve"> </w:t>
      </w:r>
      <w:r w:rsidR="005D1489" w:rsidRPr="0069640C">
        <w:rPr>
          <w:rStyle w:val="FootnoteReference"/>
        </w:rPr>
        <w:footnoteReference w:id="18"/>
      </w:r>
    </w:p>
    <w:p w14:paraId="349AB13A" w14:textId="77B9E0BE" w:rsidR="004334D2" w:rsidRPr="0073176B" w:rsidRDefault="004334D2" w:rsidP="00E66E80">
      <w:pPr>
        <w:pStyle w:val="SDMSubPara1"/>
      </w:pPr>
      <w:r w:rsidRPr="0073176B">
        <w:t>A default emission factor of 1.3 tCO</w:t>
      </w:r>
      <w:r w:rsidRPr="0073176B">
        <w:rPr>
          <w:vertAlign w:val="subscript"/>
        </w:rPr>
        <w:t>2</w:t>
      </w:r>
      <w:r w:rsidRPr="0073176B">
        <w:t>/MWh where the proportion of renewable and nuclear energy (excluding solar and wind) in the annual electricity generation is 33</w:t>
      </w:r>
      <w:r w:rsidR="0065365E">
        <w:t xml:space="preserve"> per cent</w:t>
      </w:r>
      <w:r w:rsidRPr="0073176B">
        <w:t xml:space="preserve"> or less for the latest year which data is available, or where its proportion is uncertain;</w:t>
      </w:r>
    </w:p>
    <w:p w14:paraId="2D8DBA9D" w14:textId="1D554876" w:rsidR="004334D2" w:rsidRPr="0073176B" w:rsidRDefault="004334D2" w:rsidP="00E66E80">
      <w:pPr>
        <w:pStyle w:val="SDMSubPara1"/>
      </w:pPr>
      <w:r w:rsidRPr="0073176B">
        <w:t xml:space="preserve">A default emission factor of 0.87 </w:t>
      </w:r>
      <w:r w:rsidR="00FD4844">
        <w:t>t</w:t>
      </w:r>
      <w:r w:rsidRPr="0073176B">
        <w:t>CO</w:t>
      </w:r>
      <w:r w:rsidRPr="0073176B">
        <w:rPr>
          <w:vertAlign w:val="subscript"/>
        </w:rPr>
        <w:t>2</w:t>
      </w:r>
      <w:r w:rsidRPr="0073176B">
        <w:t>/MWh</w:t>
      </w:r>
      <w:r>
        <w:t xml:space="preserve"> </w:t>
      </w:r>
      <w:r w:rsidRPr="0073176B">
        <w:t>where</w:t>
      </w:r>
      <w:r>
        <w:t xml:space="preserve"> </w:t>
      </w:r>
      <w:r w:rsidRPr="0073176B">
        <w:t>the proportion of renewable and nuclear energy (excluding solar and wind) in the annual electricity generation exceeds 33</w:t>
      </w:r>
      <w:r w:rsidR="0065365E">
        <w:t xml:space="preserve"> per cent</w:t>
      </w:r>
      <w:r w:rsidRPr="0073176B">
        <w:t xml:space="preserve"> but is less than 67</w:t>
      </w:r>
      <w:r w:rsidR="0065365E" w:rsidRPr="0065365E">
        <w:t xml:space="preserve"> </w:t>
      </w:r>
      <w:r w:rsidR="0065365E">
        <w:t>per cent</w:t>
      </w:r>
      <w:r w:rsidRPr="0073176B">
        <w:t xml:space="preserve"> for the latest year which data is available</w:t>
      </w:r>
      <w:r w:rsidR="00CA14CD">
        <w:t>;</w:t>
      </w:r>
    </w:p>
    <w:p w14:paraId="313CE9E2" w14:textId="64A8A959" w:rsidR="004334D2" w:rsidRPr="0073176B" w:rsidRDefault="004334D2" w:rsidP="00E66E80">
      <w:pPr>
        <w:pStyle w:val="SDMSubPara1"/>
      </w:pPr>
      <w:r w:rsidRPr="0073176B">
        <w:t xml:space="preserve">A default emission factor of 0.44 </w:t>
      </w:r>
      <w:r w:rsidR="00FD4844">
        <w:t>t</w:t>
      </w:r>
      <w:r w:rsidRPr="0073176B">
        <w:t>CO</w:t>
      </w:r>
      <w:r w:rsidRPr="0073176B">
        <w:rPr>
          <w:vertAlign w:val="subscript"/>
        </w:rPr>
        <w:t>2</w:t>
      </w:r>
      <w:r w:rsidRPr="0073176B">
        <w:t>/MWh for electricity sourced from the grid where the proportion of renewable and nuclear energy (excluding solar and wind) in the annual electricity generation exceeds 67</w:t>
      </w:r>
      <w:r w:rsidR="0065365E" w:rsidRPr="0065365E">
        <w:t xml:space="preserve"> </w:t>
      </w:r>
      <w:r w:rsidR="0065365E">
        <w:t>per cent</w:t>
      </w:r>
      <w:r w:rsidRPr="0073176B">
        <w:t xml:space="preserve"> for the latest year which data is available.</w:t>
      </w:r>
    </w:p>
    <w:p w14:paraId="4983ECC6" w14:textId="77777777" w:rsidR="00426CAE" w:rsidRDefault="004334D2" w:rsidP="00E66E80">
      <w:pPr>
        <w:pStyle w:val="SDMPara"/>
      </w:pPr>
      <w:r w:rsidRPr="00575E6D">
        <w:rPr>
          <w:iCs/>
        </w:rPr>
        <w:t>Apply a value of 1.3 tCO</w:t>
      </w:r>
      <w:r w:rsidRPr="00575E6D">
        <w:rPr>
          <w:iCs/>
          <w:vertAlign w:val="subscript"/>
        </w:rPr>
        <w:t>2</w:t>
      </w:r>
      <w:r w:rsidRPr="00575E6D">
        <w:rPr>
          <w:iCs/>
        </w:rPr>
        <w:t xml:space="preserve">/MWh for </w:t>
      </w:r>
      <w:r w:rsidRPr="00575E6D">
        <w:rPr>
          <w:i/>
        </w:rPr>
        <w:t>EF</w:t>
      </w:r>
      <w:r w:rsidRPr="00575E6D">
        <w:rPr>
          <w:i/>
          <w:vertAlign w:val="subscript"/>
        </w:rPr>
        <w:t>EC,captive,y</w:t>
      </w:r>
      <w:r w:rsidRPr="00575E6D">
        <w:t>.</w:t>
      </w:r>
    </w:p>
    <w:p w14:paraId="621CFBDE" w14:textId="383777E0" w:rsidR="004334D2" w:rsidRPr="00575E6D" w:rsidRDefault="004334D2" w:rsidP="00E66E80">
      <w:pPr>
        <w:pStyle w:val="SDMPara"/>
        <w:rPr>
          <w:iCs/>
        </w:rPr>
      </w:pPr>
      <w:r w:rsidRPr="00575E6D">
        <w:rPr>
          <w:iCs/>
        </w:rPr>
        <w:t xml:space="preserve">For the parameter </w:t>
      </w:r>
      <w:r w:rsidRPr="00575E6D">
        <w:rPr>
          <w:i/>
        </w:rPr>
        <w:t>F</w:t>
      </w:r>
      <w:r w:rsidRPr="00575E6D">
        <w:rPr>
          <w:i/>
          <w:vertAlign w:val="subscript"/>
        </w:rPr>
        <w:t>TDL,grid</w:t>
      </w:r>
      <w:r w:rsidRPr="00575E6D">
        <w:rPr>
          <w:iCs/>
        </w:rPr>
        <w:t>, apply a value of 1.25</w:t>
      </w:r>
      <w:r w:rsidRPr="0069640C">
        <w:rPr>
          <w:iCs/>
        </w:rPr>
        <w:t>.</w:t>
      </w:r>
      <w:r w:rsidR="0006339C" w:rsidRPr="0069640C">
        <w:rPr>
          <w:rStyle w:val="FootnoteReference"/>
          <w:iCs/>
        </w:rPr>
        <w:t xml:space="preserve"> </w:t>
      </w:r>
      <w:r w:rsidR="0006339C" w:rsidRPr="0069640C">
        <w:rPr>
          <w:rStyle w:val="FootnoteReference"/>
          <w:iCs/>
        </w:rPr>
        <w:footnoteReference w:id="19"/>
      </w:r>
    </w:p>
    <w:p w14:paraId="0CF761A6" w14:textId="213317C5" w:rsidR="004334D2" w:rsidRDefault="005704AC" w:rsidP="00CB4A5A">
      <w:pPr>
        <w:pStyle w:val="SDMHead3"/>
        <w:tabs>
          <w:tab w:val="clear" w:pos="709"/>
        </w:tabs>
        <w:ind w:left="426" w:hanging="426"/>
      </w:pPr>
      <w:bookmarkStart w:id="360" w:name="_Ref203669467"/>
      <w:bookmarkStart w:id="361" w:name="_Toc211555325"/>
      <w:bookmarkStart w:id="362" w:name="_Toc211598977"/>
      <w:bookmarkStart w:id="363" w:name="_Toc211599479"/>
      <w:bookmarkStart w:id="364" w:name="_Toc211612275"/>
      <w:bookmarkStart w:id="365" w:name="_Toc211614722"/>
      <w:bookmarkStart w:id="366" w:name="_Toc211614765"/>
      <w:r>
        <w:t>Project emissions</w:t>
      </w:r>
      <w:r w:rsidR="004334D2">
        <w:t xml:space="preserve"> from </w:t>
      </w:r>
      <w:r w:rsidR="003F6A07">
        <w:t xml:space="preserve">fossil fuel </w:t>
      </w:r>
      <w:r w:rsidR="004334D2">
        <w:t>consumption</w:t>
      </w:r>
      <w:bookmarkEnd w:id="360"/>
      <w:bookmarkEnd w:id="361"/>
      <w:bookmarkEnd w:id="362"/>
      <w:bookmarkEnd w:id="363"/>
      <w:bookmarkEnd w:id="364"/>
      <w:bookmarkEnd w:id="365"/>
      <w:bookmarkEnd w:id="366"/>
    </w:p>
    <w:p w14:paraId="0969C34C" w14:textId="6BC99847" w:rsidR="004334D2" w:rsidRPr="000C5FD6" w:rsidRDefault="00E62D45" w:rsidP="00DA05CE">
      <w:pPr>
        <w:pStyle w:val="SDMPara"/>
        <w:keepNext/>
      </w:pPr>
      <w:r>
        <w:t>This source of project emissions is calculated as follows</w:t>
      </w:r>
      <w:r w:rsidR="004334D2">
        <w:t>:</w:t>
      </w:r>
    </w:p>
    <w:tbl>
      <w:tblPr>
        <w:tblStyle w:val="SDMMethTableEquation"/>
        <w:tblW w:w="8760" w:type="dxa"/>
        <w:tblLook w:val="0600" w:firstRow="0" w:lastRow="0" w:firstColumn="0" w:lastColumn="0" w:noHBand="1" w:noVBand="1"/>
      </w:tblPr>
      <w:tblGrid>
        <w:gridCol w:w="7092"/>
        <w:gridCol w:w="1668"/>
      </w:tblGrid>
      <w:tr w:rsidR="004334D2" w:rsidRPr="00E32F75" w14:paraId="538A2B02" w14:textId="77777777" w:rsidTr="007E5A9B">
        <w:tc>
          <w:tcPr>
            <w:tcW w:w="7224" w:type="dxa"/>
          </w:tcPr>
          <w:p w14:paraId="3975F19C" w14:textId="1E7E02AF"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FC,y</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FC</m:t>
                            </m:r>
                          </m:e>
                          <m:sub>
                            <m:r>
                              <w:rPr>
                                <w:rFonts w:ascii="Cambria Math" w:hAnsi="Cambria Math"/>
                              </w:rPr>
                              <m:t>i,y</m:t>
                            </m:r>
                          </m:sub>
                        </m:sSub>
                        <m:r>
                          <w:rPr>
                            <w:rFonts w:ascii="Cambria Math" w:hAnsi="Cambria Math"/>
                          </w:rPr>
                          <m:t>×</m:t>
                        </m:r>
                        <m:sSub>
                          <m:sSubPr>
                            <m:ctrlPr>
                              <w:rPr>
                                <w:rFonts w:ascii="Cambria Math" w:hAnsi="Cambria Math"/>
                                <w:i/>
                              </w:rPr>
                            </m:ctrlPr>
                          </m:sSubPr>
                          <m:e>
                            <m:r>
                              <w:rPr>
                                <w:rFonts w:ascii="Cambria Math" w:hAnsi="Cambria Math"/>
                              </w:rPr>
                              <m:t>COEF</m:t>
                            </m:r>
                          </m:e>
                          <m:sub>
                            <m:r>
                              <w:rPr>
                                <w:rFonts w:ascii="Cambria Math" w:hAnsi="Cambria Math"/>
                              </w:rPr>
                              <m:t>i,y</m:t>
                            </m:r>
                          </m:sub>
                        </m:sSub>
                      </m:e>
                    </m:d>
                  </m:e>
                </m:nary>
              </m:oMath>
            </m:oMathPara>
          </w:p>
        </w:tc>
        <w:tc>
          <w:tcPr>
            <w:tcW w:w="1701" w:type="dxa"/>
          </w:tcPr>
          <w:p w14:paraId="7CC2AD95" w14:textId="77777777" w:rsidR="004334D2" w:rsidRPr="002B6960" w:rsidRDefault="004334D2" w:rsidP="00247E9F">
            <w:pPr>
              <w:pStyle w:val="SDMMethEquationNr"/>
              <w:numPr>
                <w:ilvl w:val="0"/>
                <w:numId w:val="4"/>
              </w:numPr>
            </w:pPr>
          </w:p>
        </w:tc>
      </w:tr>
    </w:tbl>
    <w:p w14:paraId="76A0CB8F"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5C0BF0" w14:paraId="75D3A384" w14:textId="77777777" w:rsidTr="007E5A9B">
        <w:tc>
          <w:tcPr>
            <w:tcW w:w="1701" w:type="dxa"/>
            <w:vAlign w:val="top"/>
          </w:tcPr>
          <w:p w14:paraId="4ECC5C94" w14:textId="77777777" w:rsidR="005C0BF0" w:rsidRPr="009E5527" w:rsidRDefault="00302468" w:rsidP="00081FD4">
            <w:pPr>
              <w:pStyle w:val="SDMTableBoxParaNotNumbered"/>
              <w:rPr>
                <w:b/>
                <w:bCs/>
              </w:rPr>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FC,y</m:t>
                    </m:r>
                  </m:sub>
                </m:sSub>
              </m:oMath>
            </m:oMathPara>
          </w:p>
        </w:tc>
        <w:tc>
          <w:tcPr>
            <w:tcW w:w="345" w:type="dxa"/>
            <w:vAlign w:val="top"/>
          </w:tcPr>
          <w:p w14:paraId="110867FE" w14:textId="77777777" w:rsidR="005C0BF0" w:rsidRDefault="005C0BF0" w:rsidP="00081FD4">
            <w:pPr>
              <w:pStyle w:val="SDMTableBoxParaNotNumbered"/>
            </w:pPr>
            <w:r>
              <w:t>=</w:t>
            </w:r>
          </w:p>
        </w:tc>
        <w:tc>
          <w:tcPr>
            <w:tcW w:w="0" w:type="auto"/>
            <w:vAlign w:val="top"/>
          </w:tcPr>
          <w:p w14:paraId="0A8A4708" w14:textId="77777777" w:rsidR="005C0BF0" w:rsidRDefault="005C0BF0" w:rsidP="00081FD4">
            <w:pPr>
              <w:pStyle w:val="SDMTableBoxParaNotNumbered"/>
            </w:pPr>
            <w:r>
              <w:t>Project emissions</w:t>
            </w:r>
            <w:r w:rsidRPr="000C5FD6">
              <w:t xml:space="preserve"> from </w:t>
            </w:r>
            <w:r>
              <w:t xml:space="preserve">fossil fuel </w:t>
            </w:r>
            <w:r w:rsidRPr="000C5FD6">
              <w:t xml:space="preserve">consumption due to the </w:t>
            </w:r>
            <w:r>
              <w:t>Article 6.4 activity</w:t>
            </w:r>
            <w:r w:rsidRPr="000C5FD6">
              <w:t xml:space="preserve"> for purpose</w:t>
            </w:r>
            <w:r>
              <w:t>s</w:t>
            </w:r>
            <w:r w:rsidRPr="000C5FD6">
              <w:t xml:space="preserve"> other than electricity generation in year </w:t>
            </w:r>
            <w:r w:rsidRPr="0007317B">
              <w:rPr>
                <w:i/>
                <w:iCs/>
              </w:rPr>
              <w:t>y</w:t>
            </w:r>
            <w:r w:rsidRPr="0007317B">
              <w:t xml:space="preserve"> </w:t>
            </w:r>
            <w:r w:rsidRPr="000C5FD6">
              <w:t>(tCO</w:t>
            </w:r>
            <w:r w:rsidRPr="0007317B">
              <w:rPr>
                <w:vertAlign w:val="subscript"/>
              </w:rPr>
              <w:t>2</w:t>
            </w:r>
            <w:r w:rsidRPr="00BD6668">
              <w:t>/</w:t>
            </w:r>
            <w:r>
              <w:t>year</w:t>
            </w:r>
            <w:r w:rsidRPr="000C5FD6">
              <w:t>)</w:t>
            </w:r>
          </w:p>
        </w:tc>
      </w:tr>
      <w:tr w:rsidR="004334D2" w14:paraId="2A831261" w14:textId="77777777" w:rsidTr="007E5A9B">
        <w:tc>
          <w:tcPr>
            <w:tcW w:w="1701" w:type="dxa"/>
            <w:vAlign w:val="top"/>
          </w:tcPr>
          <w:p w14:paraId="11AE1301" w14:textId="77777777" w:rsidR="004334D2" w:rsidRPr="00AE679D"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FC</m:t>
                    </m:r>
                  </m:e>
                  <m:sub>
                    <m:r>
                      <w:rPr>
                        <w:rFonts w:ascii="Cambria Math" w:hAnsi="Cambria Math"/>
                      </w:rPr>
                      <m:t>i,y</m:t>
                    </m:r>
                  </m:sub>
                </m:sSub>
              </m:oMath>
            </m:oMathPara>
          </w:p>
        </w:tc>
        <w:tc>
          <w:tcPr>
            <w:tcW w:w="345" w:type="dxa"/>
            <w:vAlign w:val="top"/>
          </w:tcPr>
          <w:p w14:paraId="5E1BD01F" w14:textId="77777777" w:rsidR="004334D2" w:rsidRDefault="004334D2" w:rsidP="00081FD4">
            <w:pPr>
              <w:pStyle w:val="SDMTableBoxParaNotNumbered"/>
            </w:pPr>
            <w:r>
              <w:t>=</w:t>
            </w:r>
          </w:p>
        </w:tc>
        <w:tc>
          <w:tcPr>
            <w:tcW w:w="0" w:type="auto"/>
            <w:vAlign w:val="top"/>
          </w:tcPr>
          <w:p w14:paraId="6C0C2F64" w14:textId="3E64232D" w:rsidR="004334D2" w:rsidRDefault="005C0BF0" w:rsidP="00081FD4">
            <w:pPr>
              <w:pStyle w:val="SDMTableBoxParaNotNumbered"/>
            </w:pPr>
            <w:r>
              <w:t>Q</w:t>
            </w:r>
            <w:r w:rsidR="004334D2">
              <w:t>uantity of fuel type</w:t>
            </w:r>
            <w:r w:rsidR="00CA14CD">
              <w:t> </w:t>
            </w:r>
            <w:r w:rsidR="004334D2" w:rsidRPr="00AE679D">
              <w:rPr>
                <w:i/>
                <w:iCs/>
              </w:rPr>
              <w:t>i</w:t>
            </w:r>
            <w:r w:rsidR="004334D2">
              <w:t xml:space="preserve"> combusted in process </w:t>
            </w:r>
            <w:r w:rsidR="004334D2" w:rsidRPr="00C81A64">
              <w:rPr>
                <w:i/>
                <w:iCs/>
              </w:rPr>
              <w:t>j</w:t>
            </w:r>
            <w:r w:rsidR="004334D2">
              <w:t xml:space="preserve"> during the year</w:t>
            </w:r>
            <w:r w:rsidR="00CA14CD">
              <w:t> </w:t>
            </w:r>
            <w:r w:rsidR="004334D2" w:rsidRPr="00AE679D">
              <w:rPr>
                <w:i/>
                <w:iCs/>
              </w:rPr>
              <w:t>y</w:t>
            </w:r>
            <w:r w:rsidR="004334D2">
              <w:t xml:space="preserve"> (mass or volume unit/year)</w:t>
            </w:r>
          </w:p>
        </w:tc>
      </w:tr>
      <w:tr w:rsidR="004334D2" w14:paraId="04C00876" w14:textId="77777777" w:rsidTr="007E5A9B">
        <w:tc>
          <w:tcPr>
            <w:tcW w:w="1701" w:type="dxa"/>
            <w:vAlign w:val="top"/>
          </w:tcPr>
          <w:p w14:paraId="0164E13E" w14:textId="77777777" w:rsidR="004334D2" w:rsidRPr="00EA2C8D"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COEF</m:t>
                    </m:r>
                  </m:e>
                  <m:sub>
                    <m:r>
                      <w:rPr>
                        <w:rFonts w:ascii="Cambria Math" w:hAnsi="Cambria Math"/>
                      </w:rPr>
                      <m:t>i,y</m:t>
                    </m:r>
                  </m:sub>
                </m:sSub>
              </m:oMath>
            </m:oMathPara>
          </w:p>
        </w:tc>
        <w:tc>
          <w:tcPr>
            <w:tcW w:w="345" w:type="dxa"/>
            <w:vAlign w:val="top"/>
          </w:tcPr>
          <w:p w14:paraId="1621BE60" w14:textId="77777777" w:rsidR="004334D2" w:rsidRDefault="004334D2" w:rsidP="00081FD4">
            <w:pPr>
              <w:pStyle w:val="SDMTableBoxParaNotNumbered"/>
            </w:pPr>
            <w:r>
              <w:t>=</w:t>
            </w:r>
          </w:p>
        </w:tc>
        <w:tc>
          <w:tcPr>
            <w:tcW w:w="0" w:type="auto"/>
            <w:vAlign w:val="top"/>
          </w:tcPr>
          <w:p w14:paraId="27911ADB" w14:textId="3BE84C5E" w:rsidR="004334D2" w:rsidRDefault="004334D2" w:rsidP="00081FD4">
            <w:pPr>
              <w:pStyle w:val="SDMTableBoxParaNotNumbered"/>
            </w:pPr>
            <w:r>
              <w:t>Is the CO</w:t>
            </w:r>
            <w:r w:rsidRPr="00EA2C8D">
              <w:rPr>
                <w:vertAlign w:val="subscript"/>
              </w:rPr>
              <w:t>2</w:t>
            </w:r>
            <w:r>
              <w:t xml:space="preserve"> emission coefficient of fuel type</w:t>
            </w:r>
            <w:r w:rsidR="00CA14CD">
              <w:t> </w:t>
            </w:r>
            <w:r w:rsidRPr="00EA2C8D">
              <w:rPr>
                <w:i/>
                <w:iCs/>
              </w:rPr>
              <w:t>i</w:t>
            </w:r>
            <w:r>
              <w:t xml:space="preserve"> in year</w:t>
            </w:r>
            <w:r w:rsidR="00CA14CD">
              <w:t> </w:t>
            </w:r>
            <w:r w:rsidRPr="00EA2C8D">
              <w:rPr>
                <w:i/>
                <w:iCs/>
              </w:rPr>
              <w:t>y</w:t>
            </w:r>
            <w:r>
              <w:t xml:space="preserve"> (tCO</w:t>
            </w:r>
            <w:r w:rsidRPr="00EA2C8D">
              <w:rPr>
                <w:vertAlign w:val="subscript"/>
              </w:rPr>
              <w:t>2</w:t>
            </w:r>
            <w:r>
              <w:t>/mass or volume unit)</w:t>
            </w:r>
          </w:p>
        </w:tc>
      </w:tr>
      <w:tr w:rsidR="004334D2" w14:paraId="0023C58E" w14:textId="77777777" w:rsidTr="007E5A9B">
        <w:tc>
          <w:tcPr>
            <w:tcW w:w="1701" w:type="dxa"/>
            <w:vAlign w:val="top"/>
          </w:tcPr>
          <w:p w14:paraId="561137DF" w14:textId="77777777" w:rsidR="004334D2" w:rsidRPr="00EA2C8D" w:rsidRDefault="004334D2" w:rsidP="00081FD4">
            <w:pPr>
              <w:pStyle w:val="SDMTableBoxParaNotNumbered"/>
            </w:pPr>
            <m:oMathPara>
              <m:oMathParaPr>
                <m:jc m:val="left"/>
              </m:oMathParaPr>
              <m:oMath>
                <m:r>
                  <w:rPr>
                    <w:rFonts w:ascii="Cambria Math" w:hAnsi="Cambria Math"/>
                  </w:rPr>
                  <m:t>i</m:t>
                </m:r>
              </m:oMath>
            </m:oMathPara>
          </w:p>
        </w:tc>
        <w:tc>
          <w:tcPr>
            <w:tcW w:w="345" w:type="dxa"/>
            <w:vAlign w:val="top"/>
          </w:tcPr>
          <w:p w14:paraId="6D995384" w14:textId="77777777" w:rsidR="004334D2" w:rsidRDefault="004334D2" w:rsidP="00081FD4">
            <w:pPr>
              <w:pStyle w:val="SDMTableBoxParaNotNumbered"/>
            </w:pPr>
            <w:r>
              <w:t>=</w:t>
            </w:r>
          </w:p>
        </w:tc>
        <w:tc>
          <w:tcPr>
            <w:tcW w:w="0" w:type="auto"/>
            <w:vAlign w:val="top"/>
          </w:tcPr>
          <w:p w14:paraId="2E25EDE2" w14:textId="59C68970" w:rsidR="004334D2" w:rsidRDefault="003F6A07" w:rsidP="00081FD4">
            <w:pPr>
              <w:pStyle w:val="SDMTableBoxParaNotNumbered"/>
            </w:pPr>
            <w:r>
              <w:t>F</w:t>
            </w:r>
            <w:r w:rsidR="004334D2">
              <w:t>uel types combusted</w:t>
            </w:r>
          </w:p>
        </w:tc>
      </w:tr>
    </w:tbl>
    <w:p w14:paraId="775E92E1" w14:textId="257B2F3D" w:rsidR="004334D2" w:rsidRDefault="004334D2" w:rsidP="00DA05CE">
      <w:pPr>
        <w:pStyle w:val="SDMPara"/>
        <w:keepNext/>
      </w:pPr>
      <w:r>
        <w:t>The CO</w:t>
      </w:r>
      <w:r w:rsidRPr="00B464A5">
        <w:rPr>
          <w:vertAlign w:val="subscript"/>
        </w:rPr>
        <w:t>2</w:t>
      </w:r>
      <w:r>
        <w:t xml:space="preserve"> emission coefficient (</w:t>
      </w:r>
      <m:oMath>
        <m:sSub>
          <m:sSubPr>
            <m:ctrlPr>
              <w:rPr>
                <w:rFonts w:ascii="Cambria Math" w:hAnsi="Cambria Math"/>
                <w:i/>
              </w:rPr>
            </m:ctrlPr>
          </m:sSubPr>
          <m:e>
            <m:r>
              <w:rPr>
                <w:rFonts w:ascii="Cambria Math" w:hAnsi="Cambria Math"/>
              </w:rPr>
              <m:t>COEF</m:t>
            </m:r>
          </m:e>
          <m:sub>
            <m:r>
              <w:rPr>
                <w:rFonts w:ascii="Cambria Math" w:hAnsi="Cambria Math"/>
              </w:rPr>
              <m:t>i,y</m:t>
            </m:r>
          </m:sub>
        </m:sSub>
      </m:oMath>
      <w:r>
        <w:t>) can be calculated using one of the following three options, depending on the availability of data on the fossil fuel type</w:t>
      </w:r>
      <w:r w:rsidR="00CA14CD">
        <w:t> </w:t>
      </w:r>
      <w:r w:rsidRPr="00F71A5B">
        <w:rPr>
          <w:i/>
          <w:iCs/>
        </w:rPr>
        <w:t>i</w:t>
      </w:r>
      <w:r>
        <w:t>, as follows:</w:t>
      </w:r>
    </w:p>
    <w:p w14:paraId="0235A7B9" w14:textId="5BF739D2" w:rsidR="004334D2" w:rsidRDefault="004334D2" w:rsidP="00DA05CE">
      <w:pPr>
        <w:pStyle w:val="SDMSubPara1"/>
        <w:keepNext/>
      </w:pPr>
      <w:r w:rsidRPr="00B464A5">
        <w:rPr>
          <w:u w:val="single"/>
        </w:rPr>
        <w:t>Option A</w:t>
      </w:r>
      <w:r>
        <w:rPr>
          <w:u w:val="single"/>
        </w:rPr>
        <w:t>.1</w:t>
      </w:r>
      <w:r w:rsidRPr="00B464A5">
        <w:rPr>
          <w:u w:val="single"/>
        </w:rPr>
        <w:t>:</w:t>
      </w:r>
      <w:r>
        <w:t xml:space="preserve"> Calculated based on the chemical composition of the fossil fuel type</w:t>
      </w:r>
      <w:r w:rsidR="00CA14CD">
        <w:t> </w:t>
      </w:r>
      <w:r w:rsidRPr="00F71A5B">
        <w:rPr>
          <w:i/>
          <w:iCs/>
        </w:rPr>
        <w:t>i</w:t>
      </w:r>
      <w:r>
        <w:t xml:space="preserve">, </w:t>
      </w:r>
      <w:r w:rsidRPr="004203E2">
        <w:rPr>
          <w:lang w:val="en-US"/>
        </w:rPr>
        <w:t>if</w:t>
      </w:r>
      <w:r>
        <w:rPr>
          <w:lang w:val="en-US"/>
        </w:rPr>
        <w:t xml:space="preserve"> </w:t>
      </w:r>
      <m:oMath>
        <m:sSub>
          <m:sSubPr>
            <m:ctrlPr>
              <w:rPr>
                <w:rFonts w:ascii="Cambria Math" w:hAnsi="Cambria Math"/>
                <w:i/>
              </w:rPr>
            </m:ctrlPr>
          </m:sSubPr>
          <m:e>
            <m:r>
              <w:rPr>
                <w:rFonts w:ascii="Cambria Math" w:hAnsi="Cambria Math"/>
              </w:rPr>
              <m:t>FC</m:t>
            </m:r>
          </m:e>
          <m:sub>
            <m:r>
              <w:rPr>
                <w:rFonts w:ascii="Cambria Math" w:hAnsi="Cambria Math"/>
              </w:rPr>
              <m:t>i,y</m:t>
            </m:r>
          </m:sub>
        </m:sSub>
      </m:oMath>
      <w:r>
        <w:rPr>
          <w:lang w:val="en-US"/>
        </w:rPr>
        <w:t>is measured in a mass unit</w:t>
      </w:r>
      <w:r>
        <w:t>:</w:t>
      </w:r>
    </w:p>
    <w:tbl>
      <w:tblPr>
        <w:tblStyle w:val="SDMMethTableEquation"/>
        <w:tblW w:w="8760" w:type="dxa"/>
        <w:tblLook w:val="0600" w:firstRow="0" w:lastRow="0" w:firstColumn="0" w:lastColumn="0" w:noHBand="1" w:noVBand="1"/>
      </w:tblPr>
      <w:tblGrid>
        <w:gridCol w:w="7091"/>
        <w:gridCol w:w="1669"/>
      </w:tblGrid>
      <w:tr w:rsidR="004334D2" w:rsidRPr="00F34436" w14:paraId="2721923E" w14:textId="77777777" w:rsidTr="007E5A9B">
        <w:tc>
          <w:tcPr>
            <w:tcW w:w="7091" w:type="dxa"/>
          </w:tcPr>
          <w:p w14:paraId="5F7007F2" w14:textId="67486FA3" w:rsidR="004334D2" w:rsidRPr="00F34436" w:rsidRDefault="00302468" w:rsidP="00E06D0C">
            <w:pPr>
              <w:pStyle w:val="SDMMethEquation"/>
              <w:rPr>
                <w:lang w:val="en-US"/>
              </w:rPr>
            </w:pPr>
            <m:oMath>
              <m:sSub>
                <m:sSubPr>
                  <m:ctrlPr>
                    <w:rPr>
                      <w:rFonts w:ascii="Cambria Math" w:hAnsi="Cambria Math"/>
                      <w:i/>
                    </w:rPr>
                  </m:ctrlPr>
                </m:sSubPr>
                <m:e>
                  <m:r>
                    <w:rPr>
                      <w:rFonts w:ascii="Cambria Math" w:hAnsi="Cambria Math"/>
                    </w:rPr>
                    <m:t>COEF</m:t>
                  </m:r>
                </m:e>
                <m:sub>
                  <m:r>
                    <w:rPr>
                      <w:rFonts w:ascii="Cambria Math" w:hAnsi="Cambria Math"/>
                    </w:rPr>
                    <m:t>i</m:t>
                  </m:r>
                  <m:r>
                    <w:rPr>
                      <w:rFonts w:ascii="Cambria Math" w:hAnsi="Cambria Math"/>
                      <w:lang w:val="en-US"/>
                    </w:rPr>
                    <m:t>,</m:t>
                  </m:r>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rPr>
                    <m:t>w</m:t>
                  </m:r>
                </m:e>
                <m:sub>
                  <m:r>
                    <w:rPr>
                      <w:rFonts w:ascii="Cambria Math" w:hAnsi="Cambria Math"/>
                    </w:rPr>
                    <m:t>c,i</m:t>
                  </m:r>
                  <m:r>
                    <w:rPr>
                      <w:rFonts w:ascii="Cambria Math" w:hAnsi="Cambria Math"/>
                      <w:lang w:val="en-US"/>
                    </w:rPr>
                    <m:t>,</m:t>
                  </m:r>
                  <m:r>
                    <w:rPr>
                      <w:rFonts w:ascii="Cambria Math" w:hAnsi="Cambria Math"/>
                    </w:rPr>
                    <m:t>y</m:t>
                  </m:r>
                </m:sub>
              </m:sSub>
              <m:r>
                <w:rPr>
                  <w:rFonts w:ascii="Cambria Math" w:hAnsi="Cambria Math"/>
                  <w:lang w:val="en-US"/>
                </w:rPr>
                <m:t>×</m:t>
              </m:r>
              <m:r>
                <w:rPr>
                  <w:rFonts w:ascii="Cambria Math" w:hAnsi="Cambria Math"/>
                </w:rPr>
                <m:t>44/12×1.002</m:t>
              </m:r>
            </m:oMath>
            <w:r w:rsidR="004334D2" w:rsidRPr="00F34436">
              <w:rPr>
                <w:lang w:val="en-US"/>
              </w:rPr>
              <w:t xml:space="preserve"> </w:t>
            </w:r>
          </w:p>
        </w:tc>
        <w:tc>
          <w:tcPr>
            <w:tcW w:w="1669" w:type="dxa"/>
          </w:tcPr>
          <w:p w14:paraId="67EDC168" w14:textId="77777777" w:rsidR="004334D2" w:rsidRPr="00F34436" w:rsidRDefault="004334D2" w:rsidP="00247E9F">
            <w:pPr>
              <w:pStyle w:val="SDMMethEquationNr"/>
              <w:numPr>
                <w:ilvl w:val="0"/>
                <w:numId w:val="4"/>
              </w:numPr>
              <w:rPr>
                <w:lang w:val="en-US"/>
              </w:rPr>
            </w:pPr>
          </w:p>
        </w:tc>
      </w:tr>
    </w:tbl>
    <w:p w14:paraId="4DF417BC" w14:textId="7319282A" w:rsidR="004334D2" w:rsidRPr="00F34436" w:rsidRDefault="004334D2" w:rsidP="00DA05CE">
      <w:pPr>
        <w:pStyle w:val="SDMSubPara1"/>
        <w:keepNext/>
      </w:pPr>
      <w:r w:rsidRPr="00F34436">
        <w:rPr>
          <w:u w:val="single"/>
        </w:rPr>
        <w:t>Option A.2:</w:t>
      </w:r>
      <w:r w:rsidRPr="00F34436">
        <w:t xml:space="preserve"> Calculated based on the chemical composition of the fossil fuel type</w:t>
      </w:r>
      <w:r w:rsidR="00CA14CD">
        <w:t> </w:t>
      </w:r>
      <w:r w:rsidRPr="00F34436">
        <w:rPr>
          <w:i/>
          <w:iCs/>
        </w:rPr>
        <w:t>i</w:t>
      </w:r>
      <w:r w:rsidRPr="00F34436">
        <w:t xml:space="preserve">, </w:t>
      </w:r>
      <w:r w:rsidRPr="00F34436">
        <w:rPr>
          <w:lang w:val="en-US"/>
        </w:rPr>
        <w:t xml:space="preserve">if </w:t>
      </w:r>
      <m:oMath>
        <m:sSub>
          <m:sSubPr>
            <m:ctrlPr>
              <w:rPr>
                <w:rFonts w:ascii="Cambria Math" w:hAnsi="Cambria Math"/>
                <w:i/>
              </w:rPr>
            </m:ctrlPr>
          </m:sSubPr>
          <m:e>
            <m:r>
              <w:rPr>
                <w:rFonts w:ascii="Cambria Math" w:hAnsi="Cambria Math"/>
              </w:rPr>
              <m:t>FC</m:t>
            </m:r>
          </m:e>
          <m:sub>
            <m:r>
              <w:rPr>
                <w:rFonts w:ascii="Cambria Math" w:hAnsi="Cambria Math"/>
              </w:rPr>
              <m:t>i,y</m:t>
            </m:r>
          </m:sub>
        </m:sSub>
      </m:oMath>
      <w:r w:rsidRPr="00F34436">
        <w:rPr>
          <w:lang w:val="en-US"/>
        </w:rPr>
        <w:t xml:space="preserve">is measured </w:t>
      </w:r>
      <w:r w:rsidRPr="00F34436">
        <w:t>in</w:t>
      </w:r>
      <w:r w:rsidRPr="00F34436">
        <w:rPr>
          <w:lang w:val="en-US"/>
        </w:rPr>
        <w:t xml:space="preserve"> a volume unit</w:t>
      </w:r>
      <w:r w:rsidRPr="00F34436">
        <w:t>:</w:t>
      </w:r>
    </w:p>
    <w:tbl>
      <w:tblPr>
        <w:tblStyle w:val="SDMMethTableEquation"/>
        <w:tblW w:w="8760" w:type="dxa"/>
        <w:tblLook w:val="0600" w:firstRow="0" w:lastRow="0" w:firstColumn="0" w:lastColumn="0" w:noHBand="1" w:noVBand="1"/>
      </w:tblPr>
      <w:tblGrid>
        <w:gridCol w:w="7090"/>
        <w:gridCol w:w="1670"/>
      </w:tblGrid>
      <w:tr w:rsidR="004334D2" w:rsidRPr="00E32F75" w14:paraId="4ECB2E2E" w14:textId="77777777" w:rsidTr="007E5A9B">
        <w:tc>
          <w:tcPr>
            <w:tcW w:w="7224" w:type="dxa"/>
          </w:tcPr>
          <w:p w14:paraId="283F5E84" w14:textId="65CE3E80" w:rsidR="004334D2" w:rsidRPr="00F3443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COEF</m:t>
                    </m:r>
                  </m:e>
                  <m:sub>
                    <m:r>
                      <w:rPr>
                        <w:rFonts w:ascii="Cambria Math" w:hAnsi="Cambria Math"/>
                      </w:rPr>
                      <m:t>i</m:t>
                    </m:r>
                    <m:r>
                      <w:rPr>
                        <w:rFonts w:ascii="Cambria Math" w:hAnsi="Cambria Math"/>
                        <w:lang w:val="en-US"/>
                      </w:rPr>
                      <m:t>,</m:t>
                    </m:r>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rPr>
                      <m:t>w</m:t>
                    </m:r>
                  </m:e>
                  <m:sub>
                    <m:r>
                      <w:rPr>
                        <w:rFonts w:ascii="Cambria Math" w:hAnsi="Cambria Math"/>
                      </w:rPr>
                      <m:t>c,i</m:t>
                    </m:r>
                    <m:r>
                      <w:rPr>
                        <w:rFonts w:ascii="Cambria Math" w:hAnsi="Cambria Math"/>
                        <w:lang w:val="en-US"/>
                      </w:rPr>
                      <m:t>,</m:t>
                    </m:r>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rPr>
                      <m:t>ρ</m:t>
                    </m:r>
                  </m:e>
                  <m:sub>
                    <m:r>
                      <w:rPr>
                        <w:rFonts w:ascii="Cambria Math" w:hAnsi="Cambria Math"/>
                      </w:rPr>
                      <m:t>,i</m:t>
                    </m:r>
                    <m:r>
                      <w:rPr>
                        <w:rFonts w:ascii="Cambria Math" w:hAnsi="Cambria Math"/>
                        <w:lang w:val="en-US"/>
                      </w:rPr>
                      <m:t>,</m:t>
                    </m:r>
                    <m:r>
                      <w:rPr>
                        <w:rFonts w:ascii="Cambria Math" w:hAnsi="Cambria Math"/>
                      </w:rPr>
                      <m:t>y</m:t>
                    </m:r>
                  </m:sub>
                </m:sSub>
                <m:r>
                  <w:rPr>
                    <w:rFonts w:ascii="Cambria Math" w:hAnsi="Cambria Math"/>
                    <w:lang w:val="en-US"/>
                  </w:rPr>
                  <m:t>×</m:t>
                </m:r>
                <m:r>
                  <w:rPr>
                    <w:rFonts w:ascii="Cambria Math" w:hAnsi="Cambria Math"/>
                  </w:rPr>
                  <m:t>44/12×1.002</m:t>
                </m:r>
              </m:oMath>
            </m:oMathPara>
          </w:p>
        </w:tc>
        <w:tc>
          <w:tcPr>
            <w:tcW w:w="1701" w:type="dxa"/>
          </w:tcPr>
          <w:p w14:paraId="2219B1EA" w14:textId="77777777" w:rsidR="004334D2" w:rsidRPr="00F34436" w:rsidRDefault="004334D2" w:rsidP="00247E9F">
            <w:pPr>
              <w:pStyle w:val="SDMMethEquationNr"/>
              <w:numPr>
                <w:ilvl w:val="0"/>
                <w:numId w:val="4"/>
              </w:numPr>
            </w:pPr>
          </w:p>
        </w:tc>
      </w:tr>
    </w:tbl>
    <w:p w14:paraId="63B7822F"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4334D2" w14:paraId="1F784DF8" w14:textId="77777777" w:rsidTr="007E5A9B">
        <w:tc>
          <w:tcPr>
            <w:tcW w:w="1701" w:type="dxa"/>
            <w:vAlign w:val="top"/>
          </w:tcPr>
          <w:p w14:paraId="120A3F5C" w14:textId="77777777" w:rsidR="004334D2" w:rsidRPr="00C62BC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w</m:t>
                    </m:r>
                  </m:e>
                  <m:sub>
                    <m:r>
                      <w:rPr>
                        <w:rFonts w:ascii="Cambria Math" w:hAnsi="Cambria Math"/>
                      </w:rPr>
                      <m:t>c,i</m:t>
                    </m:r>
                    <m:r>
                      <w:rPr>
                        <w:rFonts w:ascii="Cambria Math" w:hAnsi="Cambria Math"/>
                        <w:lang w:val="en-US"/>
                      </w:rPr>
                      <m:t>,</m:t>
                    </m:r>
                    <m:r>
                      <w:rPr>
                        <w:rFonts w:ascii="Cambria Math" w:hAnsi="Cambria Math"/>
                      </w:rPr>
                      <m:t>y</m:t>
                    </m:r>
                  </m:sub>
                </m:sSub>
              </m:oMath>
            </m:oMathPara>
          </w:p>
        </w:tc>
        <w:tc>
          <w:tcPr>
            <w:tcW w:w="345" w:type="dxa"/>
            <w:vAlign w:val="top"/>
          </w:tcPr>
          <w:p w14:paraId="2E2D70AF" w14:textId="77777777" w:rsidR="004334D2" w:rsidRDefault="004334D2" w:rsidP="00081FD4">
            <w:pPr>
              <w:pStyle w:val="SDMTableBoxParaNotNumbered"/>
            </w:pPr>
            <w:r>
              <w:t>=</w:t>
            </w:r>
          </w:p>
        </w:tc>
        <w:tc>
          <w:tcPr>
            <w:tcW w:w="0" w:type="auto"/>
            <w:vAlign w:val="top"/>
          </w:tcPr>
          <w:p w14:paraId="2048AF43" w14:textId="75E99F01" w:rsidR="004334D2" w:rsidRDefault="004334D2" w:rsidP="00081FD4">
            <w:pPr>
              <w:pStyle w:val="SDMTableBoxParaNotNumbered"/>
            </w:pPr>
            <w:r>
              <w:t>Mass fraction of carbon in fuel type</w:t>
            </w:r>
            <w:r w:rsidR="00CA14CD">
              <w:t> </w:t>
            </w:r>
            <w:r w:rsidRPr="006A030B">
              <w:rPr>
                <w:i/>
                <w:iCs/>
              </w:rPr>
              <w:t>i</w:t>
            </w:r>
            <w:r>
              <w:t xml:space="preserve"> in year</w:t>
            </w:r>
            <w:r w:rsidR="00CA14CD">
              <w:t> </w:t>
            </w:r>
            <w:r w:rsidRPr="006A030B">
              <w:rPr>
                <w:i/>
                <w:iCs/>
              </w:rPr>
              <w:t>y</w:t>
            </w:r>
            <w:r>
              <w:t xml:space="preserve"> (t</w:t>
            </w:r>
            <w:r w:rsidR="003F6A07">
              <w:t>C</w:t>
            </w:r>
            <w:r>
              <w:t>/mass unit of the fuel)</w:t>
            </w:r>
          </w:p>
        </w:tc>
      </w:tr>
      <w:tr w:rsidR="004334D2" w14:paraId="58D2684E" w14:textId="77777777" w:rsidTr="007E5A9B">
        <w:tc>
          <w:tcPr>
            <w:tcW w:w="1701" w:type="dxa"/>
            <w:vAlign w:val="top"/>
          </w:tcPr>
          <w:p w14:paraId="6553F883" w14:textId="77777777" w:rsidR="004334D2" w:rsidRPr="00C62BC6"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ρ</m:t>
                    </m:r>
                  </m:e>
                  <m:sub>
                    <m:r>
                      <w:rPr>
                        <w:rFonts w:ascii="Cambria Math" w:hAnsi="Cambria Math"/>
                      </w:rPr>
                      <m:t>,i</m:t>
                    </m:r>
                    <m:r>
                      <w:rPr>
                        <w:rFonts w:ascii="Cambria Math" w:hAnsi="Cambria Math"/>
                        <w:lang w:val="en-US"/>
                      </w:rPr>
                      <m:t>,</m:t>
                    </m:r>
                    <m:r>
                      <w:rPr>
                        <w:rFonts w:ascii="Cambria Math" w:hAnsi="Cambria Math"/>
                      </w:rPr>
                      <m:t>y</m:t>
                    </m:r>
                  </m:sub>
                </m:sSub>
              </m:oMath>
            </m:oMathPara>
          </w:p>
        </w:tc>
        <w:tc>
          <w:tcPr>
            <w:tcW w:w="345" w:type="dxa"/>
            <w:vAlign w:val="top"/>
          </w:tcPr>
          <w:p w14:paraId="61719620" w14:textId="77777777" w:rsidR="004334D2" w:rsidRDefault="004334D2" w:rsidP="00081FD4">
            <w:pPr>
              <w:pStyle w:val="SDMTableBoxParaNotNumbered"/>
            </w:pPr>
            <w:r>
              <w:t>=</w:t>
            </w:r>
          </w:p>
        </w:tc>
        <w:tc>
          <w:tcPr>
            <w:tcW w:w="0" w:type="auto"/>
            <w:vAlign w:val="top"/>
          </w:tcPr>
          <w:p w14:paraId="5D992FFA" w14:textId="133007E9" w:rsidR="004334D2" w:rsidRDefault="004334D2" w:rsidP="00081FD4">
            <w:pPr>
              <w:pStyle w:val="SDMTableBoxParaNotNumbered"/>
            </w:pPr>
            <w:r>
              <w:t>Density of fuel type</w:t>
            </w:r>
            <w:r w:rsidR="00CA14CD">
              <w:t> </w:t>
            </w:r>
            <w:r w:rsidRPr="004C2D5A">
              <w:rPr>
                <w:i/>
                <w:iCs/>
              </w:rPr>
              <w:t>i</w:t>
            </w:r>
            <w:r>
              <w:t xml:space="preserve"> in year </w:t>
            </w:r>
            <w:r w:rsidRPr="004C2D5A">
              <w:rPr>
                <w:i/>
                <w:iCs/>
              </w:rPr>
              <w:t>y</w:t>
            </w:r>
            <w:r>
              <w:t xml:space="preserve"> (mass unit/volume unit of the fuel)</w:t>
            </w:r>
          </w:p>
        </w:tc>
      </w:tr>
      <w:tr w:rsidR="00D84315" w14:paraId="037C3A40" w14:textId="77777777" w:rsidTr="007E5A9B">
        <w:tc>
          <w:tcPr>
            <w:tcW w:w="1701" w:type="dxa"/>
            <w:vAlign w:val="top"/>
          </w:tcPr>
          <w:p w14:paraId="625A2A7D" w14:textId="14CC1445" w:rsidR="00D84315" w:rsidRDefault="00D84315" w:rsidP="00081FD4">
            <w:pPr>
              <w:pStyle w:val="SDMTableBoxParaNotNumbered"/>
            </w:pPr>
            <w:r>
              <w:t>1.002</w:t>
            </w:r>
          </w:p>
        </w:tc>
        <w:tc>
          <w:tcPr>
            <w:tcW w:w="345" w:type="dxa"/>
            <w:vAlign w:val="top"/>
          </w:tcPr>
          <w:p w14:paraId="381CF3F3" w14:textId="526AB807" w:rsidR="00D84315" w:rsidRDefault="00D84315" w:rsidP="00081FD4">
            <w:pPr>
              <w:pStyle w:val="SDMTableBoxParaNotNumbered"/>
            </w:pPr>
            <w:r>
              <w:t>=</w:t>
            </w:r>
          </w:p>
        </w:tc>
        <w:tc>
          <w:tcPr>
            <w:tcW w:w="0" w:type="auto"/>
            <w:vAlign w:val="top"/>
          </w:tcPr>
          <w:p w14:paraId="49C77264" w14:textId="4910444F" w:rsidR="00D84315" w:rsidRDefault="00D84315" w:rsidP="00081FD4">
            <w:pPr>
              <w:pStyle w:val="SDMTableBoxParaNotNumbered"/>
            </w:pPr>
            <w:r>
              <w:t xml:space="preserve">Factor to account </w:t>
            </w:r>
            <w:r w:rsidR="00203E65">
              <w:t>for</w:t>
            </w:r>
            <w:r>
              <w:t xml:space="preserve"> emissions of N</w:t>
            </w:r>
            <w:r w:rsidRPr="00D84315">
              <w:rPr>
                <w:vertAlign w:val="subscript"/>
              </w:rPr>
              <w:t>2</w:t>
            </w:r>
            <w:r>
              <w:t>O and CH</w:t>
            </w:r>
            <w:r w:rsidRPr="00D84315">
              <w:rPr>
                <w:vertAlign w:val="subscript"/>
              </w:rPr>
              <w:t>4</w:t>
            </w:r>
            <w:r w:rsidR="0037744F">
              <w:t xml:space="preserve"> from the combustion of the fossil fuel</w:t>
            </w:r>
          </w:p>
        </w:tc>
      </w:tr>
    </w:tbl>
    <w:p w14:paraId="1AF8540D" w14:textId="4C89F23C" w:rsidR="004334D2" w:rsidRDefault="004334D2" w:rsidP="00DA05CE">
      <w:pPr>
        <w:pStyle w:val="SDMSubPara1"/>
        <w:keepNext/>
      </w:pPr>
      <w:r w:rsidRPr="001C20C7">
        <w:rPr>
          <w:u w:val="single"/>
        </w:rPr>
        <w:t>Option B:</w:t>
      </w:r>
      <w:r>
        <w:t xml:space="preserve"> Calculated based on net calorific value and CO</w:t>
      </w:r>
      <w:r w:rsidRPr="00745F85">
        <w:rPr>
          <w:vertAlign w:val="subscript"/>
        </w:rPr>
        <w:t>2</w:t>
      </w:r>
      <w:r>
        <w:t xml:space="preserve"> emission factor of the fuel type</w:t>
      </w:r>
      <w:r w:rsidR="00CA14CD">
        <w:t> </w:t>
      </w:r>
      <w:r w:rsidRPr="00745F85">
        <w:rPr>
          <w:i/>
          <w:iCs/>
        </w:rPr>
        <w:t>i</w:t>
      </w:r>
      <w:r>
        <w:t>, as follows:</w:t>
      </w:r>
    </w:p>
    <w:tbl>
      <w:tblPr>
        <w:tblStyle w:val="SDMMethTableEquation"/>
        <w:tblW w:w="8760" w:type="dxa"/>
        <w:tblLook w:val="0600" w:firstRow="0" w:lastRow="0" w:firstColumn="0" w:lastColumn="0" w:noHBand="1" w:noVBand="1"/>
      </w:tblPr>
      <w:tblGrid>
        <w:gridCol w:w="7092"/>
        <w:gridCol w:w="1668"/>
      </w:tblGrid>
      <w:tr w:rsidR="004334D2" w:rsidRPr="00E32F75" w14:paraId="06C4D38D" w14:textId="77777777" w:rsidTr="007E5A9B">
        <w:tc>
          <w:tcPr>
            <w:tcW w:w="7224" w:type="dxa"/>
          </w:tcPr>
          <w:p w14:paraId="43BD36C9" w14:textId="77777777"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COEF</m:t>
                    </m:r>
                  </m:e>
                  <m:sub>
                    <m:r>
                      <w:rPr>
                        <w:rFonts w:ascii="Cambria Math" w:hAnsi="Cambria Math"/>
                      </w:rPr>
                      <m:t>i</m:t>
                    </m:r>
                    <m:r>
                      <w:rPr>
                        <w:rFonts w:ascii="Cambria Math" w:hAnsi="Cambria Math"/>
                        <w:lang w:val="en-US"/>
                      </w:rPr>
                      <m:t>,</m:t>
                    </m:r>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rPr>
                      <m:t>NCV</m:t>
                    </m:r>
                  </m:e>
                  <m:sub>
                    <m:r>
                      <w:rPr>
                        <w:rFonts w:ascii="Cambria Math" w:hAnsi="Cambria Math"/>
                      </w:rPr>
                      <m:t>i</m:t>
                    </m:r>
                    <m:r>
                      <w:rPr>
                        <w:rFonts w:ascii="Cambria Math" w:hAnsi="Cambria Math"/>
                        <w:lang w:val="en-US"/>
                      </w:rPr>
                      <m:t>,</m:t>
                    </m:r>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rPr>
                      <m:t>EF</m:t>
                    </m:r>
                  </m:e>
                  <m:sub>
                    <m:r>
                      <w:rPr>
                        <w:rFonts w:ascii="Cambria Math" w:hAnsi="Cambria Math"/>
                      </w:rPr>
                      <m:t>CO2e,i</m:t>
                    </m:r>
                    <m:r>
                      <w:rPr>
                        <w:rFonts w:ascii="Cambria Math" w:hAnsi="Cambria Math"/>
                        <w:lang w:val="en-US"/>
                      </w:rPr>
                      <m:t>,</m:t>
                    </m:r>
                    <m:r>
                      <w:rPr>
                        <w:rFonts w:ascii="Cambria Math" w:hAnsi="Cambria Math"/>
                      </w:rPr>
                      <m:t>y</m:t>
                    </m:r>
                  </m:sub>
                </m:sSub>
              </m:oMath>
            </m:oMathPara>
          </w:p>
        </w:tc>
        <w:tc>
          <w:tcPr>
            <w:tcW w:w="1701" w:type="dxa"/>
          </w:tcPr>
          <w:p w14:paraId="4CEBA279" w14:textId="77777777" w:rsidR="004334D2" w:rsidRPr="002B6960" w:rsidRDefault="004334D2" w:rsidP="00247E9F">
            <w:pPr>
              <w:pStyle w:val="SDMMethEquationNr"/>
              <w:numPr>
                <w:ilvl w:val="0"/>
                <w:numId w:val="4"/>
              </w:numPr>
            </w:pPr>
          </w:p>
        </w:tc>
      </w:tr>
    </w:tbl>
    <w:p w14:paraId="47F488A9"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4334D2" w14:paraId="4F43DBAC" w14:textId="77777777" w:rsidTr="007E5A9B">
        <w:tc>
          <w:tcPr>
            <w:tcW w:w="1701" w:type="dxa"/>
            <w:vAlign w:val="top"/>
          </w:tcPr>
          <w:p w14:paraId="0B2B9D54" w14:textId="77777777" w:rsidR="004334D2" w:rsidRPr="002E4813"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NCV</m:t>
                    </m:r>
                  </m:e>
                  <m:sub>
                    <m:r>
                      <w:rPr>
                        <w:rFonts w:ascii="Cambria Math" w:hAnsi="Cambria Math"/>
                      </w:rPr>
                      <m:t>i</m:t>
                    </m:r>
                    <m:r>
                      <w:rPr>
                        <w:rFonts w:ascii="Cambria Math" w:hAnsi="Cambria Math"/>
                        <w:lang w:val="en-US"/>
                      </w:rPr>
                      <m:t>,</m:t>
                    </m:r>
                    <m:r>
                      <w:rPr>
                        <w:rFonts w:ascii="Cambria Math" w:hAnsi="Cambria Math"/>
                      </w:rPr>
                      <m:t>y</m:t>
                    </m:r>
                  </m:sub>
                </m:sSub>
              </m:oMath>
            </m:oMathPara>
          </w:p>
        </w:tc>
        <w:tc>
          <w:tcPr>
            <w:tcW w:w="345" w:type="dxa"/>
            <w:vAlign w:val="top"/>
          </w:tcPr>
          <w:p w14:paraId="233F6281" w14:textId="77777777" w:rsidR="004334D2" w:rsidRDefault="004334D2" w:rsidP="00081FD4">
            <w:pPr>
              <w:pStyle w:val="SDMTableBoxParaNotNumbered"/>
            </w:pPr>
            <w:r>
              <w:t>=</w:t>
            </w:r>
          </w:p>
        </w:tc>
        <w:tc>
          <w:tcPr>
            <w:tcW w:w="0" w:type="auto"/>
            <w:vAlign w:val="top"/>
          </w:tcPr>
          <w:p w14:paraId="51B2B12D" w14:textId="77777777" w:rsidR="004334D2" w:rsidRDefault="004334D2" w:rsidP="00081FD4">
            <w:pPr>
              <w:pStyle w:val="SDMTableBoxParaNotNumbered"/>
            </w:pPr>
            <w:r>
              <w:t xml:space="preserve">Net calorific value of the fuel type </w:t>
            </w:r>
            <w:r w:rsidRPr="002E4813">
              <w:rPr>
                <w:i/>
                <w:iCs/>
              </w:rPr>
              <w:t>i</w:t>
            </w:r>
            <w:r>
              <w:t xml:space="preserve"> in year </w:t>
            </w:r>
            <w:r w:rsidRPr="002E4813">
              <w:rPr>
                <w:i/>
                <w:iCs/>
              </w:rPr>
              <w:t>y</w:t>
            </w:r>
            <w:r>
              <w:t xml:space="preserve"> (GJ/mass or volume unit)</w:t>
            </w:r>
          </w:p>
        </w:tc>
      </w:tr>
      <w:tr w:rsidR="004334D2" w14:paraId="1C33A2D7" w14:textId="77777777" w:rsidTr="007E5A9B">
        <w:tc>
          <w:tcPr>
            <w:tcW w:w="1701" w:type="dxa"/>
            <w:vAlign w:val="top"/>
          </w:tcPr>
          <w:p w14:paraId="794F2488" w14:textId="77777777" w:rsidR="004334D2" w:rsidRPr="002E4813"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CO2e,i</m:t>
                    </m:r>
                    <m:r>
                      <w:rPr>
                        <w:rFonts w:ascii="Cambria Math" w:hAnsi="Cambria Math"/>
                        <w:lang w:val="en-US"/>
                      </w:rPr>
                      <m:t>,</m:t>
                    </m:r>
                    <m:r>
                      <w:rPr>
                        <w:rFonts w:ascii="Cambria Math" w:hAnsi="Cambria Math"/>
                      </w:rPr>
                      <m:t>y</m:t>
                    </m:r>
                  </m:sub>
                </m:sSub>
              </m:oMath>
            </m:oMathPara>
          </w:p>
        </w:tc>
        <w:tc>
          <w:tcPr>
            <w:tcW w:w="345" w:type="dxa"/>
            <w:vAlign w:val="top"/>
          </w:tcPr>
          <w:p w14:paraId="6C396772" w14:textId="77777777" w:rsidR="004334D2" w:rsidRDefault="004334D2" w:rsidP="00081FD4">
            <w:pPr>
              <w:pStyle w:val="SDMTableBoxParaNotNumbered"/>
            </w:pPr>
            <w:r>
              <w:t>=</w:t>
            </w:r>
          </w:p>
        </w:tc>
        <w:tc>
          <w:tcPr>
            <w:tcW w:w="0" w:type="auto"/>
            <w:vAlign w:val="top"/>
          </w:tcPr>
          <w:p w14:paraId="71426BEF" w14:textId="23DE5B41" w:rsidR="004334D2" w:rsidRDefault="004334D2" w:rsidP="00081FD4">
            <w:pPr>
              <w:pStyle w:val="SDMTableBoxParaNotNumbered"/>
            </w:pPr>
            <w:r>
              <w:t>CO</w:t>
            </w:r>
            <w:r w:rsidRPr="002E4813">
              <w:rPr>
                <w:vertAlign w:val="subscript"/>
              </w:rPr>
              <w:t>2</w:t>
            </w:r>
            <w:r>
              <w:t xml:space="preserve"> emission factor of fuel type </w:t>
            </w:r>
            <w:r w:rsidRPr="002E4813">
              <w:rPr>
                <w:i/>
                <w:iCs/>
              </w:rPr>
              <w:t>i</w:t>
            </w:r>
            <w:r>
              <w:t xml:space="preserve"> in year </w:t>
            </w:r>
            <w:r w:rsidRPr="002E4813">
              <w:rPr>
                <w:i/>
                <w:iCs/>
              </w:rPr>
              <w:t>y</w:t>
            </w:r>
            <w:r>
              <w:t xml:space="preserve"> (tCO</w:t>
            </w:r>
            <w:r w:rsidRPr="00922FFE">
              <w:rPr>
                <w:vertAlign w:val="subscript"/>
              </w:rPr>
              <w:t>2</w:t>
            </w:r>
            <w:r w:rsidR="00781063" w:rsidRPr="00781063">
              <w:t>e</w:t>
            </w:r>
            <w:r>
              <w:t>/GJ)</w:t>
            </w:r>
          </w:p>
        </w:tc>
      </w:tr>
    </w:tbl>
    <w:p w14:paraId="03FAE50E" w14:textId="30CAD5C7" w:rsidR="004334D2" w:rsidRDefault="003F6A07" w:rsidP="00E66E80">
      <w:pPr>
        <w:pStyle w:val="SDMPara"/>
      </w:pPr>
      <w:r>
        <w:t xml:space="preserve">Activity participants shall use Options </w:t>
      </w:r>
      <w:r w:rsidR="004334D2">
        <w:t xml:space="preserve">A.1 </w:t>
      </w:r>
      <w:r>
        <w:t xml:space="preserve">or </w:t>
      </w:r>
      <w:r w:rsidR="004334D2">
        <w:t>A.2</w:t>
      </w:r>
      <w:r>
        <w:t xml:space="preserve">, unless they can demonstrate that the </w:t>
      </w:r>
      <w:r w:rsidR="004334D2">
        <w:t xml:space="preserve">necessary data are </w:t>
      </w:r>
      <w:r>
        <w:t>un</w:t>
      </w:r>
      <w:r w:rsidR="004334D2">
        <w:t>available.</w:t>
      </w:r>
      <w:r>
        <w:t xml:space="preserve"> If the necessary data are unavailable, activity participants may use Option B.</w:t>
      </w:r>
    </w:p>
    <w:p w14:paraId="4B32007C" w14:textId="525AC24C" w:rsidR="004334D2" w:rsidRDefault="005704AC" w:rsidP="0069640C">
      <w:pPr>
        <w:pStyle w:val="SDMHead3"/>
      </w:pPr>
      <w:bookmarkStart w:id="367" w:name="_Toc211555326"/>
      <w:bookmarkStart w:id="368" w:name="_Toc211598978"/>
      <w:bookmarkStart w:id="369" w:name="_Toc211599480"/>
      <w:bookmarkStart w:id="370" w:name="_Toc211612276"/>
      <w:bookmarkStart w:id="371" w:name="_Toc211614723"/>
      <w:bookmarkStart w:id="372" w:name="_Toc211614766"/>
      <w:r>
        <w:t>Project emissions</w:t>
      </w:r>
      <w:r w:rsidR="004334D2">
        <w:t xml:space="preserve"> from the </w:t>
      </w:r>
      <w:r w:rsidR="004334D2" w:rsidRPr="0069640C">
        <w:t>distribution</w:t>
      </w:r>
      <w:r w:rsidR="004334D2">
        <w:t xml:space="preserve"> of LFG or biomethane to consumers using trucks</w:t>
      </w:r>
      <w:bookmarkEnd w:id="367"/>
      <w:bookmarkEnd w:id="368"/>
      <w:bookmarkEnd w:id="369"/>
      <w:bookmarkEnd w:id="370"/>
      <w:bookmarkEnd w:id="371"/>
      <w:bookmarkEnd w:id="372"/>
    </w:p>
    <w:p w14:paraId="584969F1" w14:textId="5B724744" w:rsidR="004334D2" w:rsidRDefault="00E62D45" w:rsidP="00E66E80">
      <w:pPr>
        <w:pStyle w:val="SDMPara"/>
        <w:keepNext/>
      </w:pPr>
      <w:r>
        <w:t>This source of project emissions is</w:t>
      </w:r>
      <w:r w:rsidR="003F6A07">
        <w:t xml:space="preserve"> calculated as follows:</w:t>
      </w:r>
      <w:r w:rsidR="004334D2" w:rsidRPr="000C5FD6">
        <w:t xml:space="preserve"> </w:t>
      </w:r>
    </w:p>
    <w:tbl>
      <w:tblPr>
        <w:tblStyle w:val="SDMMethTableEquation"/>
        <w:tblW w:w="8760" w:type="dxa"/>
        <w:tblLook w:val="0600" w:firstRow="0" w:lastRow="0" w:firstColumn="0" w:lastColumn="0" w:noHBand="1" w:noVBand="1"/>
      </w:tblPr>
      <w:tblGrid>
        <w:gridCol w:w="7092"/>
        <w:gridCol w:w="1668"/>
      </w:tblGrid>
      <w:tr w:rsidR="004334D2" w:rsidRPr="00E32F75" w14:paraId="1DAA10A7" w14:textId="77777777" w:rsidTr="007E5A9B">
        <w:tc>
          <w:tcPr>
            <w:tcW w:w="7224" w:type="dxa"/>
          </w:tcPr>
          <w:p w14:paraId="137214AD" w14:textId="47DC4F02"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DT,y</m:t>
                    </m:r>
                  </m:sub>
                </m:sSub>
                <m:r>
                  <w:rPr>
                    <w:rFonts w:ascii="Cambria Math" w:hAnsi="Cambria Math"/>
                  </w:rPr>
                  <m:t xml:space="preserve">= </m:t>
                </m:r>
                <m:sSub>
                  <m:sSubPr>
                    <m:ctrlPr>
                      <w:rPr>
                        <w:rFonts w:ascii="Cambria Math" w:hAnsi="Cambria Math"/>
                        <w:i/>
                      </w:rPr>
                    </m:ctrlPr>
                  </m:sSubPr>
                  <m:e>
                    <m:r>
                      <w:rPr>
                        <w:rFonts w:ascii="Cambria Math" w:hAnsi="Cambria Math"/>
                      </w:rPr>
                      <m:t>PE</m:t>
                    </m:r>
                  </m:e>
                  <m:sub>
                    <m:r>
                      <w:rPr>
                        <w:rFonts w:ascii="Cambria Math" w:hAnsi="Cambria Math"/>
                      </w:rPr>
                      <m:t>TR,y</m:t>
                    </m:r>
                  </m:sub>
                </m:sSub>
                <m:r>
                  <w:rPr>
                    <w:rFonts w:ascii="Cambria Math" w:hAnsi="Cambria Math"/>
                  </w:rPr>
                  <m:t>+</m:t>
                </m:r>
                <m:sSub>
                  <m:sSubPr>
                    <m:ctrlPr>
                      <w:rPr>
                        <w:rFonts w:ascii="Cambria Math" w:hAnsi="Cambria Math"/>
                        <w:i/>
                      </w:rPr>
                    </m:ctrlPr>
                  </m:sSubPr>
                  <m:e>
                    <m:r>
                      <w:rPr>
                        <w:rFonts w:ascii="Cambria Math" w:hAnsi="Cambria Math"/>
                      </w:rPr>
                      <m:t>PE</m:t>
                    </m:r>
                  </m:e>
                  <m:sub>
                    <m:r>
                      <w:rPr>
                        <w:rFonts w:ascii="Cambria Math" w:hAnsi="Cambria Math"/>
                      </w:rPr>
                      <m:t>leaks,y</m:t>
                    </m:r>
                  </m:sub>
                </m:sSub>
              </m:oMath>
            </m:oMathPara>
          </w:p>
        </w:tc>
        <w:tc>
          <w:tcPr>
            <w:tcW w:w="1701" w:type="dxa"/>
          </w:tcPr>
          <w:p w14:paraId="1A8FE753" w14:textId="77777777" w:rsidR="004334D2" w:rsidRPr="002B6960" w:rsidRDefault="004334D2" w:rsidP="00247E9F">
            <w:pPr>
              <w:pStyle w:val="SDMMethEquationNr"/>
              <w:numPr>
                <w:ilvl w:val="0"/>
                <w:numId w:val="4"/>
              </w:numPr>
            </w:pPr>
          </w:p>
        </w:tc>
      </w:tr>
    </w:tbl>
    <w:p w14:paraId="204DA4AC"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3F6A07" w14:paraId="05466B45" w14:textId="77777777" w:rsidTr="007E5A9B">
        <w:tc>
          <w:tcPr>
            <w:tcW w:w="1701" w:type="dxa"/>
            <w:vAlign w:val="top"/>
          </w:tcPr>
          <w:p w14:paraId="1B7C6E23" w14:textId="0C3788C1" w:rsidR="003F6A07" w:rsidRPr="00147808"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DT,y</m:t>
                    </m:r>
                  </m:sub>
                </m:sSub>
              </m:oMath>
            </m:oMathPara>
          </w:p>
        </w:tc>
        <w:tc>
          <w:tcPr>
            <w:tcW w:w="345" w:type="dxa"/>
            <w:vAlign w:val="top"/>
          </w:tcPr>
          <w:p w14:paraId="0F99E4D2" w14:textId="32A72210" w:rsidR="003F6A07" w:rsidRDefault="003F6A07" w:rsidP="00081FD4">
            <w:pPr>
              <w:pStyle w:val="SDMTableBoxParaNotNumbered"/>
            </w:pPr>
            <w:r>
              <w:t>=</w:t>
            </w:r>
          </w:p>
        </w:tc>
        <w:tc>
          <w:tcPr>
            <w:tcW w:w="0" w:type="auto"/>
            <w:vAlign w:val="top"/>
          </w:tcPr>
          <w:p w14:paraId="1DEC174B" w14:textId="610033F9" w:rsidR="003F6A07" w:rsidDel="005704AC" w:rsidRDefault="003F6A07" w:rsidP="00081FD4">
            <w:pPr>
              <w:pStyle w:val="SDMTableBoxParaNotNumbered"/>
            </w:pPr>
            <w:r>
              <w:t>Project emissions from the distribution of LFG or biomethane using trucks (tCO</w:t>
            </w:r>
            <w:r w:rsidRPr="00BF404E">
              <w:rPr>
                <w:vertAlign w:val="subscript"/>
              </w:rPr>
              <w:t>2</w:t>
            </w:r>
            <w:r w:rsidRPr="00616F4B">
              <w:t>e</w:t>
            </w:r>
            <w:r>
              <w:t>/year)</w:t>
            </w:r>
          </w:p>
        </w:tc>
      </w:tr>
      <w:tr w:rsidR="004334D2" w14:paraId="2BC0CA88" w14:textId="77777777" w:rsidTr="007E5A9B">
        <w:tc>
          <w:tcPr>
            <w:tcW w:w="1701" w:type="dxa"/>
            <w:vAlign w:val="top"/>
          </w:tcPr>
          <w:p w14:paraId="5DB31155" w14:textId="7101DF43" w:rsidR="004334D2" w:rsidRPr="0010136E"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TR,y</m:t>
                    </m:r>
                  </m:sub>
                </m:sSub>
              </m:oMath>
            </m:oMathPara>
          </w:p>
        </w:tc>
        <w:tc>
          <w:tcPr>
            <w:tcW w:w="345" w:type="dxa"/>
            <w:vAlign w:val="top"/>
          </w:tcPr>
          <w:p w14:paraId="39ACC238" w14:textId="77777777" w:rsidR="004334D2" w:rsidRDefault="004334D2" w:rsidP="00081FD4">
            <w:pPr>
              <w:pStyle w:val="SDMTableBoxParaNotNumbered"/>
            </w:pPr>
            <w:r>
              <w:t>=</w:t>
            </w:r>
          </w:p>
        </w:tc>
        <w:tc>
          <w:tcPr>
            <w:tcW w:w="0" w:type="auto"/>
            <w:vAlign w:val="top"/>
          </w:tcPr>
          <w:p w14:paraId="33A3BE1A" w14:textId="20373CC9" w:rsidR="004334D2" w:rsidRDefault="005704AC" w:rsidP="00081FD4">
            <w:pPr>
              <w:pStyle w:val="SDMTableBoxParaNotNumbered"/>
            </w:pPr>
            <w:r>
              <w:t>Project emissions</w:t>
            </w:r>
            <w:r w:rsidR="004334D2">
              <w:t xml:space="preserve"> from the transportation of LFG or biomethane using trucks in year </w:t>
            </w:r>
            <w:r w:rsidR="004334D2" w:rsidRPr="00BF404E">
              <w:rPr>
                <w:i/>
                <w:iCs/>
              </w:rPr>
              <w:t>y</w:t>
            </w:r>
            <w:r w:rsidR="004334D2">
              <w:t xml:space="preserve"> (tCO</w:t>
            </w:r>
            <w:r w:rsidR="004334D2" w:rsidRPr="00BF404E">
              <w:rPr>
                <w:vertAlign w:val="subscript"/>
              </w:rPr>
              <w:t>2</w:t>
            </w:r>
            <w:r w:rsidR="004334D2">
              <w:t>/year)</w:t>
            </w:r>
          </w:p>
        </w:tc>
      </w:tr>
      <w:tr w:rsidR="004334D2" w14:paraId="5DB0A220" w14:textId="77777777" w:rsidTr="007E5A9B">
        <w:tc>
          <w:tcPr>
            <w:tcW w:w="1701" w:type="dxa"/>
            <w:vAlign w:val="top"/>
          </w:tcPr>
          <w:p w14:paraId="1E268A24" w14:textId="5149733C" w:rsidR="004334D2" w:rsidRPr="0010136E"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leaks,y</m:t>
                    </m:r>
                  </m:sub>
                </m:sSub>
              </m:oMath>
            </m:oMathPara>
          </w:p>
        </w:tc>
        <w:tc>
          <w:tcPr>
            <w:tcW w:w="345" w:type="dxa"/>
            <w:vAlign w:val="top"/>
          </w:tcPr>
          <w:p w14:paraId="478E4C89" w14:textId="77777777" w:rsidR="004334D2" w:rsidRDefault="004334D2" w:rsidP="00081FD4">
            <w:pPr>
              <w:pStyle w:val="SDMTableBoxParaNotNumbered"/>
            </w:pPr>
            <w:r>
              <w:t>=</w:t>
            </w:r>
          </w:p>
        </w:tc>
        <w:tc>
          <w:tcPr>
            <w:tcW w:w="0" w:type="auto"/>
            <w:vAlign w:val="top"/>
          </w:tcPr>
          <w:p w14:paraId="391B0C38" w14:textId="7B4FC74E" w:rsidR="004334D2" w:rsidRDefault="004334D2" w:rsidP="00081FD4">
            <w:pPr>
              <w:pStyle w:val="SDMTableBoxParaNotNumbered"/>
            </w:pPr>
            <w:r>
              <w:t>Emissions from CH</w:t>
            </w:r>
            <w:r w:rsidRPr="00BF404E">
              <w:rPr>
                <w:vertAlign w:val="subscript"/>
              </w:rPr>
              <w:t>4</w:t>
            </w:r>
            <w:r>
              <w:t xml:space="preserve"> leaks during the transportation of LFG or biomethane </w:t>
            </w:r>
            <w:r w:rsidR="00546032">
              <w:t xml:space="preserve">using trucks </w:t>
            </w:r>
            <w:r>
              <w:t xml:space="preserve">in year </w:t>
            </w:r>
            <w:r w:rsidRPr="00BF404E">
              <w:rPr>
                <w:i/>
                <w:iCs/>
              </w:rPr>
              <w:t>y</w:t>
            </w:r>
            <w:r>
              <w:t xml:space="preserve"> (tCO</w:t>
            </w:r>
            <w:r w:rsidRPr="00BF404E">
              <w:rPr>
                <w:vertAlign w:val="subscript"/>
              </w:rPr>
              <w:t>2</w:t>
            </w:r>
            <w:r w:rsidR="003F6A07" w:rsidRPr="003F6A07">
              <w:t>e</w:t>
            </w:r>
            <w:r>
              <w:t>/year)</w:t>
            </w:r>
          </w:p>
        </w:tc>
      </w:tr>
    </w:tbl>
    <w:p w14:paraId="5C488109" w14:textId="48D32B3D" w:rsidR="004334D2" w:rsidRDefault="004334D2" w:rsidP="00E66E80">
      <w:pPr>
        <w:pStyle w:val="SDMHead4"/>
      </w:pPr>
      <w:bookmarkStart w:id="373" w:name="_Ref210330999"/>
      <w:r>
        <w:t>Emissions from the transportation of LFG biomethane using trucks</w:t>
      </w:r>
      <w:bookmarkEnd w:id="373"/>
    </w:p>
    <w:p w14:paraId="77EDAE5B" w14:textId="69B0E5CF" w:rsidR="00E62D45" w:rsidRDefault="00AB2506" w:rsidP="00DA05CE">
      <w:pPr>
        <w:pStyle w:val="SDMPara"/>
        <w:keepNext/>
      </w:pPr>
      <w:r>
        <w:t>P</w:t>
      </w:r>
      <w:r w:rsidR="005704AC">
        <w:t>roject emissions</w:t>
      </w:r>
      <w:r w:rsidR="004334D2">
        <w:t xml:space="preserve"> </w:t>
      </w:r>
      <w:r w:rsidR="003F6A07">
        <w:t xml:space="preserve">from the transportation of LFG or biomethane </w:t>
      </w:r>
      <w:r w:rsidR="004334D2">
        <w:t xml:space="preserve">may be monitored using </w:t>
      </w:r>
      <w:r w:rsidR="003F6A07">
        <w:t xml:space="preserve">either of </w:t>
      </w:r>
      <w:r w:rsidR="00E62D45">
        <w:t>Option A or Option B</w:t>
      </w:r>
      <w:r>
        <w:t>:</w:t>
      </w:r>
    </w:p>
    <w:p w14:paraId="7DEAFD5B" w14:textId="5ABE8ED0" w:rsidR="00AB2506" w:rsidRDefault="004334D2" w:rsidP="00E66E80">
      <w:pPr>
        <w:pStyle w:val="SDMSubPara1"/>
      </w:pPr>
      <w:r>
        <w:t>Option A: Monitoring fuel consumption</w:t>
      </w:r>
      <w:r w:rsidR="00AB2506">
        <w:t xml:space="preserve">. </w:t>
      </w:r>
      <w:r w:rsidR="003F6A07">
        <w:t>Activity participants shall a</w:t>
      </w:r>
      <w:r>
        <w:t xml:space="preserve">pply the equations and requirements provided in section </w:t>
      </w:r>
      <w:r>
        <w:fldChar w:fldCharType="begin"/>
      </w:r>
      <w:r>
        <w:instrText xml:space="preserve"> REF _Ref203669467 \w \p \h </w:instrText>
      </w:r>
      <w:r>
        <w:fldChar w:fldCharType="separate"/>
      </w:r>
      <w:r w:rsidR="00302468">
        <w:rPr>
          <w:cs/>
        </w:rPr>
        <w:t>‎</w:t>
      </w:r>
      <w:r w:rsidR="00302468">
        <w:t>8.1.2 above</w:t>
      </w:r>
      <w:r>
        <w:fldChar w:fldCharType="end"/>
      </w:r>
      <w:r>
        <w:t xml:space="preserve"> to determine </w:t>
      </w:r>
      <m:oMath>
        <m:sSub>
          <m:sSubPr>
            <m:ctrlPr>
              <w:rPr>
                <w:rFonts w:ascii="Cambria Math" w:hAnsi="Cambria Math"/>
                <w:i/>
              </w:rPr>
            </m:ctrlPr>
          </m:sSubPr>
          <m:e>
            <m:r>
              <w:rPr>
                <w:rFonts w:ascii="Cambria Math" w:hAnsi="Cambria Math"/>
              </w:rPr>
              <m:t>PE</m:t>
            </m:r>
          </m:e>
          <m:sub>
            <m:r>
              <w:rPr>
                <w:rFonts w:ascii="Cambria Math" w:hAnsi="Cambria Math"/>
              </w:rPr>
              <m:t>TR,y</m:t>
            </m:r>
          </m:sub>
        </m:sSub>
      </m:oMath>
      <w:r>
        <w:t>.</w:t>
      </w:r>
      <w:r w:rsidR="00AB2506">
        <w:t xml:space="preserve"> None of the other provisions of this section </w:t>
      </w:r>
      <w:r w:rsidR="00AB2506">
        <w:fldChar w:fldCharType="begin"/>
      </w:r>
      <w:r w:rsidR="00AB2506">
        <w:instrText xml:space="preserve"> REF _Ref210330999 \r \h </w:instrText>
      </w:r>
      <w:r w:rsidR="00AB2506">
        <w:fldChar w:fldCharType="separate"/>
      </w:r>
      <w:r w:rsidR="00302468">
        <w:rPr>
          <w:cs/>
        </w:rPr>
        <w:t>‎</w:t>
      </w:r>
      <w:r w:rsidR="00302468">
        <w:t>8.1.3.1</w:t>
      </w:r>
      <w:r w:rsidR="00AB2506">
        <w:fldChar w:fldCharType="end"/>
      </w:r>
      <w:r w:rsidR="00AB2506">
        <w:t xml:space="preserve"> shall apply</w:t>
      </w:r>
      <w:r w:rsidR="00CA14CD">
        <w:t>;</w:t>
      </w:r>
    </w:p>
    <w:p w14:paraId="005EEA9A" w14:textId="64FD9C8F" w:rsidR="004334D2" w:rsidRDefault="004334D2" w:rsidP="00E66E80">
      <w:pPr>
        <w:pStyle w:val="SDMSubPara1"/>
      </w:pPr>
      <w:r>
        <w:t>Option B: Using conservative default values</w:t>
      </w:r>
      <w:r w:rsidR="00AB2506">
        <w:t xml:space="preserve">. Activity participants shall apply the rest of the provisions of this section </w:t>
      </w:r>
      <w:r w:rsidR="00AB2506">
        <w:fldChar w:fldCharType="begin"/>
      </w:r>
      <w:r w:rsidR="00AB2506">
        <w:instrText xml:space="preserve"> REF _Ref210330999 \r \h </w:instrText>
      </w:r>
      <w:r w:rsidR="00AB2506">
        <w:fldChar w:fldCharType="separate"/>
      </w:r>
      <w:r w:rsidR="00302468">
        <w:rPr>
          <w:cs/>
        </w:rPr>
        <w:t>‎</w:t>
      </w:r>
      <w:r w:rsidR="00302468">
        <w:t>8.1.3.1</w:t>
      </w:r>
      <w:r w:rsidR="00AB2506">
        <w:fldChar w:fldCharType="end"/>
      </w:r>
      <w:r w:rsidR="00AB2506">
        <w:t>.</w:t>
      </w:r>
    </w:p>
    <w:p w14:paraId="3BFEEE1D" w14:textId="262A1C24" w:rsidR="004334D2" w:rsidRDefault="00AB2506" w:rsidP="00DA05CE">
      <w:pPr>
        <w:pStyle w:val="SDMPara"/>
        <w:keepNext/>
      </w:pPr>
      <w:r>
        <w:t>For Option B, a</w:t>
      </w:r>
      <w:r w:rsidR="003F6A07">
        <w:t xml:space="preserve">ctivity participants shall use </w:t>
      </w:r>
      <w:r w:rsidR="004334D2">
        <w:t xml:space="preserve">conservative default emission factors to estimate project or leakage emissions from road transportation of freight. These default values </w:t>
      </w:r>
      <w:r w:rsidR="00E62D45">
        <w:t xml:space="preserve">shall be </w:t>
      </w:r>
      <w:r w:rsidR="004334D2">
        <w:t>established for two vehicle classes: light vehicles and heavy vehicles.</w:t>
      </w:r>
      <w:r>
        <w:t xml:space="preserve"> T</w:t>
      </w:r>
      <w:r w:rsidR="004334D2">
        <w:t xml:space="preserve">he following data shall be monitored separately for each freight transportation activity </w:t>
      </w:r>
      <w:r w:rsidR="004334D2" w:rsidRPr="00AB2506">
        <w:rPr>
          <w:i/>
          <w:iCs/>
        </w:rPr>
        <w:t>f</w:t>
      </w:r>
      <w:r w:rsidR="004334D2">
        <w:t xml:space="preserve"> to estimate the emissions:</w:t>
      </w:r>
    </w:p>
    <w:p w14:paraId="3E0198F0" w14:textId="77777777" w:rsidR="004334D2" w:rsidRDefault="004334D2" w:rsidP="00E66E80">
      <w:pPr>
        <w:pStyle w:val="SDMSubPara1"/>
      </w:pPr>
      <w:r>
        <w:t xml:space="preserve">The quantity of freight transported in year </w:t>
      </w:r>
      <w:r w:rsidRPr="00D957D8">
        <w:rPr>
          <w:i/>
          <w:iCs/>
        </w:rPr>
        <w:t>y</w:t>
      </w:r>
      <w:r>
        <w:t xml:space="preserve"> (</w:t>
      </w:r>
      <m:oMath>
        <m:sSub>
          <m:sSubPr>
            <m:ctrlPr>
              <w:rPr>
                <w:rFonts w:ascii="Cambria Math" w:hAnsi="Cambria Math"/>
                <w:i/>
              </w:rPr>
            </m:ctrlPr>
          </m:sSubPr>
          <m:e>
            <m:r>
              <w:rPr>
                <w:rFonts w:ascii="Cambria Math" w:hAnsi="Cambria Math"/>
              </w:rPr>
              <m:t>FR</m:t>
            </m:r>
          </m:e>
          <m:sub>
            <m:r>
              <w:rPr>
                <w:rFonts w:ascii="Cambria Math" w:hAnsi="Cambria Math"/>
              </w:rPr>
              <m:t>f,y</m:t>
            </m:r>
          </m:sub>
        </m:sSub>
      </m:oMath>
      <w:r w:rsidRPr="000C5FD6">
        <w:t>)</w:t>
      </w:r>
      <w:r>
        <w:t>;</w:t>
      </w:r>
    </w:p>
    <w:p w14:paraId="5E551730" w14:textId="77777777" w:rsidR="004334D2" w:rsidRDefault="004334D2" w:rsidP="00E66E80">
      <w:pPr>
        <w:pStyle w:val="SDMSubPara1"/>
      </w:pPr>
      <w:r>
        <w:t>The origin and destination of the freight transported and the road (or rail line) distance between the origin and the destination (</w:t>
      </w:r>
      <m:oMath>
        <m:sSub>
          <m:sSubPr>
            <m:ctrlPr>
              <w:rPr>
                <w:rFonts w:ascii="Cambria Math" w:hAnsi="Cambria Math"/>
                <w:i/>
              </w:rPr>
            </m:ctrlPr>
          </m:sSubPr>
          <m:e>
            <m:r>
              <w:rPr>
                <w:rFonts w:ascii="Cambria Math" w:hAnsi="Cambria Math"/>
              </w:rPr>
              <m:t>D</m:t>
            </m:r>
          </m:e>
          <m:sub>
            <m:r>
              <w:rPr>
                <w:rFonts w:ascii="Cambria Math" w:hAnsi="Cambria Math"/>
              </w:rPr>
              <m:t>f</m:t>
            </m:r>
          </m:sub>
        </m:sSub>
      </m:oMath>
      <w:r>
        <w:t>); and</w:t>
      </w:r>
    </w:p>
    <w:p w14:paraId="01676AC7" w14:textId="77777777" w:rsidR="004334D2" w:rsidRDefault="004334D2" w:rsidP="00E66E80">
      <w:pPr>
        <w:pStyle w:val="SDMSubPara1"/>
      </w:pPr>
      <w:r>
        <w:t>The vehicle class used, if the freight is transported by road.</w:t>
      </w:r>
    </w:p>
    <w:p w14:paraId="7777FBB4" w14:textId="710AF1F1" w:rsidR="004334D2" w:rsidRPr="000C5FD6" w:rsidRDefault="004334D2" w:rsidP="00735663">
      <w:pPr>
        <w:pStyle w:val="SDMPara"/>
      </w:pPr>
      <w:r>
        <w:t xml:space="preserve">The equation to calculate </w:t>
      </w:r>
      <m:oMath>
        <m:sSub>
          <m:sSubPr>
            <m:ctrlPr>
              <w:rPr>
                <w:rFonts w:ascii="Cambria Math" w:hAnsi="Cambria Math"/>
                <w:i/>
              </w:rPr>
            </m:ctrlPr>
          </m:sSubPr>
          <m:e>
            <m:r>
              <w:rPr>
                <w:rFonts w:ascii="Cambria Math" w:hAnsi="Cambria Math"/>
              </w:rPr>
              <m:t>PE</m:t>
            </m:r>
          </m:e>
          <m:sub>
            <m:r>
              <w:rPr>
                <w:rFonts w:ascii="Cambria Math" w:hAnsi="Cambria Math"/>
              </w:rPr>
              <m:t>TR,y</m:t>
            </m:r>
          </m:sub>
        </m:sSub>
      </m:oMath>
      <w:r>
        <w:t>shall be calculated as follows:</w:t>
      </w:r>
    </w:p>
    <w:tbl>
      <w:tblPr>
        <w:tblStyle w:val="SDMMethTableEquation"/>
        <w:tblW w:w="8760" w:type="dxa"/>
        <w:tblLook w:val="0600" w:firstRow="0" w:lastRow="0" w:firstColumn="0" w:lastColumn="0" w:noHBand="1" w:noVBand="1"/>
      </w:tblPr>
      <w:tblGrid>
        <w:gridCol w:w="6603"/>
        <w:gridCol w:w="2157"/>
      </w:tblGrid>
      <w:tr w:rsidR="004334D2" w:rsidRPr="000C5FD6" w14:paraId="03B565C3" w14:textId="77777777" w:rsidTr="007E5A9B">
        <w:tc>
          <w:tcPr>
            <w:tcW w:w="6603" w:type="dxa"/>
          </w:tcPr>
          <w:p w14:paraId="5100170F" w14:textId="5E9C1D74" w:rsidR="004334D2" w:rsidRPr="000C5FD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TR,y</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f</m:t>
                    </m:r>
                  </m:sub>
                  <m:sup/>
                  <m:e>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D</m:t>
                            </m:r>
                          </m:e>
                          <m:sub>
                            <m:r>
                              <w:rPr>
                                <w:rFonts w:ascii="Cambria Math" w:hAnsi="Cambria Math"/>
                              </w:rPr>
                              <m:t>f,i</m:t>
                            </m:r>
                          </m:sub>
                        </m:sSub>
                        <m:r>
                          <w:rPr>
                            <w:rFonts w:ascii="Cambria Math" w:hAnsi="Cambria Math"/>
                          </w:rPr>
                          <m:t>×</m:t>
                        </m:r>
                        <m:sSub>
                          <m:sSubPr>
                            <m:ctrlPr>
                              <w:rPr>
                                <w:rFonts w:ascii="Cambria Math" w:hAnsi="Cambria Math"/>
                                <w:i/>
                              </w:rPr>
                            </m:ctrlPr>
                          </m:sSubPr>
                          <m:e>
                            <m:r>
                              <w:rPr>
                                <w:rFonts w:ascii="Cambria Math" w:hAnsi="Cambria Math"/>
                              </w:rPr>
                              <m:t>FR</m:t>
                            </m:r>
                          </m:e>
                          <m:sub>
                            <m:r>
                              <w:rPr>
                                <w:rFonts w:ascii="Cambria Math" w:hAnsi="Cambria Math"/>
                              </w:rPr>
                              <m:t>f,i,y</m:t>
                            </m:r>
                          </m:sub>
                        </m:sSub>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CO2,f</m:t>
                            </m:r>
                          </m:sub>
                        </m:sSub>
                        <m:r>
                          <w:rPr>
                            <w:rFonts w:ascii="Cambria Math" w:hAnsi="Cambria Math"/>
                          </w:rPr>
                          <m:t>×</m:t>
                        </m:r>
                        <m:sSup>
                          <m:sSupPr>
                            <m:ctrlPr>
                              <w:rPr>
                                <w:rFonts w:ascii="Cambria Math" w:hAnsi="Cambria Math"/>
                                <w:i/>
                              </w:rPr>
                            </m:ctrlPr>
                          </m:sSupPr>
                          <m:e>
                            <m:r>
                              <w:rPr>
                                <w:rFonts w:ascii="Cambria Math" w:hAnsi="Cambria Math"/>
                              </w:rPr>
                              <m:t>10</m:t>
                            </m:r>
                          </m:e>
                          <m:sup>
                            <m:r>
                              <w:rPr>
                                <w:rFonts w:ascii="Cambria Math" w:hAnsi="Cambria Math"/>
                              </w:rPr>
                              <m:t>-6</m:t>
                            </m:r>
                          </m:sup>
                        </m:sSup>
                      </m:e>
                    </m:nary>
                  </m:e>
                </m:nary>
              </m:oMath>
            </m:oMathPara>
          </w:p>
        </w:tc>
        <w:tc>
          <w:tcPr>
            <w:tcW w:w="2157" w:type="dxa"/>
          </w:tcPr>
          <w:p w14:paraId="0B818AC5" w14:textId="77777777" w:rsidR="004334D2" w:rsidRPr="000C5FD6" w:rsidRDefault="004334D2" w:rsidP="00247E9F">
            <w:pPr>
              <w:pStyle w:val="SDMMethEquationNr"/>
              <w:numPr>
                <w:ilvl w:val="0"/>
                <w:numId w:val="7"/>
              </w:numPr>
            </w:pPr>
          </w:p>
        </w:tc>
      </w:tr>
    </w:tbl>
    <w:p w14:paraId="610D942C" w14:textId="77777777" w:rsidR="004334D2" w:rsidRPr="000C5FD6" w:rsidRDefault="004334D2" w:rsidP="00DA05CE">
      <w:pPr>
        <w:pStyle w:val="SDMMethCaptionEquationParametersTable"/>
        <w:rPr>
          <w:rFonts w:cs="Arial"/>
          <w:szCs w:val="22"/>
        </w:rPr>
      </w:pPr>
      <w:r w:rsidRPr="000C5FD6">
        <w:rPr>
          <w:rFonts w:cs="Arial"/>
          <w:szCs w:val="22"/>
        </w:rPr>
        <w:t>Where:</w:t>
      </w:r>
    </w:p>
    <w:tbl>
      <w:tblPr>
        <w:tblStyle w:val="SDMMethTableEquationParameters"/>
        <w:tblW w:w="8760" w:type="dxa"/>
        <w:tblLook w:val="04A0" w:firstRow="1" w:lastRow="0" w:firstColumn="1" w:lastColumn="0" w:noHBand="0" w:noVBand="1"/>
      </w:tblPr>
      <w:tblGrid>
        <w:gridCol w:w="1701"/>
        <w:gridCol w:w="345"/>
        <w:gridCol w:w="6714"/>
      </w:tblGrid>
      <w:tr w:rsidR="003F6A07" w:rsidRPr="000C5FD6" w14:paraId="5573CD4D" w14:textId="77777777" w:rsidTr="007E5A9B">
        <w:tc>
          <w:tcPr>
            <w:tcW w:w="1701" w:type="dxa"/>
            <w:vAlign w:val="top"/>
          </w:tcPr>
          <w:p w14:paraId="0FCBB771" w14:textId="0BE298C4" w:rsidR="003F6A07" w:rsidRPr="00386204" w:rsidRDefault="00302468" w:rsidP="00081FD4">
            <w:pPr>
              <w:pStyle w:val="SDMTableBoxParaNotNumbered"/>
              <w:keepNext/>
              <w:rPr>
                <w:rFonts w:cs="Arial"/>
              </w:rPr>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TR,y</m:t>
                    </m:r>
                  </m:sub>
                </m:sSub>
              </m:oMath>
            </m:oMathPara>
          </w:p>
        </w:tc>
        <w:tc>
          <w:tcPr>
            <w:tcW w:w="345" w:type="dxa"/>
            <w:vAlign w:val="top"/>
          </w:tcPr>
          <w:p w14:paraId="154913A4" w14:textId="07E1765A" w:rsidR="003F6A07" w:rsidRPr="000C5FD6" w:rsidRDefault="003F6A07" w:rsidP="00081FD4">
            <w:pPr>
              <w:pStyle w:val="SDMTableBoxParaNotNumbered"/>
              <w:keepNext/>
              <w:rPr>
                <w:rFonts w:cs="Arial"/>
              </w:rPr>
            </w:pPr>
            <w:r>
              <w:rPr>
                <w:rFonts w:cs="Arial"/>
              </w:rPr>
              <w:t>=</w:t>
            </w:r>
          </w:p>
        </w:tc>
        <w:tc>
          <w:tcPr>
            <w:tcW w:w="0" w:type="auto"/>
            <w:vAlign w:val="top"/>
          </w:tcPr>
          <w:p w14:paraId="2F8326CA" w14:textId="16F864B1" w:rsidR="003F6A07" w:rsidRPr="003F6A07" w:rsidRDefault="00EC79EC" w:rsidP="00081FD4">
            <w:pPr>
              <w:pStyle w:val="SDMTableBoxParaNotNumbered"/>
              <w:keepNext/>
            </w:pPr>
            <w:r>
              <w:t>Project emissions from the transportation of LFG or biomethane using trucks in year</w:t>
            </w:r>
            <w:r w:rsidR="00CA14CD">
              <w:t> </w:t>
            </w:r>
            <w:r w:rsidRPr="00BF404E">
              <w:rPr>
                <w:i/>
                <w:iCs/>
              </w:rPr>
              <w:t>y</w:t>
            </w:r>
            <w:r>
              <w:t xml:space="preserve"> (tCO</w:t>
            </w:r>
            <w:r w:rsidRPr="00BF404E">
              <w:rPr>
                <w:vertAlign w:val="subscript"/>
              </w:rPr>
              <w:t>2</w:t>
            </w:r>
            <w:r>
              <w:t>/year)</w:t>
            </w:r>
          </w:p>
        </w:tc>
      </w:tr>
      <w:tr w:rsidR="004334D2" w:rsidRPr="000C5FD6" w14:paraId="18B6B1F6" w14:textId="77777777" w:rsidTr="007E5A9B">
        <w:tc>
          <w:tcPr>
            <w:tcW w:w="1701" w:type="dxa"/>
            <w:vAlign w:val="top"/>
          </w:tcPr>
          <w:p w14:paraId="60FA4DE0" w14:textId="6920BB9D" w:rsidR="004334D2" w:rsidRPr="000C5FD6" w:rsidRDefault="00302468" w:rsidP="00081FD4">
            <w:pPr>
              <w:pStyle w:val="SDMTableBoxParaNotNumbered"/>
              <w:keepNext/>
              <w:rPr>
                <w:rFonts w:cs="Arial"/>
              </w:rPr>
            </w:pPr>
            <m:oMathPara>
              <m:oMathParaPr>
                <m:jc m:val="left"/>
              </m:oMathParaPr>
              <m:oMath>
                <m:sSub>
                  <m:sSubPr>
                    <m:ctrlPr>
                      <w:rPr>
                        <w:rFonts w:ascii="Cambria Math" w:hAnsi="Cambria Math"/>
                        <w:i/>
                      </w:rPr>
                    </m:ctrlPr>
                  </m:sSubPr>
                  <m:e>
                    <m:r>
                      <w:rPr>
                        <w:rFonts w:ascii="Cambria Math" w:hAnsi="Cambria Math"/>
                      </w:rPr>
                      <m:t>D</m:t>
                    </m:r>
                  </m:e>
                  <m:sub>
                    <m:r>
                      <w:rPr>
                        <w:rFonts w:ascii="Cambria Math" w:hAnsi="Cambria Math"/>
                      </w:rPr>
                      <m:t>f,i</m:t>
                    </m:r>
                  </m:sub>
                </m:sSub>
              </m:oMath>
            </m:oMathPara>
          </w:p>
        </w:tc>
        <w:tc>
          <w:tcPr>
            <w:tcW w:w="345" w:type="dxa"/>
            <w:vAlign w:val="top"/>
          </w:tcPr>
          <w:p w14:paraId="7D8A67CF" w14:textId="77777777" w:rsidR="004334D2" w:rsidRPr="000C5FD6" w:rsidRDefault="004334D2" w:rsidP="00081FD4">
            <w:pPr>
              <w:pStyle w:val="SDMTableBoxParaNotNumbered"/>
              <w:keepNext/>
              <w:rPr>
                <w:rFonts w:cs="Arial"/>
              </w:rPr>
            </w:pPr>
            <w:r w:rsidRPr="000C5FD6">
              <w:rPr>
                <w:rFonts w:cs="Arial"/>
              </w:rPr>
              <w:t>=</w:t>
            </w:r>
          </w:p>
        </w:tc>
        <w:tc>
          <w:tcPr>
            <w:tcW w:w="0" w:type="auto"/>
            <w:vAlign w:val="top"/>
          </w:tcPr>
          <w:p w14:paraId="41BD5D72" w14:textId="50DAA70D" w:rsidR="004334D2" w:rsidRPr="000C5FD6" w:rsidRDefault="004334D2" w:rsidP="00081FD4">
            <w:pPr>
              <w:pStyle w:val="SDMTableBoxParaNotNumbered"/>
              <w:keepNext/>
              <w:rPr>
                <w:rFonts w:cs="Arial"/>
              </w:rPr>
            </w:pPr>
            <w:r>
              <w:t>Return trip distance between the origin and destination of freight transportation activity</w:t>
            </w:r>
            <w:r w:rsidR="00CA14CD">
              <w:t> </w:t>
            </w:r>
            <w:r w:rsidRPr="00107BE1">
              <w:rPr>
                <w:i/>
                <w:iCs/>
              </w:rPr>
              <w:t>f</w:t>
            </w:r>
            <w:r>
              <w:t xml:space="preserve"> (km)</w:t>
            </w:r>
          </w:p>
        </w:tc>
      </w:tr>
      <w:tr w:rsidR="004334D2" w:rsidRPr="000C5FD6" w14:paraId="657C37C4" w14:textId="77777777" w:rsidTr="007E5A9B">
        <w:tc>
          <w:tcPr>
            <w:tcW w:w="1701" w:type="dxa"/>
            <w:vAlign w:val="top"/>
          </w:tcPr>
          <w:p w14:paraId="33D5F226" w14:textId="1EC61AE7" w:rsidR="004334D2" w:rsidRPr="000C5FD6" w:rsidRDefault="00302468" w:rsidP="00081FD4">
            <w:pPr>
              <w:pStyle w:val="SDMTableBoxParaNotNumbered"/>
              <w:keepNext/>
              <w:rPr>
                <w:rFonts w:cs="Arial"/>
              </w:rPr>
            </w:pPr>
            <m:oMathPara>
              <m:oMathParaPr>
                <m:jc m:val="left"/>
              </m:oMathParaPr>
              <m:oMath>
                <m:sSub>
                  <m:sSubPr>
                    <m:ctrlPr>
                      <w:rPr>
                        <w:rFonts w:ascii="Cambria Math" w:hAnsi="Cambria Math"/>
                        <w:i/>
                      </w:rPr>
                    </m:ctrlPr>
                  </m:sSubPr>
                  <m:e>
                    <m:r>
                      <w:rPr>
                        <w:rFonts w:ascii="Cambria Math" w:hAnsi="Cambria Math"/>
                      </w:rPr>
                      <m:t>FR</m:t>
                    </m:r>
                  </m:e>
                  <m:sub>
                    <m:r>
                      <w:rPr>
                        <w:rFonts w:ascii="Cambria Math" w:hAnsi="Cambria Math"/>
                      </w:rPr>
                      <m:t>f,i,y</m:t>
                    </m:r>
                  </m:sub>
                </m:sSub>
              </m:oMath>
            </m:oMathPara>
          </w:p>
        </w:tc>
        <w:tc>
          <w:tcPr>
            <w:tcW w:w="345" w:type="dxa"/>
            <w:vAlign w:val="top"/>
          </w:tcPr>
          <w:p w14:paraId="31B77618" w14:textId="77777777" w:rsidR="004334D2" w:rsidRPr="000C5FD6" w:rsidRDefault="004334D2" w:rsidP="00081FD4">
            <w:pPr>
              <w:pStyle w:val="SDMTableBoxParaNotNumbered"/>
              <w:keepNext/>
              <w:rPr>
                <w:rFonts w:cs="Arial"/>
              </w:rPr>
            </w:pPr>
            <w:r w:rsidRPr="000C5FD6">
              <w:rPr>
                <w:rFonts w:cs="Arial"/>
              </w:rPr>
              <w:t>=</w:t>
            </w:r>
          </w:p>
        </w:tc>
        <w:tc>
          <w:tcPr>
            <w:tcW w:w="0" w:type="auto"/>
            <w:vAlign w:val="top"/>
          </w:tcPr>
          <w:p w14:paraId="663A4BD6" w14:textId="63EAE7DF" w:rsidR="004334D2" w:rsidRPr="000C5FD6" w:rsidRDefault="004334D2" w:rsidP="00081FD4">
            <w:pPr>
              <w:pStyle w:val="SDMTableBoxParaNotNumbered"/>
              <w:keepNext/>
              <w:rPr>
                <w:rFonts w:cs="Arial"/>
              </w:rPr>
            </w:pPr>
            <w:r>
              <w:t xml:space="preserve">Total mass of freight transported in </w:t>
            </w:r>
            <w:r w:rsidR="00E62D45">
              <w:t>vehicle class</w:t>
            </w:r>
            <w:r w:rsidR="00CA14CD">
              <w:t> </w:t>
            </w:r>
            <w:r w:rsidR="00E62D45">
              <w:rPr>
                <w:i/>
                <w:iCs/>
              </w:rPr>
              <w:t>i</w:t>
            </w:r>
            <w:r w:rsidR="00E62D45">
              <w:t xml:space="preserve"> and </w:t>
            </w:r>
            <w:r>
              <w:t>freight transportation activity</w:t>
            </w:r>
            <w:r w:rsidR="00CA14CD">
              <w:t> </w:t>
            </w:r>
            <w:r w:rsidRPr="00AD5A6F">
              <w:rPr>
                <w:i/>
                <w:iCs/>
              </w:rPr>
              <w:t>f</w:t>
            </w:r>
            <w:r>
              <w:t xml:space="preserve"> in year</w:t>
            </w:r>
            <w:r w:rsidR="00CA14CD">
              <w:t> </w:t>
            </w:r>
            <w:r w:rsidRPr="00AD5A6F">
              <w:rPr>
                <w:i/>
                <w:iCs/>
              </w:rPr>
              <w:t>y</w:t>
            </w:r>
            <w:r>
              <w:t xml:space="preserve"> (t</w:t>
            </w:r>
            <w:r w:rsidR="003F6A07">
              <w:t>/year</w:t>
            </w:r>
            <w:r>
              <w:t>)</w:t>
            </w:r>
          </w:p>
        </w:tc>
      </w:tr>
      <w:tr w:rsidR="004334D2" w:rsidRPr="000C5FD6" w14:paraId="1389164A" w14:textId="77777777" w:rsidTr="007E5A9B">
        <w:tc>
          <w:tcPr>
            <w:tcW w:w="1701" w:type="dxa"/>
            <w:vAlign w:val="top"/>
          </w:tcPr>
          <w:p w14:paraId="6974510A" w14:textId="478737C2" w:rsidR="004334D2" w:rsidRPr="000C5FD6" w:rsidRDefault="00302468" w:rsidP="00081FD4">
            <w:pPr>
              <w:pStyle w:val="SDMTableBoxParaNotNumbered"/>
              <w:rPr>
                <w:rFonts w:cs="Arial"/>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i,f</m:t>
                    </m:r>
                  </m:sub>
                </m:sSub>
              </m:oMath>
            </m:oMathPara>
          </w:p>
        </w:tc>
        <w:tc>
          <w:tcPr>
            <w:tcW w:w="345" w:type="dxa"/>
            <w:vAlign w:val="top"/>
          </w:tcPr>
          <w:p w14:paraId="2E55C99F" w14:textId="77777777" w:rsidR="004334D2" w:rsidRPr="000C5FD6" w:rsidRDefault="004334D2" w:rsidP="00081FD4">
            <w:pPr>
              <w:pStyle w:val="SDMTableBoxParaNotNumbered"/>
              <w:rPr>
                <w:rFonts w:cs="Arial"/>
              </w:rPr>
            </w:pPr>
            <w:r w:rsidRPr="000C5FD6">
              <w:rPr>
                <w:rFonts w:cs="Arial"/>
              </w:rPr>
              <w:t>=</w:t>
            </w:r>
          </w:p>
        </w:tc>
        <w:tc>
          <w:tcPr>
            <w:tcW w:w="0" w:type="auto"/>
            <w:vAlign w:val="top"/>
          </w:tcPr>
          <w:p w14:paraId="2C249C33" w14:textId="194ED7E5" w:rsidR="004334D2" w:rsidRPr="000C5FD6" w:rsidRDefault="004334D2" w:rsidP="00081FD4">
            <w:pPr>
              <w:pStyle w:val="SDMTableBoxParaNotNumbered"/>
              <w:rPr>
                <w:rFonts w:cs="Arial"/>
              </w:rPr>
            </w:pPr>
            <w:r>
              <w:t>Default CO</w:t>
            </w:r>
            <w:r w:rsidRPr="00134437">
              <w:rPr>
                <w:vertAlign w:val="subscript"/>
              </w:rPr>
              <w:t>2</w:t>
            </w:r>
            <w:r>
              <w:t xml:space="preserve"> emission factor for </w:t>
            </w:r>
            <w:r w:rsidR="00E62D45">
              <w:t xml:space="preserve">vehicle class </w:t>
            </w:r>
            <w:r w:rsidR="00E62D45" w:rsidRPr="008A70F4">
              <w:rPr>
                <w:i/>
                <w:iCs/>
              </w:rPr>
              <w:t>i</w:t>
            </w:r>
            <w:r w:rsidR="00E62D45">
              <w:t xml:space="preserve"> and </w:t>
            </w:r>
            <w:r>
              <w:t>freight transportation activity f (gCO</w:t>
            </w:r>
            <w:r w:rsidRPr="00134437">
              <w:rPr>
                <w:vertAlign w:val="subscript"/>
              </w:rPr>
              <w:t>2</w:t>
            </w:r>
            <w:r w:rsidR="003F6A07" w:rsidRPr="003F6A07">
              <w:t>e</w:t>
            </w:r>
            <w:r>
              <w:t>/t</w:t>
            </w:r>
            <w:r w:rsidR="003F6A07">
              <w:t>-</w:t>
            </w:r>
            <w:r>
              <w:t>km)</w:t>
            </w:r>
          </w:p>
        </w:tc>
      </w:tr>
      <w:tr w:rsidR="00E62D45" w:rsidRPr="000C5FD6" w14:paraId="32E5DCAD" w14:textId="77777777" w:rsidTr="007E5A9B">
        <w:tc>
          <w:tcPr>
            <w:tcW w:w="1701" w:type="dxa"/>
            <w:vAlign w:val="top"/>
          </w:tcPr>
          <w:p w14:paraId="03BC5721" w14:textId="74974CA1" w:rsidR="00E62D45" w:rsidRPr="00AD1650" w:rsidRDefault="00AD1650" w:rsidP="00081FD4">
            <w:pPr>
              <w:pStyle w:val="SDMTableBoxParaNotNumbered"/>
              <w:rPr>
                <w:i/>
              </w:rPr>
            </w:pPr>
            <m:oMathPara>
              <m:oMathParaPr>
                <m:jc m:val="left"/>
              </m:oMathParaPr>
              <m:oMath>
                <m:r>
                  <w:rPr>
                    <w:rFonts w:ascii="Cambria Math" w:hAnsi="Cambria Math"/>
                  </w:rPr>
                  <m:t>i</m:t>
                </m:r>
              </m:oMath>
            </m:oMathPara>
          </w:p>
        </w:tc>
        <w:tc>
          <w:tcPr>
            <w:tcW w:w="345" w:type="dxa"/>
            <w:vAlign w:val="top"/>
          </w:tcPr>
          <w:p w14:paraId="6B673A18" w14:textId="15232134" w:rsidR="00E62D45" w:rsidRPr="000C5FD6" w:rsidRDefault="00E62D45" w:rsidP="00081FD4">
            <w:pPr>
              <w:pStyle w:val="SDMTableBoxParaNotNumbered"/>
              <w:rPr>
                <w:rFonts w:cs="Arial"/>
              </w:rPr>
            </w:pPr>
            <w:r>
              <w:rPr>
                <w:rFonts w:cs="Arial"/>
              </w:rPr>
              <w:t>=</w:t>
            </w:r>
          </w:p>
        </w:tc>
        <w:tc>
          <w:tcPr>
            <w:tcW w:w="0" w:type="auto"/>
            <w:vAlign w:val="top"/>
          </w:tcPr>
          <w:p w14:paraId="722C91E4" w14:textId="1D071215" w:rsidR="00E62D45" w:rsidRDefault="00E62D45" w:rsidP="00081FD4">
            <w:pPr>
              <w:pStyle w:val="SDMTableBoxParaNotNumbered"/>
            </w:pPr>
            <w:r>
              <w:t>Vehicle class (heavy or light duty, if transported by road)</w:t>
            </w:r>
          </w:p>
        </w:tc>
      </w:tr>
      <w:tr w:rsidR="008A70F4" w:rsidRPr="000C5FD6" w14:paraId="7707BD4A" w14:textId="77777777" w:rsidTr="007E5A9B">
        <w:tc>
          <w:tcPr>
            <w:tcW w:w="1701" w:type="dxa"/>
            <w:vAlign w:val="top"/>
          </w:tcPr>
          <w:p w14:paraId="00CFEC7D" w14:textId="67D0E9ED" w:rsidR="008A70F4" w:rsidRPr="00AD1650" w:rsidRDefault="00AD1650" w:rsidP="00081FD4">
            <w:pPr>
              <w:pStyle w:val="SDMTableBoxParaNotNumbered"/>
              <w:rPr>
                <w:i/>
                <w:iCs/>
              </w:rPr>
            </w:pPr>
            <m:oMathPara>
              <m:oMathParaPr>
                <m:jc m:val="left"/>
              </m:oMathParaPr>
              <m:oMath>
                <m:r>
                  <w:rPr>
                    <w:rFonts w:ascii="Cambria Math" w:hAnsi="Cambria Math"/>
                  </w:rPr>
                  <m:t>f</m:t>
                </m:r>
              </m:oMath>
            </m:oMathPara>
          </w:p>
        </w:tc>
        <w:tc>
          <w:tcPr>
            <w:tcW w:w="345" w:type="dxa"/>
            <w:vAlign w:val="top"/>
          </w:tcPr>
          <w:p w14:paraId="43B031EE" w14:textId="1A293745" w:rsidR="008A70F4" w:rsidRDefault="008A70F4" w:rsidP="00081FD4">
            <w:pPr>
              <w:pStyle w:val="SDMTableBoxParaNotNumbered"/>
              <w:rPr>
                <w:rFonts w:cs="Arial"/>
              </w:rPr>
            </w:pPr>
            <w:r>
              <w:rPr>
                <w:rFonts w:cs="Arial"/>
              </w:rPr>
              <w:t>=</w:t>
            </w:r>
          </w:p>
        </w:tc>
        <w:tc>
          <w:tcPr>
            <w:tcW w:w="0" w:type="auto"/>
            <w:vAlign w:val="top"/>
          </w:tcPr>
          <w:p w14:paraId="59784BFB" w14:textId="48BFB6E1" w:rsidR="008A70F4" w:rsidRDefault="008A70F4" w:rsidP="00081FD4">
            <w:pPr>
              <w:pStyle w:val="SDMTableBoxParaNotNumbered"/>
            </w:pPr>
            <w:r>
              <w:t>Freight transportation activity</w:t>
            </w:r>
          </w:p>
        </w:tc>
      </w:tr>
      <w:tr w:rsidR="00E62D45" w:rsidRPr="000C5FD6" w14:paraId="1EC25CCB" w14:textId="77777777" w:rsidTr="007E5A9B">
        <w:tc>
          <w:tcPr>
            <w:tcW w:w="1701" w:type="dxa"/>
            <w:vAlign w:val="top"/>
          </w:tcPr>
          <w:p w14:paraId="625D49C3" w14:textId="59B51DDA" w:rsidR="00E62D45" w:rsidRPr="00AD1650" w:rsidRDefault="00AD1650" w:rsidP="00081FD4">
            <w:pPr>
              <w:pStyle w:val="SDMTableBoxParaNotNumbered"/>
            </w:pPr>
            <m:oMathPara>
              <m:oMathParaPr>
                <m:jc m:val="left"/>
              </m:oMathParaPr>
              <m:oMath>
                <m:r>
                  <w:rPr>
                    <w:rFonts w:ascii="Cambria Math" w:hAnsi="Cambria Math"/>
                  </w:rPr>
                  <m:t>y</m:t>
                </m:r>
              </m:oMath>
            </m:oMathPara>
          </w:p>
        </w:tc>
        <w:tc>
          <w:tcPr>
            <w:tcW w:w="345" w:type="dxa"/>
            <w:vAlign w:val="top"/>
          </w:tcPr>
          <w:p w14:paraId="2FE39FB3" w14:textId="3F41FF19" w:rsidR="00E62D45" w:rsidRPr="000C5FD6" w:rsidRDefault="00E62D45" w:rsidP="00081FD4">
            <w:pPr>
              <w:pStyle w:val="SDMTableBoxParaNotNumbered"/>
              <w:rPr>
                <w:rFonts w:cs="Arial"/>
              </w:rPr>
            </w:pPr>
            <w:r>
              <w:rPr>
                <w:rFonts w:cs="Arial"/>
              </w:rPr>
              <w:t>=</w:t>
            </w:r>
          </w:p>
        </w:tc>
        <w:tc>
          <w:tcPr>
            <w:tcW w:w="0" w:type="auto"/>
            <w:vAlign w:val="top"/>
          </w:tcPr>
          <w:p w14:paraId="4A72520B" w14:textId="7F2E645C" w:rsidR="00E62D45" w:rsidRDefault="00E62D45" w:rsidP="00081FD4">
            <w:pPr>
              <w:pStyle w:val="SDMTableBoxParaNotNumbered"/>
            </w:pPr>
            <w:r>
              <w:t xml:space="preserve">Year </w:t>
            </w:r>
          </w:p>
        </w:tc>
      </w:tr>
    </w:tbl>
    <w:p w14:paraId="0D28CC7C" w14:textId="179A8FFC" w:rsidR="004334D2" w:rsidRDefault="004334D2" w:rsidP="00DA05CE">
      <w:pPr>
        <w:pStyle w:val="SDMPara"/>
        <w:keepNext/>
      </w:pPr>
      <w:r>
        <w:t>Activity participants shall document in the PDD which freight transportation activities</w:t>
      </w:r>
      <w:r w:rsidR="00CA14CD">
        <w:t> </w:t>
      </w:r>
      <w:r w:rsidRPr="00606862">
        <w:rPr>
          <w:i/>
          <w:iCs/>
        </w:rPr>
        <w:t>f</w:t>
      </w:r>
      <w:r>
        <w:t xml:space="preserve"> will occur under the activity scenario, including for each transportation activity information on:</w:t>
      </w:r>
    </w:p>
    <w:p w14:paraId="71395BFA" w14:textId="77777777" w:rsidR="004334D2" w:rsidRDefault="004334D2" w:rsidP="00E66E80">
      <w:pPr>
        <w:pStyle w:val="SDMSubPara1"/>
      </w:pPr>
      <w:r>
        <w:t>The origin and destination of the freight (to the extent that this is known at validation);</w:t>
      </w:r>
    </w:p>
    <w:p w14:paraId="408A8918" w14:textId="77777777" w:rsidR="004334D2" w:rsidRDefault="004334D2" w:rsidP="00E66E80">
      <w:pPr>
        <w:pStyle w:val="SDMSubPara1"/>
      </w:pPr>
      <w:r>
        <w:t>The type(s) of freight that are planned to be transported;</w:t>
      </w:r>
    </w:p>
    <w:p w14:paraId="1DBA408D" w14:textId="77777777" w:rsidR="004334D2" w:rsidRDefault="004334D2" w:rsidP="00E66E80">
      <w:pPr>
        <w:pStyle w:val="SDMSubPara1"/>
      </w:pPr>
      <w:r>
        <w:t>The planned number of trips made and/or the planned quantity of freight that should be transported; and</w:t>
      </w:r>
    </w:p>
    <w:p w14:paraId="0D4B2B1B" w14:textId="77777777" w:rsidR="004334D2" w:rsidRDefault="004334D2" w:rsidP="00E66E80">
      <w:pPr>
        <w:pStyle w:val="SDMSubPara1"/>
      </w:pPr>
      <w:r>
        <w:t>The option selected (A or B) to determine emissions.</w:t>
      </w:r>
    </w:p>
    <w:p w14:paraId="17C16209" w14:textId="77777777" w:rsidR="004334D2" w:rsidRDefault="004334D2" w:rsidP="00E66E80">
      <w:pPr>
        <w:pStyle w:val="SDMPara"/>
      </w:pPr>
      <w:r>
        <w:t xml:space="preserve">For a particular freight transportation activity </w:t>
      </w:r>
      <w:r w:rsidRPr="00EA5192">
        <w:rPr>
          <w:i/>
          <w:iCs/>
        </w:rPr>
        <w:t>f</w:t>
      </w:r>
      <w:r>
        <w:t>, the option selected for determining emissions from freight transportation shall not be changed during the crediting period.</w:t>
      </w:r>
    </w:p>
    <w:p w14:paraId="70DAA1B9" w14:textId="26A17604" w:rsidR="004334D2" w:rsidRDefault="004334D2" w:rsidP="00E66E80">
      <w:pPr>
        <w:pStyle w:val="SDMHead4"/>
      </w:pPr>
      <w:r>
        <w:t>Emissions from leaks of LFG or biomethane using trucks</w:t>
      </w:r>
    </w:p>
    <w:p w14:paraId="0E7B27BA" w14:textId="1B393772" w:rsidR="004334D2" w:rsidRDefault="004334D2" w:rsidP="00DA05CE">
      <w:pPr>
        <w:pStyle w:val="SDMPara"/>
        <w:keepNext/>
      </w:pPr>
      <w:r>
        <w:t xml:space="preserve">This source of </w:t>
      </w:r>
      <w:r w:rsidR="005704AC">
        <w:t>project emissions</w:t>
      </w:r>
      <w:r>
        <w:t xml:space="preserve"> is determined as follows:</w:t>
      </w:r>
    </w:p>
    <w:tbl>
      <w:tblPr>
        <w:tblStyle w:val="SDMMethTableEquation"/>
        <w:tblW w:w="8760" w:type="dxa"/>
        <w:tblLook w:val="0600" w:firstRow="0" w:lastRow="0" w:firstColumn="0" w:lastColumn="0" w:noHBand="1" w:noVBand="1"/>
      </w:tblPr>
      <w:tblGrid>
        <w:gridCol w:w="7095"/>
        <w:gridCol w:w="1665"/>
      </w:tblGrid>
      <w:tr w:rsidR="004334D2" w:rsidRPr="00E32F75" w14:paraId="0D7B55CE" w14:textId="77777777" w:rsidTr="007E5A9B">
        <w:tc>
          <w:tcPr>
            <w:tcW w:w="7224" w:type="dxa"/>
          </w:tcPr>
          <w:p w14:paraId="25AFC53E" w14:textId="5F56A0B9"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leaks,y</m:t>
                    </m:r>
                  </m:sub>
                </m:sSub>
                <m:r>
                  <w:rPr>
                    <w:rFonts w:ascii="Cambria Math" w:hAnsi="Cambria Math"/>
                  </w:rPr>
                  <m:t>=</m:t>
                </m:r>
                <m:sSub>
                  <m:sSubPr>
                    <m:ctrlPr>
                      <w:rPr>
                        <w:rFonts w:ascii="Cambria Math" w:hAnsi="Cambria Math"/>
                        <w:i/>
                      </w:rPr>
                    </m:ctrlPr>
                  </m:sSubPr>
                  <m:e>
                    <m:r>
                      <w:rPr>
                        <w:rFonts w:ascii="Cambria Math" w:hAnsi="Cambria Math"/>
                      </w:rPr>
                      <m:t>GWP</m:t>
                    </m:r>
                  </m:e>
                  <m:sub>
                    <m:r>
                      <w:rPr>
                        <w:rFonts w:ascii="Cambria Math" w:hAnsi="Cambria Math"/>
                      </w:rPr>
                      <m:t>CH4</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CH4,NG-TR,y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CH4,NG-cons,y</m:t>
                        </m:r>
                      </m:sub>
                    </m:sSub>
                  </m:e>
                </m:d>
              </m:oMath>
            </m:oMathPara>
          </w:p>
        </w:tc>
        <w:tc>
          <w:tcPr>
            <w:tcW w:w="1701" w:type="dxa"/>
          </w:tcPr>
          <w:p w14:paraId="632E979D" w14:textId="77777777" w:rsidR="004334D2" w:rsidRPr="002B6960" w:rsidRDefault="004334D2" w:rsidP="00247E9F">
            <w:pPr>
              <w:pStyle w:val="SDMMethEquationNr"/>
              <w:numPr>
                <w:ilvl w:val="0"/>
                <w:numId w:val="4"/>
              </w:numPr>
            </w:pPr>
          </w:p>
        </w:tc>
      </w:tr>
    </w:tbl>
    <w:p w14:paraId="4F97654D"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546032" w14:paraId="39595A15" w14:textId="77777777" w:rsidTr="007E5A9B">
        <w:tc>
          <w:tcPr>
            <w:tcW w:w="1701" w:type="dxa"/>
            <w:vAlign w:val="top"/>
          </w:tcPr>
          <w:p w14:paraId="5E97D1AE" w14:textId="77777777" w:rsidR="00546032" w:rsidRPr="0010136E"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leaks,y</m:t>
                    </m:r>
                  </m:sub>
                </m:sSub>
              </m:oMath>
            </m:oMathPara>
          </w:p>
        </w:tc>
        <w:tc>
          <w:tcPr>
            <w:tcW w:w="345" w:type="dxa"/>
            <w:vAlign w:val="top"/>
          </w:tcPr>
          <w:p w14:paraId="0153DA0E" w14:textId="77777777" w:rsidR="00546032" w:rsidRDefault="00546032" w:rsidP="00081FD4">
            <w:pPr>
              <w:pStyle w:val="SDMTableBoxParaNotNumbered"/>
            </w:pPr>
            <w:r>
              <w:t>=</w:t>
            </w:r>
          </w:p>
        </w:tc>
        <w:tc>
          <w:tcPr>
            <w:tcW w:w="0" w:type="auto"/>
            <w:vAlign w:val="top"/>
          </w:tcPr>
          <w:p w14:paraId="08E0F666" w14:textId="77777777" w:rsidR="00546032" w:rsidRDefault="00546032" w:rsidP="00081FD4">
            <w:pPr>
              <w:pStyle w:val="SDMTableBoxParaNotNumbered"/>
            </w:pPr>
            <w:r>
              <w:t>Emissions from CH</w:t>
            </w:r>
            <w:r w:rsidRPr="00BF404E">
              <w:rPr>
                <w:vertAlign w:val="subscript"/>
              </w:rPr>
              <w:t>4</w:t>
            </w:r>
            <w:r>
              <w:t xml:space="preserve"> leaks during the transportation of LFG or biomethane using trucks in year </w:t>
            </w:r>
            <w:r w:rsidRPr="00BF404E">
              <w:rPr>
                <w:i/>
                <w:iCs/>
              </w:rPr>
              <w:t>y</w:t>
            </w:r>
            <w:r>
              <w:t xml:space="preserve"> (tCO</w:t>
            </w:r>
            <w:r w:rsidRPr="00BF404E">
              <w:rPr>
                <w:vertAlign w:val="subscript"/>
              </w:rPr>
              <w:t>2</w:t>
            </w:r>
            <w:r w:rsidRPr="003F6A07">
              <w:t>e</w:t>
            </w:r>
            <w:r>
              <w:t>/year)</w:t>
            </w:r>
          </w:p>
        </w:tc>
      </w:tr>
      <w:tr w:rsidR="004334D2" w14:paraId="44E710C0" w14:textId="77777777" w:rsidTr="007E5A9B">
        <w:tc>
          <w:tcPr>
            <w:tcW w:w="1701" w:type="dxa"/>
            <w:vAlign w:val="top"/>
          </w:tcPr>
          <w:p w14:paraId="7E160DEA" w14:textId="77777777" w:rsidR="004334D2" w:rsidRPr="00BF1FE8"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GWP</m:t>
                    </m:r>
                  </m:e>
                  <m:sub>
                    <m:r>
                      <w:rPr>
                        <w:rFonts w:ascii="Cambria Math" w:hAnsi="Cambria Math"/>
                      </w:rPr>
                      <m:t>CH4</m:t>
                    </m:r>
                  </m:sub>
                </m:sSub>
              </m:oMath>
            </m:oMathPara>
          </w:p>
        </w:tc>
        <w:tc>
          <w:tcPr>
            <w:tcW w:w="345" w:type="dxa"/>
            <w:vAlign w:val="top"/>
          </w:tcPr>
          <w:p w14:paraId="2F20CD22" w14:textId="77777777" w:rsidR="004334D2" w:rsidRDefault="004334D2" w:rsidP="00081FD4">
            <w:pPr>
              <w:pStyle w:val="SDMTableBoxParaNotNumbered"/>
            </w:pPr>
            <w:r>
              <w:t>=</w:t>
            </w:r>
          </w:p>
        </w:tc>
        <w:tc>
          <w:tcPr>
            <w:tcW w:w="0" w:type="auto"/>
            <w:vAlign w:val="top"/>
          </w:tcPr>
          <w:p w14:paraId="186A6666" w14:textId="77777777" w:rsidR="004334D2" w:rsidRDefault="004334D2" w:rsidP="00081FD4">
            <w:pPr>
              <w:pStyle w:val="SDMTableBoxParaNotNumbered"/>
            </w:pPr>
            <w:r>
              <w:t>Global Warming Potential of CH4</w:t>
            </w:r>
          </w:p>
        </w:tc>
      </w:tr>
      <w:tr w:rsidR="004334D2" w14:paraId="5156735B" w14:textId="77777777" w:rsidTr="007E5A9B">
        <w:tc>
          <w:tcPr>
            <w:tcW w:w="1701" w:type="dxa"/>
            <w:vAlign w:val="top"/>
          </w:tcPr>
          <w:p w14:paraId="6F7A6A57" w14:textId="77777777" w:rsidR="004334D2" w:rsidRPr="00BF1FE8"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CH4,NG-TR,y</m:t>
                    </m:r>
                  </m:sub>
                </m:sSub>
              </m:oMath>
            </m:oMathPara>
          </w:p>
        </w:tc>
        <w:tc>
          <w:tcPr>
            <w:tcW w:w="345" w:type="dxa"/>
            <w:vAlign w:val="top"/>
          </w:tcPr>
          <w:p w14:paraId="464E8E94" w14:textId="77777777" w:rsidR="004334D2" w:rsidRDefault="004334D2" w:rsidP="00081FD4">
            <w:pPr>
              <w:pStyle w:val="SDMTableBoxParaNotNumbered"/>
            </w:pPr>
            <w:r>
              <w:t>=</w:t>
            </w:r>
          </w:p>
        </w:tc>
        <w:tc>
          <w:tcPr>
            <w:tcW w:w="0" w:type="auto"/>
            <w:vAlign w:val="top"/>
          </w:tcPr>
          <w:p w14:paraId="4EC0B116" w14:textId="77777777" w:rsidR="004334D2" w:rsidRDefault="004334D2" w:rsidP="00081FD4">
            <w:pPr>
              <w:pStyle w:val="SDMTableBoxParaNotNumbered"/>
            </w:pPr>
            <w:r>
              <w:t xml:space="preserve">Amount of methane in the LFG or biomethane which is sent to trucks in year </w:t>
            </w:r>
            <w:r w:rsidRPr="00B740C5">
              <w:rPr>
                <w:i/>
                <w:iCs/>
              </w:rPr>
              <w:t>y</w:t>
            </w:r>
            <w:r>
              <w:t xml:space="preserve"> (tCH</w:t>
            </w:r>
            <w:r w:rsidRPr="00CD0338">
              <w:rPr>
                <w:vertAlign w:val="subscript"/>
              </w:rPr>
              <w:t>4</w:t>
            </w:r>
            <w:r>
              <w:t>/year)</w:t>
            </w:r>
          </w:p>
        </w:tc>
      </w:tr>
      <w:tr w:rsidR="004334D2" w14:paraId="3BA1A52D" w14:textId="77777777" w:rsidTr="007E5A9B">
        <w:tc>
          <w:tcPr>
            <w:tcW w:w="1701" w:type="dxa"/>
            <w:vAlign w:val="top"/>
          </w:tcPr>
          <w:p w14:paraId="7C944624" w14:textId="77777777" w:rsidR="004334D2" w:rsidRPr="00BF1FE8" w:rsidRDefault="00302468" w:rsidP="00081FD4">
            <w:pPr>
              <w:pStyle w:val="SDMTableBoxParaNotNumbered"/>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CH4,NG-cons,y</m:t>
                    </m:r>
                  </m:sub>
                </m:sSub>
              </m:oMath>
            </m:oMathPara>
          </w:p>
        </w:tc>
        <w:tc>
          <w:tcPr>
            <w:tcW w:w="345" w:type="dxa"/>
            <w:vAlign w:val="top"/>
          </w:tcPr>
          <w:p w14:paraId="5F53DC58" w14:textId="77777777" w:rsidR="004334D2" w:rsidRDefault="004334D2" w:rsidP="00081FD4">
            <w:pPr>
              <w:pStyle w:val="SDMTableBoxParaNotNumbered"/>
            </w:pPr>
            <w:r>
              <w:t>=</w:t>
            </w:r>
          </w:p>
        </w:tc>
        <w:tc>
          <w:tcPr>
            <w:tcW w:w="0" w:type="auto"/>
            <w:vAlign w:val="top"/>
          </w:tcPr>
          <w:p w14:paraId="2F39132E" w14:textId="77777777" w:rsidR="004334D2" w:rsidRDefault="004334D2" w:rsidP="00081FD4">
            <w:pPr>
              <w:pStyle w:val="SDMTableBoxParaNotNumbered"/>
            </w:pPr>
            <w:r>
              <w:t xml:space="preserve">Amount of methane in LFG or biomethane which is delivered to consumers using trucks in year </w:t>
            </w:r>
            <w:r w:rsidRPr="00B740C5">
              <w:rPr>
                <w:i/>
                <w:iCs/>
              </w:rPr>
              <w:t>y</w:t>
            </w:r>
            <w:r>
              <w:t xml:space="preserve"> (tCH</w:t>
            </w:r>
            <w:r w:rsidRPr="00CD0338">
              <w:rPr>
                <w:vertAlign w:val="subscript"/>
              </w:rPr>
              <w:t>4</w:t>
            </w:r>
            <w:r>
              <w:t>/year)</w:t>
            </w:r>
          </w:p>
        </w:tc>
      </w:tr>
    </w:tbl>
    <w:p w14:paraId="434A848B" w14:textId="77777777" w:rsidR="004334D2" w:rsidRDefault="004334D2" w:rsidP="00E66E80">
      <w:pPr>
        <w:pStyle w:val="SDMPara"/>
      </w:pPr>
      <w:bookmarkStart w:id="374" w:name="_Ref203676543"/>
      <w:r>
        <w:rPr>
          <w:rFonts w:cs="Times New Roman"/>
        </w:rPr>
        <w:t xml:space="preserve">The parameters </w:t>
      </w:r>
      <m:oMath>
        <m:sSub>
          <m:sSubPr>
            <m:ctrlPr>
              <w:rPr>
                <w:rFonts w:ascii="Cambria Math" w:hAnsi="Cambria Math"/>
                <w:i/>
              </w:rPr>
            </m:ctrlPr>
          </m:sSubPr>
          <m:e>
            <m:r>
              <w:rPr>
                <w:rFonts w:ascii="Cambria Math" w:hAnsi="Cambria Math"/>
              </w:rPr>
              <m:t>F</m:t>
            </m:r>
          </m:e>
          <m:sub>
            <m:r>
              <w:rPr>
                <w:rFonts w:ascii="Cambria Math" w:hAnsi="Cambria Math"/>
              </w:rPr>
              <m:t>CH4,NG-TR,y</m:t>
            </m:r>
          </m:sub>
        </m:sSub>
      </m:oMath>
      <w:r>
        <w:t xml:space="preserve"> and </w:t>
      </w:r>
      <m:oMath>
        <m:sSub>
          <m:sSubPr>
            <m:ctrlPr>
              <w:rPr>
                <w:rFonts w:ascii="Cambria Math" w:hAnsi="Cambria Math"/>
                <w:i/>
              </w:rPr>
            </m:ctrlPr>
          </m:sSubPr>
          <m:e>
            <m:r>
              <w:rPr>
                <w:rFonts w:ascii="Cambria Math" w:hAnsi="Cambria Math"/>
              </w:rPr>
              <m:t>F</m:t>
            </m:r>
          </m:e>
          <m:sub>
            <m:r>
              <w:rPr>
                <w:rFonts w:ascii="Cambria Math" w:hAnsi="Cambria Math"/>
              </w:rPr>
              <m:t>CH4,NG-TR,y</m:t>
            </m:r>
          </m:sub>
        </m:sSub>
      </m:oMath>
      <w:r>
        <w:t xml:space="preserve"> are determined based on the </w:t>
      </w:r>
      <w:bookmarkEnd w:id="374"/>
      <w:r>
        <w:t>mass flow tool.</w:t>
      </w:r>
    </w:p>
    <w:p w14:paraId="1CCB9021" w14:textId="264B9E12" w:rsidR="004334D2" w:rsidRDefault="005704AC" w:rsidP="0069640C">
      <w:pPr>
        <w:pStyle w:val="SDMHead3"/>
      </w:pPr>
      <w:bookmarkStart w:id="375" w:name="_Toc211555327"/>
      <w:bookmarkStart w:id="376" w:name="_Toc211598979"/>
      <w:bookmarkStart w:id="377" w:name="_Toc211599481"/>
      <w:bookmarkStart w:id="378" w:name="_Toc211612277"/>
      <w:bookmarkStart w:id="379" w:name="_Toc211614724"/>
      <w:bookmarkStart w:id="380" w:name="_Toc211614767"/>
      <w:bookmarkStart w:id="381" w:name="_Hlk211294348"/>
      <w:r>
        <w:t>Project emissions</w:t>
      </w:r>
      <w:r w:rsidR="004334D2" w:rsidRPr="009B5CB9">
        <w:t xml:space="preserve"> from </w:t>
      </w:r>
      <w:r w:rsidR="004334D2">
        <w:t xml:space="preserve">physical leakage due to the </w:t>
      </w:r>
      <w:r w:rsidR="004334D2" w:rsidRPr="009B5CB9">
        <w:t xml:space="preserve">supply of </w:t>
      </w:r>
      <w:r w:rsidR="004334D2">
        <w:t xml:space="preserve">LFG or </w:t>
      </w:r>
      <w:r w:rsidR="004334D2" w:rsidRPr="009B5CB9">
        <w:t xml:space="preserve">biomethane to consumers </w:t>
      </w:r>
      <w:r w:rsidR="004334D2" w:rsidRPr="0069640C">
        <w:t>through</w:t>
      </w:r>
      <w:r w:rsidR="004334D2" w:rsidRPr="009B5CB9">
        <w:t xml:space="preserve"> a dedicated pipeline</w:t>
      </w:r>
      <w:bookmarkEnd w:id="375"/>
      <w:bookmarkEnd w:id="376"/>
      <w:bookmarkEnd w:id="377"/>
      <w:bookmarkEnd w:id="378"/>
      <w:bookmarkEnd w:id="379"/>
      <w:bookmarkEnd w:id="380"/>
    </w:p>
    <w:bookmarkEnd w:id="381"/>
    <w:p w14:paraId="48650E57" w14:textId="77777777" w:rsidR="004334D2" w:rsidRPr="000C5FD6" w:rsidRDefault="004334D2" w:rsidP="00DA05CE">
      <w:pPr>
        <w:pStyle w:val="SDMPara"/>
        <w:keepNext/>
      </w:pPr>
      <w:r w:rsidRPr="000C5FD6">
        <w:t>Th</w:t>
      </w:r>
      <w:r>
        <w:t xml:space="preserve">is activity emission source is </w:t>
      </w:r>
      <w:r w:rsidRPr="000C5FD6">
        <w:t>determined as follows:</w:t>
      </w:r>
    </w:p>
    <w:tbl>
      <w:tblPr>
        <w:tblStyle w:val="SDMMethTableEquation"/>
        <w:tblW w:w="8764" w:type="dxa"/>
        <w:tblLook w:val="0600" w:firstRow="0" w:lastRow="0" w:firstColumn="0" w:lastColumn="0" w:noHBand="1" w:noVBand="1"/>
      </w:tblPr>
      <w:tblGrid>
        <w:gridCol w:w="7095"/>
        <w:gridCol w:w="1669"/>
      </w:tblGrid>
      <w:tr w:rsidR="004334D2" w:rsidRPr="000C5FD6" w14:paraId="4BF8023E" w14:textId="77777777" w:rsidTr="007E5A9B">
        <w:tc>
          <w:tcPr>
            <w:tcW w:w="7224" w:type="dxa"/>
          </w:tcPr>
          <w:p w14:paraId="67E3FCF7" w14:textId="1AEE45CB" w:rsidR="004334D2" w:rsidRPr="000C5FD6"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SP,y</m:t>
                    </m:r>
                  </m:sub>
                </m:sSub>
                <m:r>
                  <w:rPr>
                    <w:rFonts w:ascii="Cambria Math" w:hAnsi="Cambria Math"/>
                  </w:rPr>
                  <m:t>=0.0504×</m:t>
                </m:r>
                <m:sSub>
                  <m:sSubPr>
                    <m:ctrlPr>
                      <w:rPr>
                        <w:rFonts w:ascii="Cambria Math" w:hAnsi="Cambria Math"/>
                        <w:i/>
                      </w:rPr>
                    </m:ctrlPr>
                  </m:sSubPr>
                  <m:e>
                    <m:r>
                      <w:rPr>
                        <w:rFonts w:ascii="Cambria Math" w:hAnsi="Cambria Math"/>
                      </w:rPr>
                      <m:t>DEFT</m:t>
                    </m:r>
                  </m:e>
                  <m:sub>
                    <m:r>
                      <w:rPr>
                        <w:rFonts w:ascii="Cambria Math" w:hAnsi="Cambria Math"/>
                      </w:rPr>
                      <m:t>SP,y</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CH4,NG,y</m:t>
                    </m:r>
                  </m:sub>
                </m:sSub>
              </m:oMath>
            </m:oMathPara>
          </w:p>
        </w:tc>
        <w:tc>
          <w:tcPr>
            <w:tcW w:w="1701" w:type="dxa"/>
          </w:tcPr>
          <w:p w14:paraId="306C7602" w14:textId="77777777" w:rsidR="004334D2" w:rsidRPr="000C5FD6" w:rsidRDefault="004334D2" w:rsidP="00247E9F">
            <w:pPr>
              <w:numPr>
                <w:ilvl w:val="0"/>
                <w:numId w:val="7"/>
              </w:numPr>
              <w:spacing w:before="360" w:line="360" w:lineRule="auto"/>
              <w:jc w:val="right"/>
            </w:pPr>
          </w:p>
        </w:tc>
      </w:tr>
    </w:tbl>
    <w:p w14:paraId="047AE45C" w14:textId="77777777" w:rsidR="004334D2" w:rsidRPr="000C5FD6" w:rsidRDefault="004334D2" w:rsidP="00DA05CE">
      <w:pPr>
        <w:pStyle w:val="SDMMethCaptionEquationParametersTable"/>
      </w:pPr>
      <w:r w:rsidRPr="000C5FD6">
        <w:t>Where:</w:t>
      </w:r>
    </w:p>
    <w:tbl>
      <w:tblPr>
        <w:tblStyle w:val="SDMMethTableEquationParameters"/>
        <w:tblW w:w="8760" w:type="dxa"/>
        <w:tblLook w:val="04A0" w:firstRow="1" w:lastRow="0" w:firstColumn="1" w:lastColumn="0" w:noHBand="0" w:noVBand="1"/>
      </w:tblPr>
      <w:tblGrid>
        <w:gridCol w:w="1701"/>
        <w:gridCol w:w="345"/>
        <w:gridCol w:w="6714"/>
      </w:tblGrid>
      <w:tr w:rsidR="004334D2" w:rsidRPr="00CA14CD" w14:paraId="7C817103" w14:textId="77777777" w:rsidTr="007E5A9B">
        <w:tc>
          <w:tcPr>
            <w:tcW w:w="1701" w:type="dxa"/>
            <w:vAlign w:val="top"/>
          </w:tcPr>
          <w:p w14:paraId="79975D1C" w14:textId="3744C2CA" w:rsidR="004334D2" w:rsidRPr="00CA14CD"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cs="Arial"/>
                      </w:rPr>
                      <m:t>PE</m:t>
                    </m:r>
                  </m:e>
                  <m:sub>
                    <m:r>
                      <w:rPr>
                        <w:rFonts w:ascii="Cambria Math" w:hAnsi="Cambria Math" w:cs="Arial"/>
                      </w:rPr>
                      <m:t>SP,y</m:t>
                    </m:r>
                  </m:sub>
                </m:sSub>
              </m:oMath>
            </m:oMathPara>
          </w:p>
        </w:tc>
        <w:tc>
          <w:tcPr>
            <w:tcW w:w="345" w:type="dxa"/>
            <w:vAlign w:val="top"/>
          </w:tcPr>
          <w:p w14:paraId="3EDBE426" w14:textId="77777777" w:rsidR="004334D2" w:rsidRPr="00CA14CD" w:rsidRDefault="004334D2" w:rsidP="00081FD4">
            <w:pPr>
              <w:pStyle w:val="SDMTableBoxParaNotNumbered"/>
              <w:rPr>
                <w:rFonts w:cs="Arial"/>
              </w:rPr>
            </w:pPr>
            <w:r w:rsidRPr="00CA14CD">
              <w:rPr>
                <w:rFonts w:cs="Arial"/>
              </w:rPr>
              <w:t>=</w:t>
            </w:r>
          </w:p>
        </w:tc>
        <w:tc>
          <w:tcPr>
            <w:tcW w:w="0" w:type="auto"/>
            <w:vAlign w:val="top"/>
          </w:tcPr>
          <w:p w14:paraId="14CC4BB7" w14:textId="1886A545" w:rsidR="004334D2" w:rsidRPr="00CA14CD" w:rsidRDefault="005704AC" w:rsidP="00081FD4">
            <w:pPr>
              <w:pStyle w:val="SDMTableBoxParaNotNumbered"/>
              <w:rPr>
                <w:rFonts w:cs="Arial"/>
              </w:rPr>
            </w:pPr>
            <w:r w:rsidRPr="00CA14CD">
              <w:rPr>
                <w:rFonts w:cs="Arial"/>
              </w:rPr>
              <w:t>Project emissions</w:t>
            </w:r>
            <w:r w:rsidR="004334D2" w:rsidRPr="00CA14CD">
              <w:rPr>
                <w:rFonts w:cs="Arial"/>
              </w:rPr>
              <w:t xml:space="preserve"> from the supply of LFG or biomethane through a dedicated pipeline to consumers due to physical leakage from the dedicated pipeline, in year </w:t>
            </w:r>
            <w:r w:rsidR="004334D2" w:rsidRPr="00CA14CD">
              <w:rPr>
                <w:rFonts w:cs="Arial"/>
                <w:i/>
              </w:rPr>
              <w:t>y</w:t>
            </w:r>
            <w:r w:rsidR="004334D2" w:rsidRPr="00CA14CD">
              <w:rPr>
                <w:rFonts w:cs="Arial"/>
              </w:rPr>
              <w:t xml:space="preserve"> (tCO</w:t>
            </w:r>
            <w:r w:rsidR="004334D2" w:rsidRPr="00CA14CD">
              <w:rPr>
                <w:rFonts w:cs="Arial"/>
                <w:vertAlign w:val="subscript"/>
              </w:rPr>
              <w:t>2</w:t>
            </w:r>
            <w:r w:rsidR="004334D2" w:rsidRPr="00CA14CD">
              <w:rPr>
                <w:rFonts w:cs="Arial"/>
              </w:rPr>
              <w:t>)</w:t>
            </w:r>
          </w:p>
        </w:tc>
      </w:tr>
      <w:tr w:rsidR="004334D2" w:rsidRPr="00CA14CD" w14:paraId="4FF89189" w14:textId="77777777" w:rsidTr="007E5A9B">
        <w:tc>
          <w:tcPr>
            <w:tcW w:w="1701" w:type="dxa"/>
            <w:vAlign w:val="top"/>
          </w:tcPr>
          <w:p w14:paraId="0CD96F83" w14:textId="7294121A" w:rsidR="004334D2" w:rsidRPr="00CA14CD" w:rsidRDefault="00F9011C" w:rsidP="00081FD4">
            <w:pPr>
              <w:pStyle w:val="SDMTableBoxParaNotNumbered"/>
              <w:keepNext/>
            </w:pPr>
            <m:oMathPara>
              <m:oMathParaPr>
                <m:jc m:val="left"/>
              </m:oMathParaPr>
              <m:oMath>
                <m:r>
                  <w:rPr>
                    <w:rFonts w:ascii="Cambria Math" w:hAnsi="Cambria Math" w:cs="Arial"/>
                  </w:rPr>
                  <m:t>0.0504</m:t>
                </m:r>
              </m:oMath>
            </m:oMathPara>
          </w:p>
        </w:tc>
        <w:tc>
          <w:tcPr>
            <w:tcW w:w="345" w:type="dxa"/>
            <w:vAlign w:val="top"/>
          </w:tcPr>
          <w:p w14:paraId="0C97ABF7" w14:textId="77777777" w:rsidR="004334D2" w:rsidRPr="00CA14CD" w:rsidRDefault="004334D2" w:rsidP="00081FD4">
            <w:pPr>
              <w:pStyle w:val="SDMTableBoxParaNotNumbered"/>
              <w:keepNext/>
            </w:pPr>
            <w:r w:rsidRPr="00CA14CD">
              <w:t>=</w:t>
            </w:r>
          </w:p>
        </w:tc>
        <w:tc>
          <w:tcPr>
            <w:tcW w:w="0" w:type="auto"/>
            <w:vAlign w:val="top"/>
          </w:tcPr>
          <w:p w14:paraId="31ACDF20" w14:textId="77777777" w:rsidR="004334D2" w:rsidRPr="00CA14CD" w:rsidRDefault="004334D2" w:rsidP="00081FD4">
            <w:pPr>
              <w:pStyle w:val="SDMTableBoxParaNotNumbered"/>
              <w:keepNext/>
            </w:pPr>
            <w:r w:rsidRPr="00CA14CD">
              <w:t>Conversion factor (TJ/tCH</w:t>
            </w:r>
            <w:r w:rsidRPr="00CA14CD">
              <w:rPr>
                <w:vertAlign w:val="subscript"/>
              </w:rPr>
              <w:t>4</w:t>
            </w:r>
            <w:r w:rsidRPr="00CA14CD">
              <w:t>)</w:t>
            </w:r>
          </w:p>
        </w:tc>
      </w:tr>
      <w:tr w:rsidR="004334D2" w:rsidRPr="00CA14CD" w14:paraId="7C3C49EF" w14:textId="77777777" w:rsidTr="007E5A9B">
        <w:tc>
          <w:tcPr>
            <w:tcW w:w="1701" w:type="dxa"/>
            <w:vAlign w:val="top"/>
          </w:tcPr>
          <w:p w14:paraId="0DF4167B" w14:textId="77777777" w:rsidR="004334D2" w:rsidRPr="00CA14CD"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rPr>
                      <m:t>DEFT</m:t>
                    </m:r>
                  </m:e>
                  <m:sub>
                    <m:r>
                      <w:rPr>
                        <w:rFonts w:ascii="Cambria Math" w:hAnsi="Cambria Math"/>
                      </w:rPr>
                      <m:t>SP</m:t>
                    </m:r>
                  </m:sub>
                </m:sSub>
              </m:oMath>
            </m:oMathPara>
          </w:p>
        </w:tc>
        <w:tc>
          <w:tcPr>
            <w:tcW w:w="345" w:type="dxa"/>
            <w:vAlign w:val="top"/>
          </w:tcPr>
          <w:p w14:paraId="680F1AC3" w14:textId="77777777" w:rsidR="004334D2" w:rsidRPr="00CA14CD" w:rsidRDefault="004334D2" w:rsidP="00081FD4">
            <w:pPr>
              <w:pStyle w:val="SDMTableBoxParaNotNumbered"/>
              <w:rPr>
                <w:rFonts w:cs="Arial"/>
              </w:rPr>
            </w:pPr>
            <w:r w:rsidRPr="00CA14CD">
              <w:rPr>
                <w:rFonts w:cs="Arial"/>
              </w:rPr>
              <w:t>=</w:t>
            </w:r>
          </w:p>
        </w:tc>
        <w:tc>
          <w:tcPr>
            <w:tcW w:w="0" w:type="auto"/>
            <w:vAlign w:val="top"/>
          </w:tcPr>
          <w:p w14:paraId="26829FE1" w14:textId="77777777" w:rsidR="004334D2" w:rsidRPr="00CA14CD" w:rsidRDefault="004334D2" w:rsidP="00081FD4">
            <w:pPr>
              <w:pStyle w:val="SDMTableBoxParaNotNumbered"/>
              <w:rPr>
                <w:rFonts w:cs="Arial"/>
                <w:b/>
              </w:rPr>
            </w:pPr>
            <w:r w:rsidRPr="00CA14CD">
              <w:rPr>
                <w:rFonts w:cs="Arial"/>
              </w:rPr>
              <w:t>Default emission factor for the supply of LFG or biomethane to consumers through a dedicated pipeline due to physical leakage (tCO</w:t>
            </w:r>
            <w:r w:rsidRPr="00CA14CD">
              <w:rPr>
                <w:rFonts w:cs="Arial"/>
                <w:vertAlign w:val="subscript"/>
              </w:rPr>
              <w:t>2</w:t>
            </w:r>
            <w:r w:rsidRPr="00CA14CD">
              <w:rPr>
                <w:rFonts w:cs="Arial"/>
              </w:rPr>
              <w:t>e/TJ)</w:t>
            </w:r>
          </w:p>
        </w:tc>
      </w:tr>
      <w:tr w:rsidR="004334D2" w:rsidRPr="00CA14CD" w14:paraId="62E57120" w14:textId="77777777" w:rsidTr="007E5A9B">
        <w:tc>
          <w:tcPr>
            <w:tcW w:w="1701" w:type="dxa"/>
            <w:vAlign w:val="top"/>
          </w:tcPr>
          <w:p w14:paraId="2FED55CE" w14:textId="77777777" w:rsidR="004334D2" w:rsidRPr="00CA14CD" w:rsidRDefault="00302468" w:rsidP="00081FD4">
            <w:pPr>
              <w:pStyle w:val="SDMTableBoxParaNotNumbered"/>
              <w:rPr>
                <w:rFonts w:cs="Arial"/>
              </w:rPr>
            </w:pPr>
            <m:oMathPara>
              <m:oMathParaPr>
                <m:jc m:val="left"/>
              </m:oMathParaPr>
              <m:oMath>
                <m:sSub>
                  <m:sSubPr>
                    <m:ctrlPr>
                      <w:rPr>
                        <w:rFonts w:ascii="Cambria Math" w:hAnsi="Cambria Math" w:cs="Arial"/>
                        <w:i/>
                      </w:rPr>
                    </m:ctrlPr>
                  </m:sSubPr>
                  <m:e>
                    <m:r>
                      <w:rPr>
                        <w:rFonts w:ascii="Cambria Math" w:hAnsi="Cambria Math"/>
                      </w:rPr>
                      <m:t>F</m:t>
                    </m:r>
                  </m:e>
                  <m:sub>
                    <m:r>
                      <w:rPr>
                        <w:rFonts w:ascii="Cambria Math" w:hAnsi="Cambria Math"/>
                      </w:rPr>
                      <m:t>CH4,NG,y</m:t>
                    </m:r>
                  </m:sub>
                </m:sSub>
              </m:oMath>
            </m:oMathPara>
          </w:p>
        </w:tc>
        <w:tc>
          <w:tcPr>
            <w:tcW w:w="345" w:type="dxa"/>
            <w:vAlign w:val="top"/>
          </w:tcPr>
          <w:p w14:paraId="3F017C9A" w14:textId="77777777" w:rsidR="004334D2" w:rsidRPr="00CA14CD" w:rsidRDefault="004334D2" w:rsidP="00081FD4">
            <w:pPr>
              <w:pStyle w:val="SDMTableBoxParaNotNumbered"/>
              <w:rPr>
                <w:rFonts w:cs="Arial"/>
              </w:rPr>
            </w:pPr>
            <w:r w:rsidRPr="00CA14CD">
              <w:rPr>
                <w:rFonts w:cs="Arial"/>
              </w:rPr>
              <w:t>=</w:t>
            </w:r>
          </w:p>
        </w:tc>
        <w:tc>
          <w:tcPr>
            <w:tcW w:w="0" w:type="auto"/>
            <w:vAlign w:val="top"/>
          </w:tcPr>
          <w:p w14:paraId="371605B3" w14:textId="4C334F35" w:rsidR="004334D2" w:rsidRPr="00CA14CD" w:rsidRDefault="004334D2" w:rsidP="00081FD4">
            <w:pPr>
              <w:pStyle w:val="SDMTableBoxParaNotNumbered"/>
              <w:rPr>
                <w:rFonts w:cs="Arial"/>
                <w:b/>
              </w:rPr>
            </w:pPr>
            <w:r w:rsidRPr="00CA14CD">
              <w:rPr>
                <w:rFonts w:cs="Arial"/>
              </w:rPr>
              <w:t>Amount of methane in the LFG or biomethane which is sent to the consumer through a dedicated pipeline in year </w:t>
            </w:r>
            <w:r w:rsidRPr="00CA14CD">
              <w:rPr>
                <w:rFonts w:cs="Arial"/>
                <w:i/>
              </w:rPr>
              <w:t>y</w:t>
            </w:r>
            <w:r w:rsidRPr="00CA14CD">
              <w:rPr>
                <w:rFonts w:cs="Arial"/>
              </w:rPr>
              <w:t xml:space="preserve"> (tCH</w:t>
            </w:r>
            <w:r w:rsidRPr="00CA14CD">
              <w:rPr>
                <w:rFonts w:cs="Arial"/>
                <w:vertAlign w:val="subscript"/>
              </w:rPr>
              <w:t>4</w:t>
            </w:r>
            <w:r w:rsidRPr="00CA14CD">
              <w:rPr>
                <w:rFonts w:cs="Arial"/>
              </w:rPr>
              <w:t>/year), determined based on paragraph</w:t>
            </w:r>
            <w:r w:rsidR="00AC440B" w:rsidRPr="00CA14CD">
              <w:rPr>
                <w:rFonts w:cs="Arial"/>
              </w:rPr>
              <w:t xml:space="preserve">s </w:t>
            </w:r>
            <w:r w:rsidR="00AC440B" w:rsidRPr="00CA14CD">
              <w:rPr>
                <w:rFonts w:cs="Arial"/>
              </w:rPr>
              <w:fldChar w:fldCharType="begin"/>
            </w:r>
            <w:r w:rsidR="00AC440B" w:rsidRPr="00CA14CD">
              <w:rPr>
                <w:rFonts w:cs="Arial"/>
              </w:rPr>
              <w:instrText xml:space="preserve"> REF _Ref211523014 \w \h </w:instrText>
            </w:r>
            <w:r w:rsidR="00CA14CD" w:rsidRPr="00CA14CD">
              <w:rPr>
                <w:rFonts w:cs="Arial"/>
              </w:rPr>
              <w:instrText xml:space="preserve"> \* MERGEFORMAT </w:instrText>
            </w:r>
            <w:r w:rsidR="00AC440B" w:rsidRPr="00CA14CD">
              <w:rPr>
                <w:rFonts w:cs="Arial"/>
              </w:rPr>
            </w:r>
            <w:r w:rsidR="00AC440B" w:rsidRPr="00CA14CD">
              <w:rPr>
                <w:rFonts w:cs="Arial"/>
              </w:rPr>
              <w:fldChar w:fldCharType="separate"/>
            </w:r>
            <w:r w:rsidR="00302468">
              <w:rPr>
                <w:rFonts w:cs="Arial"/>
                <w:cs/>
              </w:rPr>
              <w:t>‎</w:t>
            </w:r>
            <w:r w:rsidR="00302468">
              <w:rPr>
                <w:rFonts w:cs="Arial"/>
              </w:rPr>
              <w:t>83</w:t>
            </w:r>
            <w:r w:rsidR="00AC440B" w:rsidRPr="00CA14CD">
              <w:rPr>
                <w:rFonts w:cs="Arial"/>
              </w:rPr>
              <w:fldChar w:fldCharType="end"/>
            </w:r>
            <w:r w:rsidR="00AC440B" w:rsidRPr="00CA14CD">
              <w:rPr>
                <w:rFonts w:cs="Arial"/>
              </w:rPr>
              <w:fldChar w:fldCharType="begin"/>
            </w:r>
            <w:r w:rsidR="00AC440B" w:rsidRPr="00CA14CD">
              <w:rPr>
                <w:rFonts w:cs="Arial"/>
              </w:rPr>
              <w:instrText xml:space="preserve"> REF _Ref211523014 \w \h </w:instrText>
            </w:r>
            <w:r w:rsidR="00CA14CD" w:rsidRPr="00CA14CD">
              <w:rPr>
                <w:rFonts w:cs="Arial"/>
              </w:rPr>
              <w:instrText xml:space="preserve"> \* MERGEFORMAT </w:instrText>
            </w:r>
            <w:r w:rsidR="00AC440B" w:rsidRPr="00CA14CD">
              <w:rPr>
                <w:rFonts w:cs="Arial"/>
              </w:rPr>
            </w:r>
            <w:r w:rsidR="00AC440B" w:rsidRPr="00CA14CD">
              <w:rPr>
                <w:rFonts w:cs="Arial"/>
              </w:rPr>
              <w:fldChar w:fldCharType="separate"/>
            </w:r>
            <w:r w:rsidR="00302468">
              <w:rPr>
                <w:rFonts w:cs="Arial"/>
                <w:cs/>
              </w:rPr>
              <w:t>‎</w:t>
            </w:r>
            <w:r w:rsidR="00302468">
              <w:rPr>
                <w:rFonts w:cs="Arial"/>
              </w:rPr>
              <w:t>83</w:t>
            </w:r>
            <w:r w:rsidR="00AC440B" w:rsidRPr="00CA14CD">
              <w:rPr>
                <w:rFonts w:cs="Arial"/>
              </w:rPr>
              <w:fldChar w:fldCharType="end"/>
            </w:r>
            <w:r w:rsidR="00AC440B" w:rsidRPr="00CA14CD">
              <w:rPr>
                <w:rFonts w:cs="Arial"/>
              </w:rPr>
              <w:t xml:space="preserve"> and </w:t>
            </w:r>
            <w:r w:rsidR="00AC440B" w:rsidRPr="00CA14CD">
              <w:rPr>
                <w:rFonts w:cs="Arial"/>
              </w:rPr>
              <w:fldChar w:fldCharType="begin"/>
            </w:r>
            <w:r w:rsidR="00AC440B" w:rsidRPr="00CA14CD">
              <w:rPr>
                <w:rFonts w:cs="Arial"/>
              </w:rPr>
              <w:instrText xml:space="preserve"> REF _Ref211523023 \w \p \h </w:instrText>
            </w:r>
            <w:r w:rsidR="00CA14CD" w:rsidRPr="00CA14CD">
              <w:rPr>
                <w:rFonts w:cs="Arial"/>
              </w:rPr>
              <w:instrText xml:space="preserve"> \* MERGEFORMAT </w:instrText>
            </w:r>
            <w:r w:rsidR="00AC440B" w:rsidRPr="00CA14CD">
              <w:rPr>
                <w:rFonts w:cs="Arial"/>
              </w:rPr>
            </w:r>
            <w:r w:rsidR="00AC440B" w:rsidRPr="00CA14CD">
              <w:rPr>
                <w:rFonts w:cs="Arial"/>
              </w:rPr>
              <w:fldChar w:fldCharType="separate"/>
            </w:r>
            <w:r w:rsidR="00302468">
              <w:rPr>
                <w:rFonts w:cs="Arial"/>
                <w:cs/>
              </w:rPr>
              <w:t>‎</w:t>
            </w:r>
            <w:r w:rsidR="00302468">
              <w:rPr>
                <w:rFonts w:cs="Arial"/>
              </w:rPr>
              <w:t>84 above</w:t>
            </w:r>
            <w:r w:rsidR="00AC440B" w:rsidRPr="00CA14CD">
              <w:rPr>
                <w:rFonts w:cs="Arial"/>
              </w:rPr>
              <w:fldChar w:fldCharType="end"/>
            </w:r>
          </w:p>
        </w:tc>
      </w:tr>
    </w:tbl>
    <w:p w14:paraId="1731D54F" w14:textId="64B66F06" w:rsidR="004334D2" w:rsidRDefault="005704AC" w:rsidP="0069640C">
      <w:pPr>
        <w:pStyle w:val="SDMHead2"/>
      </w:pPr>
      <w:bookmarkStart w:id="382" w:name="_Ref211545427"/>
      <w:bookmarkStart w:id="383" w:name="_Toc211555328"/>
      <w:bookmarkStart w:id="384" w:name="_Toc211598980"/>
      <w:bookmarkStart w:id="385" w:name="_Toc211599482"/>
      <w:bookmarkStart w:id="386" w:name="_Toc211612278"/>
      <w:bookmarkStart w:id="387" w:name="_Toc211614725"/>
      <w:bookmarkStart w:id="388" w:name="_Toc211614768"/>
      <w:r>
        <w:t>Project emissions</w:t>
      </w:r>
      <w:r w:rsidR="004334D2">
        <w:t xml:space="preserve"> </w:t>
      </w:r>
      <w:r w:rsidR="004334D2" w:rsidRPr="0069640C">
        <w:t>uncertainties</w:t>
      </w:r>
      <w:bookmarkEnd w:id="382"/>
      <w:bookmarkEnd w:id="383"/>
      <w:bookmarkEnd w:id="384"/>
      <w:bookmarkEnd w:id="385"/>
      <w:bookmarkEnd w:id="386"/>
      <w:bookmarkEnd w:id="387"/>
      <w:bookmarkEnd w:id="388"/>
    </w:p>
    <w:p w14:paraId="6DD0F4C3" w14:textId="5FB7A3FA" w:rsidR="004334D2" w:rsidRDefault="004334D2" w:rsidP="00E66E80">
      <w:pPr>
        <w:pStyle w:val="SDMPara"/>
      </w:pPr>
      <w:r>
        <w:t xml:space="preserve">Activity participants shall determine the mean </w:t>
      </w:r>
      <w:r w:rsidR="005704AC">
        <w:t>project emissions</w:t>
      </w:r>
      <w:r>
        <w:t xml:space="preserve"> and the 95</w:t>
      </w:r>
      <w:r w:rsidR="003F7966">
        <w:t xml:space="preserve"> per cent</w:t>
      </w:r>
      <w:r>
        <w:t xml:space="preserve"> confidence interval for uncertainty following the guidance from Volume 1, Chapter 3 of the </w:t>
      </w:r>
      <w:r w:rsidR="00F9011C">
        <w:t>IPCC (</w:t>
      </w:r>
      <w:r>
        <w:t>2019 Refinement</w:t>
      </w:r>
      <w:r w:rsidR="00F9011C">
        <w:t>)</w:t>
      </w:r>
      <w:r w:rsidRPr="00397049">
        <w:t xml:space="preserve"> </w:t>
      </w:r>
      <w:r>
        <w:t>through the error propagation method or through the Monte Carlo simulation.</w:t>
      </w:r>
    </w:p>
    <w:p w14:paraId="36F5CA1B" w14:textId="77777777" w:rsidR="006E1576" w:rsidRDefault="006E1576" w:rsidP="00DA05CE">
      <w:pPr>
        <w:pStyle w:val="SDMPara"/>
        <w:keepNext/>
      </w:pPr>
      <w:r>
        <w:t>Given that project emissions are typically much smaller than baseline emissions for this type of mitigation activity, uncertainty in project emissions shall be addressed as follows:</w:t>
      </w:r>
    </w:p>
    <w:p w14:paraId="044ADE78" w14:textId="61A7DA40" w:rsidR="004334D2" w:rsidRPr="00112D0C" w:rsidRDefault="007163E7" w:rsidP="00E66E80">
      <w:pPr>
        <w:pStyle w:val="SDMSubPara1"/>
      </w:pPr>
      <w:r w:rsidRPr="00112D0C">
        <w:t xml:space="preserve">If the uncertainty range is </w:t>
      </w:r>
      <w:r>
        <w:t>above</w:t>
      </w:r>
      <w:r w:rsidRPr="00112D0C">
        <w:t xml:space="preserve"> +/- 10</w:t>
      </w:r>
      <w:r w:rsidR="00F237F8" w:rsidRPr="00F237F8">
        <w:t xml:space="preserve"> </w:t>
      </w:r>
      <w:r w:rsidR="00F237F8">
        <w:t>per cent</w:t>
      </w:r>
      <w:r w:rsidRPr="00112D0C">
        <w:t xml:space="preserve">, </w:t>
      </w:r>
      <w:r>
        <w:t>p</w:t>
      </w:r>
      <w:r w:rsidR="005704AC">
        <w:t>roject emissions</w:t>
      </w:r>
      <w:r w:rsidR="004334D2" w:rsidRPr="00112D0C">
        <w:t xml:space="preserve"> shall be calculated based on mean plus the upper bound of the 95</w:t>
      </w:r>
      <w:r w:rsidR="00F237F8" w:rsidRPr="00F237F8">
        <w:t xml:space="preserve"> </w:t>
      </w:r>
      <w:r w:rsidR="00F237F8">
        <w:t>per cent</w:t>
      </w:r>
      <w:r w:rsidR="004334D2" w:rsidRPr="00112D0C">
        <w:t xml:space="preserve"> confidence interval</w:t>
      </w:r>
      <w:r>
        <w:t>;</w:t>
      </w:r>
    </w:p>
    <w:p w14:paraId="47455E5C" w14:textId="7985C9E1" w:rsidR="004334D2" w:rsidRPr="00112D0C" w:rsidRDefault="004334D2" w:rsidP="00E66E80">
      <w:pPr>
        <w:pStyle w:val="SDMSubPara1"/>
      </w:pPr>
      <w:r w:rsidRPr="00112D0C">
        <w:t xml:space="preserve">If the uncertainty range is </w:t>
      </w:r>
      <w:r w:rsidR="007163E7">
        <w:t xml:space="preserve">equal to or </w:t>
      </w:r>
      <w:r w:rsidRPr="00112D0C">
        <w:t>below +/- 10</w:t>
      </w:r>
      <w:r w:rsidR="00F237F8" w:rsidRPr="00F237F8">
        <w:t xml:space="preserve"> </w:t>
      </w:r>
      <w:r w:rsidR="00F237F8">
        <w:t>per cent</w:t>
      </w:r>
      <w:r w:rsidRPr="00112D0C">
        <w:t xml:space="preserve">, the mean value for </w:t>
      </w:r>
      <w:r w:rsidR="005704AC">
        <w:t>project emissions</w:t>
      </w:r>
      <w:r w:rsidRPr="00112D0C">
        <w:t xml:space="preserve"> </w:t>
      </w:r>
      <w:r w:rsidR="008262C8">
        <w:t>shall</w:t>
      </w:r>
      <w:r w:rsidR="008262C8" w:rsidRPr="00112D0C">
        <w:t xml:space="preserve"> </w:t>
      </w:r>
      <w:r w:rsidRPr="00112D0C">
        <w:t>be used.</w:t>
      </w:r>
    </w:p>
    <w:p w14:paraId="4B41D52D" w14:textId="10413580" w:rsidR="004334D2" w:rsidRDefault="004334D2" w:rsidP="0069640C">
      <w:pPr>
        <w:pStyle w:val="SDMHead1"/>
      </w:pPr>
      <w:bookmarkStart w:id="389" w:name="_Toc211555329"/>
      <w:bookmarkStart w:id="390" w:name="_Toc211598981"/>
      <w:bookmarkStart w:id="391" w:name="_Toc211599483"/>
      <w:bookmarkStart w:id="392" w:name="_Toc211612279"/>
      <w:bookmarkStart w:id="393" w:name="_Toc211614726"/>
      <w:bookmarkStart w:id="394" w:name="_Toc211614769"/>
      <w:r w:rsidRPr="0069640C">
        <w:t>Leakage</w:t>
      </w:r>
      <w:bookmarkEnd w:id="389"/>
      <w:bookmarkEnd w:id="390"/>
      <w:bookmarkEnd w:id="391"/>
      <w:bookmarkEnd w:id="392"/>
      <w:bookmarkEnd w:id="393"/>
      <w:bookmarkEnd w:id="394"/>
    </w:p>
    <w:p w14:paraId="379BEC73" w14:textId="7DDAC002" w:rsidR="004334D2" w:rsidRPr="00D12306" w:rsidRDefault="004334D2" w:rsidP="00DA05CE">
      <w:pPr>
        <w:pStyle w:val="SDMPara"/>
        <w:keepNext/>
      </w:pPr>
      <w:r>
        <w:t>Adjusted yearly baseline</w:t>
      </w:r>
      <w:r w:rsidDel="009A72AB">
        <w:t xml:space="preserve"> emissions shall be </w:t>
      </w:r>
      <w:bookmarkStart w:id="395" w:name="_Toc206400553"/>
      <w:bookmarkEnd w:id="395"/>
      <w:r>
        <w:t>discounted by 0.5</w:t>
      </w:r>
      <w:r w:rsidR="00F237F8" w:rsidRPr="00F237F8">
        <w:t xml:space="preserve"> </w:t>
      </w:r>
      <w:r w:rsidR="00F237F8">
        <w:t>per cent</w:t>
      </w:r>
      <w:r w:rsidR="006F1E79">
        <w:t xml:space="preserve"> </w:t>
      </w:r>
      <w:r>
        <w:t>to account for leakage emissions</w:t>
      </w:r>
      <w:r>
        <w:rPr>
          <w:rStyle w:val="FootnoteReference"/>
        </w:rPr>
        <w:footnoteReference w:id="20"/>
      </w:r>
      <w:r>
        <w:t>, as follows:</w:t>
      </w:r>
    </w:p>
    <w:tbl>
      <w:tblPr>
        <w:tblStyle w:val="SDMMethTableEquation"/>
        <w:tblW w:w="8760" w:type="dxa"/>
        <w:tblLook w:val="0600" w:firstRow="0" w:lastRow="0" w:firstColumn="0" w:lastColumn="0" w:noHBand="1" w:noVBand="1"/>
      </w:tblPr>
      <w:tblGrid>
        <w:gridCol w:w="7091"/>
        <w:gridCol w:w="1669"/>
      </w:tblGrid>
      <w:tr w:rsidR="004334D2" w:rsidRPr="00E32F75" w14:paraId="38C95725" w14:textId="77777777" w:rsidTr="007E5A9B">
        <w:tc>
          <w:tcPr>
            <w:tcW w:w="7091" w:type="dxa"/>
          </w:tcPr>
          <w:p w14:paraId="73CACE18" w14:textId="77777777"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LE</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0.005×BE</m:t>
                    </m:r>
                  </m:e>
                  <m:sub>
                    <m:r>
                      <w:rPr>
                        <w:rFonts w:ascii="Cambria Math" w:hAnsi="Cambria Math"/>
                      </w:rPr>
                      <m:t>adj,y</m:t>
                    </m:r>
                  </m:sub>
                </m:sSub>
              </m:oMath>
            </m:oMathPara>
          </w:p>
        </w:tc>
        <w:tc>
          <w:tcPr>
            <w:tcW w:w="1669" w:type="dxa"/>
          </w:tcPr>
          <w:p w14:paraId="46515226" w14:textId="77777777" w:rsidR="004334D2" w:rsidRPr="002B6960" w:rsidRDefault="004334D2" w:rsidP="00247E9F">
            <w:pPr>
              <w:pStyle w:val="SDMMethEquationNr"/>
              <w:numPr>
                <w:ilvl w:val="0"/>
                <w:numId w:val="4"/>
              </w:numPr>
            </w:pPr>
          </w:p>
        </w:tc>
      </w:tr>
    </w:tbl>
    <w:p w14:paraId="1F20EA07"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4334D2" w14:paraId="0DC8A4E4" w14:textId="77777777" w:rsidTr="007E5A9B">
        <w:tc>
          <w:tcPr>
            <w:tcW w:w="1701" w:type="dxa"/>
            <w:vAlign w:val="top"/>
          </w:tcPr>
          <w:p w14:paraId="4CBEE23D" w14:textId="77777777" w:rsidR="004334D2" w:rsidRPr="00046512"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LE</m:t>
                    </m:r>
                  </m:e>
                  <m:sub>
                    <m:r>
                      <w:rPr>
                        <w:rFonts w:ascii="Cambria Math" w:hAnsi="Cambria Math"/>
                      </w:rPr>
                      <m:t>y</m:t>
                    </m:r>
                  </m:sub>
                </m:sSub>
              </m:oMath>
            </m:oMathPara>
          </w:p>
        </w:tc>
        <w:tc>
          <w:tcPr>
            <w:tcW w:w="345" w:type="dxa"/>
            <w:vAlign w:val="top"/>
          </w:tcPr>
          <w:p w14:paraId="51FA13E1" w14:textId="77777777" w:rsidR="004334D2" w:rsidRDefault="004334D2" w:rsidP="00081FD4">
            <w:pPr>
              <w:pStyle w:val="SDMTableBoxParaNotNumbered"/>
            </w:pPr>
            <w:r>
              <w:t>=</w:t>
            </w:r>
          </w:p>
        </w:tc>
        <w:tc>
          <w:tcPr>
            <w:tcW w:w="0" w:type="auto"/>
            <w:vAlign w:val="top"/>
          </w:tcPr>
          <w:p w14:paraId="01D970CA" w14:textId="66F31009" w:rsidR="004334D2" w:rsidRDefault="004334D2" w:rsidP="00081FD4">
            <w:pPr>
              <w:pStyle w:val="SDMTableBoxParaNotNumbered"/>
            </w:pPr>
            <w:r>
              <w:t>Leakage emissions in year</w:t>
            </w:r>
            <w:r w:rsidR="00CA14CD">
              <w:t> </w:t>
            </w:r>
            <w:r w:rsidRPr="0098068A">
              <w:rPr>
                <w:i/>
                <w:iCs/>
              </w:rPr>
              <w:t>y</w:t>
            </w:r>
            <w:r>
              <w:t xml:space="preserve"> (tCO</w:t>
            </w:r>
            <w:r w:rsidRPr="0098068A">
              <w:rPr>
                <w:vertAlign w:val="subscript"/>
              </w:rPr>
              <w:t>2</w:t>
            </w:r>
            <w:r>
              <w:t>e/year)</w:t>
            </w:r>
          </w:p>
        </w:tc>
      </w:tr>
      <w:tr w:rsidR="004334D2" w14:paraId="25BB1430" w14:textId="77777777" w:rsidTr="007E5A9B">
        <w:tc>
          <w:tcPr>
            <w:tcW w:w="1701" w:type="dxa"/>
            <w:vAlign w:val="top"/>
          </w:tcPr>
          <w:p w14:paraId="656A7873" w14:textId="77777777" w:rsidR="004334D2" w:rsidRPr="00046512" w:rsidRDefault="004334D2" w:rsidP="00081FD4">
            <w:pPr>
              <w:pStyle w:val="SDMTableBoxParaNotNumbered"/>
            </w:pPr>
            <m:oMathPara>
              <m:oMathParaPr>
                <m:jc m:val="left"/>
              </m:oMathParaPr>
              <m:oMath>
                <m:r>
                  <w:rPr>
                    <w:rFonts w:ascii="Cambria Math" w:hAnsi="Cambria Math" w:cs="Arial"/>
                  </w:rPr>
                  <m:t>0.005</m:t>
                </m:r>
              </m:oMath>
            </m:oMathPara>
          </w:p>
        </w:tc>
        <w:tc>
          <w:tcPr>
            <w:tcW w:w="345" w:type="dxa"/>
            <w:vAlign w:val="top"/>
          </w:tcPr>
          <w:p w14:paraId="409BB868" w14:textId="77777777" w:rsidR="004334D2" w:rsidRDefault="004334D2" w:rsidP="00081FD4">
            <w:pPr>
              <w:pStyle w:val="SDMTableBoxParaNotNumbered"/>
            </w:pPr>
            <w:r>
              <w:t>=</w:t>
            </w:r>
          </w:p>
        </w:tc>
        <w:tc>
          <w:tcPr>
            <w:tcW w:w="0" w:type="auto"/>
            <w:vAlign w:val="top"/>
          </w:tcPr>
          <w:p w14:paraId="30FE4573" w14:textId="6F036B5E" w:rsidR="004334D2" w:rsidRDefault="004334D2" w:rsidP="00081FD4">
            <w:pPr>
              <w:pStyle w:val="SDMTableBoxParaNotNumbered"/>
            </w:pPr>
            <w:r>
              <w:t>Leakage discount factor (%)</w:t>
            </w:r>
          </w:p>
        </w:tc>
      </w:tr>
      <w:tr w:rsidR="004334D2" w14:paraId="4ED972EB" w14:textId="77777777" w:rsidTr="007E5A9B">
        <w:tc>
          <w:tcPr>
            <w:tcW w:w="1701" w:type="dxa"/>
            <w:vAlign w:val="top"/>
          </w:tcPr>
          <w:p w14:paraId="15022CE3" w14:textId="77777777" w:rsidR="004334D2" w:rsidRPr="00046512"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BE</m:t>
                    </m:r>
                  </m:e>
                  <m:sub>
                    <m:r>
                      <w:rPr>
                        <w:rFonts w:ascii="Cambria Math" w:hAnsi="Cambria Math"/>
                      </w:rPr>
                      <m:t>adj,y</m:t>
                    </m:r>
                  </m:sub>
                </m:sSub>
              </m:oMath>
            </m:oMathPara>
          </w:p>
        </w:tc>
        <w:tc>
          <w:tcPr>
            <w:tcW w:w="345" w:type="dxa"/>
            <w:vAlign w:val="top"/>
          </w:tcPr>
          <w:p w14:paraId="0F80C3D4" w14:textId="77777777" w:rsidR="004334D2" w:rsidRDefault="004334D2" w:rsidP="00081FD4">
            <w:pPr>
              <w:pStyle w:val="SDMTableBoxParaNotNumbered"/>
            </w:pPr>
            <w:r>
              <w:t>=</w:t>
            </w:r>
          </w:p>
        </w:tc>
        <w:tc>
          <w:tcPr>
            <w:tcW w:w="0" w:type="auto"/>
            <w:vAlign w:val="top"/>
          </w:tcPr>
          <w:p w14:paraId="59E55ACE" w14:textId="47C5A128" w:rsidR="004334D2" w:rsidRDefault="004334D2" w:rsidP="00081FD4">
            <w:pPr>
              <w:pStyle w:val="SDMTableBoxParaNotNumbered"/>
            </w:pPr>
            <w:r>
              <w:t>Downward adjusted baseline emissions in year</w:t>
            </w:r>
            <w:r w:rsidR="003C2D11">
              <w:t> </w:t>
            </w:r>
            <w:r w:rsidRPr="0098068A">
              <w:rPr>
                <w:i/>
                <w:iCs/>
              </w:rPr>
              <w:t>y</w:t>
            </w:r>
            <w:r>
              <w:t xml:space="preserve"> (tCO</w:t>
            </w:r>
            <w:r w:rsidRPr="0098068A">
              <w:rPr>
                <w:vertAlign w:val="subscript"/>
              </w:rPr>
              <w:t>2</w:t>
            </w:r>
            <w:r>
              <w:t>e/year)]</w:t>
            </w:r>
          </w:p>
        </w:tc>
      </w:tr>
    </w:tbl>
    <w:p w14:paraId="071A724C" w14:textId="77777777" w:rsidR="004334D2" w:rsidRDefault="004334D2" w:rsidP="0069640C">
      <w:pPr>
        <w:pStyle w:val="SDMHead1"/>
      </w:pPr>
      <w:bookmarkStart w:id="396" w:name="_Toc211555330"/>
      <w:bookmarkStart w:id="397" w:name="_Toc211598982"/>
      <w:bookmarkStart w:id="398" w:name="_Toc211599484"/>
      <w:bookmarkStart w:id="399" w:name="_Toc211612280"/>
      <w:bookmarkStart w:id="400" w:name="_Toc211614727"/>
      <w:bookmarkStart w:id="401" w:name="_Toc211614770"/>
      <w:r>
        <w:t xml:space="preserve">Emission </w:t>
      </w:r>
      <w:r w:rsidRPr="0069640C">
        <w:t>reductions</w:t>
      </w:r>
      <w:bookmarkEnd w:id="396"/>
      <w:bookmarkEnd w:id="397"/>
      <w:bookmarkEnd w:id="398"/>
      <w:bookmarkEnd w:id="399"/>
      <w:bookmarkEnd w:id="400"/>
      <w:bookmarkEnd w:id="401"/>
    </w:p>
    <w:p w14:paraId="1C9F87AE" w14:textId="77777777" w:rsidR="004334D2" w:rsidRDefault="004334D2" w:rsidP="00DA05CE">
      <w:pPr>
        <w:pStyle w:val="SDMPara"/>
        <w:keepNext/>
      </w:pPr>
      <w:r>
        <w:t>Emission reductions are determined ex-ante as follows:</w:t>
      </w:r>
    </w:p>
    <w:tbl>
      <w:tblPr>
        <w:tblStyle w:val="SDMMethTableEquation"/>
        <w:tblW w:w="8760" w:type="dxa"/>
        <w:tblLook w:val="0600" w:firstRow="0" w:lastRow="0" w:firstColumn="0" w:lastColumn="0" w:noHBand="1" w:noVBand="1"/>
      </w:tblPr>
      <w:tblGrid>
        <w:gridCol w:w="7091"/>
        <w:gridCol w:w="1669"/>
      </w:tblGrid>
      <w:tr w:rsidR="004334D2" w:rsidRPr="00E32F75" w14:paraId="118182E0" w14:textId="77777777" w:rsidTr="007E5A9B">
        <w:tc>
          <w:tcPr>
            <w:tcW w:w="7224" w:type="dxa"/>
          </w:tcPr>
          <w:p w14:paraId="2F24EF49" w14:textId="2C6E2803" w:rsidR="004334D2" w:rsidRPr="00252AA4" w:rsidRDefault="00302468" w:rsidP="00E06D0C">
            <w:pPr>
              <w:pStyle w:val="SDMMethEquation"/>
            </w:pPr>
            <m:oMathPara>
              <m:oMathParaPr>
                <m:jc m:val="left"/>
              </m:oMathParaPr>
              <m:oMath>
                <m:sSub>
                  <m:sSubPr>
                    <m:ctrlPr>
                      <w:rPr>
                        <w:rFonts w:ascii="Cambria Math" w:hAnsi="Cambria Math"/>
                        <w:i/>
                      </w:rPr>
                    </m:ctrlPr>
                  </m:sSubPr>
                  <m:e>
                    <m:r>
                      <w:rPr>
                        <w:rFonts w:ascii="Cambria Math" w:hAnsi="Cambria Math"/>
                      </w:rPr>
                      <m:t>ER</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BE</m:t>
                    </m:r>
                  </m:e>
                  <m:sub>
                    <m:r>
                      <w:rPr>
                        <w:rFonts w:ascii="Cambria Math" w:hAnsi="Cambria Math"/>
                      </w:rPr>
                      <m:t>adj,y</m:t>
                    </m:r>
                  </m:sub>
                </m:sSub>
                <m:r>
                  <w:rPr>
                    <w:rFonts w:ascii="Cambria Math" w:hAnsi="Cambria Math"/>
                  </w:rPr>
                  <m:t>-</m:t>
                </m:r>
                <m:sSub>
                  <m:sSubPr>
                    <m:ctrlPr>
                      <w:rPr>
                        <w:rFonts w:ascii="Cambria Math" w:hAnsi="Cambria Math"/>
                        <w:i/>
                      </w:rPr>
                    </m:ctrlPr>
                  </m:sSubPr>
                  <m:e>
                    <m:r>
                      <w:rPr>
                        <w:rFonts w:ascii="Cambria Math" w:hAnsi="Cambria Math"/>
                      </w:rPr>
                      <m:t>PE</m:t>
                    </m:r>
                  </m:e>
                  <m:sub>
                    <m:r>
                      <w:rPr>
                        <w:rFonts w:ascii="Cambria Math" w:hAnsi="Cambria Math"/>
                      </w:rPr>
                      <m:t>y</m:t>
                    </m:r>
                  </m:sub>
                </m:sSub>
                <m:r>
                  <w:rPr>
                    <w:rFonts w:ascii="Cambria Math" w:hAnsi="Cambria Math"/>
                  </w:rPr>
                  <m:t>-</m:t>
                </m:r>
                <m:sSub>
                  <m:sSubPr>
                    <m:ctrlPr>
                      <w:rPr>
                        <w:rFonts w:ascii="Cambria Math" w:hAnsi="Cambria Math"/>
                        <w:i/>
                      </w:rPr>
                    </m:ctrlPr>
                  </m:sSubPr>
                  <m:e>
                    <m:r>
                      <w:rPr>
                        <w:rFonts w:ascii="Cambria Math" w:hAnsi="Cambria Math"/>
                      </w:rPr>
                      <m:t>LE</m:t>
                    </m:r>
                  </m:e>
                  <m:sub>
                    <m:r>
                      <w:rPr>
                        <w:rFonts w:ascii="Cambria Math" w:hAnsi="Cambria Math"/>
                      </w:rPr>
                      <m:t>y</m:t>
                    </m:r>
                  </m:sub>
                </m:sSub>
              </m:oMath>
            </m:oMathPara>
          </w:p>
        </w:tc>
        <w:tc>
          <w:tcPr>
            <w:tcW w:w="1701" w:type="dxa"/>
          </w:tcPr>
          <w:p w14:paraId="36FC8B87" w14:textId="77777777" w:rsidR="004334D2" w:rsidRPr="002B6960" w:rsidRDefault="004334D2" w:rsidP="00247E9F">
            <w:pPr>
              <w:pStyle w:val="SDMMethEquationNr"/>
              <w:numPr>
                <w:ilvl w:val="0"/>
                <w:numId w:val="4"/>
              </w:numPr>
            </w:pPr>
          </w:p>
        </w:tc>
      </w:tr>
    </w:tbl>
    <w:p w14:paraId="30869422" w14:textId="77777777" w:rsidR="004334D2" w:rsidRDefault="004334D2" w:rsidP="00DA05CE">
      <w:pPr>
        <w:pStyle w:val="SDMMethCaptionEquationParametersTable"/>
      </w:pPr>
      <w:r>
        <w:t>Where:</w:t>
      </w:r>
    </w:p>
    <w:tbl>
      <w:tblPr>
        <w:tblStyle w:val="SDMMethTableEquationParameters"/>
        <w:tblW w:w="8760" w:type="dxa"/>
        <w:tblLook w:val="04A0" w:firstRow="1" w:lastRow="0" w:firstColumn="1" w:lastColumn="0" w:noHBand="0" w:noVBand="1"/>
      </w:tblPr>
      <w:tblGrid>
        <w:gridCol w:w="1701"/>
        <w:gridCol w:w="345"/>
        <w:gridCol w:w="6714"/>
      </w:tblGrid>
      <w:tr w:rsidR="004334D2" w14:paraId="6DDA8177" w14:textId="77777777" w:rsidTr="007E5A9B">
        <w:tc>
          <w:tcPr>
            <w:tcW w:w="1701" w:type="dxa"/>
            <w:vAlign w:val="top"/>
          </w:tcPr>
          <w:p w14:paraId="35ED9E24" w14:textId="77777777" w:rsidR="004334D2" w:rsidRPr="00046512"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ER</m:t>
                    </m:r>
                  </m:e>
                  <m:sub>
                    <m:r>
                      <w:rPr>
                        <w:rFonts w:ascii="Cambria Math" w:hAnsi="Cambria Math"/>
                      </w:rPr>
                      <m:t>y</m:t>
                    </m:r>
                  </m:sub>
                </m:sSub>
              </m:oMath>
            </m:oMathPara>
          </w:p>
        </w:tc>
        <w:tc>
          <w:tcPr>
            <w:tcW w:w="345" w:type="dxa"/>
            <w:vAlign w:val="top"/>
          </w:tcPr>
          <w:p w14:paraId="77D890FC" w14:textId="77777777" w:rsidR="004334D2" w:rsidRDefault="004334D2" w:rsidP="00081FD4">
            <w:pPr>
              <w:pStyle w:val="SDMTableBoxParaNotNumbered"/>
            </w:pPr>
            <w:r>
              <w:t>=</w:t>
            </w:r>
          </w:p>
        </w:tc>
        <w:tc>
          <w:tcPr>
            <w:tcW w:w="0" w:type="auto"/>
            <w:vAlign w:val="top"/>
          </w:tcPr>
          <w:p w14:paraId="4A3EFF71" w14:textId="6AFF8B28" w:rsidR="004334D2" w:rsidRDefault="004334D2" w:rsidP="00081FD4">
            <w:pPr>
              <w:pStyle w:val="SDMTableBoxParaNotNumbered"/>
            </w:pPr>
            <w:r>
              <w:t>Emission reductions in year</w:t>
            </w:r>
            <w:r w:rsidR="009056BC">
              <w:t> </w:t>
            </w:r>
            <w:r w:rsidRPr="0098068A">
              <w:rPr>
                <w:i/>
                <w:iCs/>
              </w:rPr>
              <w:t>y</w:t>
            </w:r>
            <w:r>
              <w:t xml:space="preserve"> (tCO</w:t>
            </w:r>
            <w:r w:rsidRPr="0098068A">
              <w:rPr>
                <w:vertAlign w:val="subscript"/>
              </w:rPr>
              <w:t>2</w:t>
            </w:r>
            <w:r>
              <w:t>e/year)</w:t>
            </w:r>
          </w:p>
        </w:tc>
      </w:tr>
      <w:tr w:rsidR="004334D2" w14:paraId="51111DC3" w14:textId="77777777" w:rsidTr="007E5A9B">
        <w:tc>
          <w:tcPr>
            <w:tcW w:w="1701" w:type="dxa"/>
            <w:vAlign w:val="top"/>
          </w:tcPr>
          <w:p w14:paraId="72A5B640" w14:textId="77777777" w:rsidR="004334D2" w:rsidRPr="00046512"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BE</m:t>
                    </m:r>
                  </m:e>
                  <m:sub>
                    <m:r>
                      <w:rPr>
                        <w:rFonts w:ascii="Cambria Math" w:hAnsi="Cambria Math"/>
                      </w:rPr>
                      <m:t>adj,y</m:t>
                    </m:r>
                  </m:sub>
                </m:sSub>
              </m:oMath>
            </m:oMathPara>
          </w:p>
        </w:tc>
        <w:tc>
          <w:tcPr>
            <w:tcW w:w="345" w:type="dxa"/>
            <w:vAlign w:val="top"/>
          </w:tcPr>
          <w:p w14:paraId="5A4DB78D" w14:textId="77777777" w:rsidR="004334D2" w:rsidRDefault="004334D2" w:rsidP="00081FD4">
            <w:pPr>
              <w:pStyle w:val="SDMTableBoxParaNotNumbered"/>
            </w:pPr>
            <w:r>
              <w:t>=</w:t>
            </w:r>
          </w:p>
        </w:tc>
        <w:tc>
          <w:tcPr>
            <w:tcW w:w="0" w:type="auto"/>
            <w:vAlign w:val="top"/>
          </w:tcPr>
          <w:p w14:paraId="72877143" w14:textId="20CA8C4B" w:rsidR="004334D2" w:rsidRDefault="004334D2" w:rsidP="00081FD4">
            <w:pPr>
              <w:pStyle w:val="SDMTableBoxParaNotNumbered"/>
            </w:pPr>
            <w:r>
              <w:t>Downward adjusted baseline emissions in year</w:t>
            </w:r>
            <w:r w:rsidR="009056BC">
              <w:t> </w:t>
            </w:r>
            <w:r w:rsidRPr="0098068A">
              <w:rPr>
                <w:i/>
                <w:iCs/>
              </w:rPr>
              <w:t>y</w:t>
            </w:r>
            <w:r>
              <w:t xml:space="preserve"> (tCO</w:t>
            </w:r>
            <w:r w:rsidRPr="0098068A">
              <w:rPr>
                <w:vertAlign w:val="subscript"/>
              </w:rPr>
              <w:t>2</w:t>
            </w:r>
            <w:r>
              <w:t>e/year)</w:t>
            </w:r>
          </w:p>
        </w:tc>
      </w:tr>
      <w:tr w:rsidR="004334D2" w14:paraId="1B5FE837" w14:textId="77777777" w:rsidTr="007E5A9B">
        <w:tc>
          <w:tcPr>
            <w:tcW w:w="1701" w:type="dxa"/>
            <w:vAlign w:val="top"/>
          </w:tcPr>
          <w:p w14:paraId="18AF9696" w14:textId="4AE0CFDE" w:rsidR="004334D2" w:rsidRPr="00046512" w:rsidRDefault="00302468" w:rsidP="00081FD4">
            <w:pPr>
              <w:pStyle w:val="SDMTableBoxParaNotNumbered"/>
            </w:pPr>
            <m:oMathPara>
              <m:oMathParaPr>
                <m:jc m:val="left"/>
              </m:oMathParaPr>
              <m:oMath>
                <m:sSub>
                  <m:sSubPr>
                    <m:ctrlPr>
                      <w:rPr>
                        <w:rFonts w:ascii="Cambria Math" w:hAnsi="Cambria Math" w:cs="Arial"/>
                        <w:i/>
                        <w:sz w:val="22"/>
                        <w:szCs w:val="22"/>
                      </w:rPr>
                    </m:ctrlPr>
                  </m:sSubPr>
                  <m:e>
                    <m:r>
                      <w:rPr>
                        <w:rFonts w:ascii="Cambria Math" w:hAnsi="Cambria Math"/>
                      </w:rPr>
                      <m:t>PE</m:t>
                    </m:r>
                  </m:e>
                  <m:sub>
                    <m:r>
                      <w:rPr>
                        <w:rFonts w:ascii="Cambria Math" w:hAnsi="Cambria Math"/>
                      </w:rPr>
                      <m:t>y</m:t>
                    </m:r>
                  </m:sub>
                </m:sSub>
              </m:oMath>
            </m:oMathPara>
          </w:p>
        </w:tc>
        <w:tc>
          <w:tcPr>
            <w:tcW w:w="345" w:type="dxa"/>
            <w:vAlign w:val="top"/>
          </w:tcPr>
          <w:p w14:paraId="2330BCAE" w14:textId="77777777" w:rsidR="004334D2" w:rsidRDefault="004334D2" w:rsidP="00081FD4">
            <w:pPr>
              <w:pStyle w:val="SDMTableBoxParaNotNumbered"/>
            </w:pPr>
            <w:r>
              <w:t>=</w:t>
            </w:r>
          </w:p>
        </w:tc>
        <w:tc>
          <w:tcPr>
            <w:tcW w:w="0" w:type="auto"/>
            <w:vAlign w:val="top"/>
          </w:tcPr>
          <w:p w14:paraId="1FC31DEE" w14:textId="2F6A643C" w:rsidR="004334D2" w:rsidRDefault="004334D2" w:rsidP="00081FD4">
            <w:pPr>
              <w:pStyle w:val="SDMTableBoxParaNotNumbered"/>
            </w:pPr>
            <w:r>
              <w:t xml:space="preserve">Conservative </w:t>
            </w:r>
            <w:r w:rsidR="005704AC">
              <w:t>project emissions</w:t>
            </w:r>
            <w:r>
              <w:t xml:space="preserve"> in year</w:t>
            </w:r>
            <w:r w:rsidR="009056BC">
              <w:t> </w:t>
            </w:r>
            <w:r w:rsidRPr="0098068A">
              <w:rPr>
                <w:i/>
                <w:iCs/>
              </w:rPr>
              <w:t>y</w:t>
            </w:r>
            <w:r>
              <w:t xml:space="preserve"> (tCO</w:t>
            </w:r>
            <w:r w:rsidRPr="0098068A">
              <w:rPr>
                <w:vertAlign w:val="subscript"/>
              </w:rPr>
              <w:t>2</w:t>
            </w:r>
            <w:r>
              <w:t>e/year)</w:t>
            </w:r>
            <w:r w:rsidR="004724D4">
              <w:t>, d</w:t>
            </w:r>
            <w:r>
              <w:t xml:space="preserve">etermined by applying the uncertainties </w:t>
            </w:r>
            <w:r w:rsidR="00E214E3">
              <w:t xml:space="preserve">required in section </w:t>
            </w:r>
            <w:r w:rsidR="00E214E3">
              <w:fldChar w:fldCharType="begin"/>
            </w:r>
            <w:r w:rsidR="00E214E3">
              <w:instrText xml:space="preserve"> REF _Ref211545427 \w \p \h </w:instrText>
            </w:r>
            <w:r w:rsidR="00081FD4">
              <w:instrText xml:space="preserve"> \* MERGEFORMAT </w:instrText>
            </w:r>
            <w:r w:rsidR="00E214E3">
              <w:fldChar w:fldCharType="separate"/>
            </w:r>
            <w:r w:rsidR="00302468">
              <w:rPr>
                <w:cs/>
              </w:rPr>
              <w:t>‎</w:t>
            </w:r>
            <w:r w:rsidR="00302468">
              <w:t>8.2 above</w:t>
            </w:r>
            <w:r w:rsidR="00E214E3">
              <w:fldChar w:fldCharType="end"/>
            </w:r>
            <w:r w:rsidR="00E214E3">
              <w:t xml:space="preserve"> </w:t>
            </w:r>
            <w:r>
              <w:t xml:space="preserve">to the parameters from </w:t>
            </w:r>
            <w:r w:rsidR="00655C8E">
              <w:t>E</w:t>
            </w:r>
            <w:r>
              <w:t>quation (</w:t>
            </w:r>
            <w:r w:rsidR="004724D4">
              <w:t>45</w:t>
            </w:r>
            <w:r>
              <w:t>) above</w:t>
            </w:r>
          </w:p>
        </w:tc>
      </w:tr>
      <w:tr w:rsidR="004334D2" w14:paraId="5638B5FB" w14:textId="77777777" w:rsidTr="007E5A9B">
        <w:tc>
          <w:tcPr>
            <w:tcW w:w="1701" w:type="dxa"/>
            <w:vAlign w:val="top"/>
          </w:tcPr>
          <w:p w14:paraId="495C34A9" w14:textId="77777777" w:rsidR="004334D2" w:rsidRPr="00046512" w:rsidRDefault="00302468" w:rsidP="00081FD4">
            <w:pPr>
              <w:pStyle w:val="SDMTableBoxParaNotNumbered"/>
              <w:rPr>
                <w:sz w:val="22"/>
                <w:szCs w:val="22"/>
              </w:rPr>
            </w:pPr>
            <m:oMathPara>
              <m:oMathParaPr>
                <m:jc m:val="left"/>
              </m:oMathParaPr>
              <m:oMath>
                <m:sSub>
                  <m:sSubPr>
                    <m:ctrlPr>
                      <w:rPr>
                        <w:rFonts w:ascii="Cambria Math" w:hAnsi="Cambria Math" w:cs="Arial"/>
                        <w:i/>
                        <w:sz w:val="22"/>
                        <w:szCs w:val="22"/>
                      </w:rPr>
                    </m:ctrlPr>
                  </m:sSubPr>
                  <m:e>
                    <m:r>
                      <w:rPr>
                        <w:rFonts w:ascii="Cambria Math" w:hAnsi="Cambria Math"/>
                      </w:rPr>
                      <m:t>LE</m:t>
                    </m:r>
                  </m:e>
                  <m:sub>
                    <m:r>
                      <w:rPr>
                        <w:rFonts w:ascii="Cambria Math" w:hAnsi="Cambria Math"/>
                      </w:rPr>
                      <m:t>y</m:t>
                    </m:r>
                  </m:sub>
                </m:sSub>
              </m:oMath>
            </m:oMathPara>
          </w:p>
        </w:tc>
        <w:tc>
          <w:tcPr>
            <w:tcW w:w="345" w:type="dxa"/>
            <w:vAlign w:val="top"/>
          </w:tcPr>
          <w:p w14:paraId="715D1773" w14:textId="77777777" w:rsidR="004334D2" w:rsidRDefault="004334D2" w:rsidP="00081FD4">
            <w:pPr>
              <w:pStyle w:val="SDMTableBoxParaNotNumbered"/>
            </w:pPr>
            <w:r>
              <w:t>=</w:t>
            </w:r>
          </w:p>
        </w:tc>
        <w:tc>
          <w:tcPr>
            <w:tcW w:w="0" w:type="auto"/>
            <w:vAlign w:val="top"/>
          </w:tcPr>
          <w:p w14:paraId="1B5991BD" w14:textId="1F45FE5E" w:rsidR="004334D2" w:rsidRDefault="004334D2" w:rsidP="00081FD4">
            <w:pPr>
              <w:pStyle w:val="SDMTableBoxParaNotNumbered"/>
            </w:pPr>
            <w:r>
              <w:t>Leakage emissions in year</w:t>
            </w:r>
            <w:r w:rsidR="009056BC">
              <w:t> </w:t>
            </w:r>
            <w:r w:rsidRPr="0098068A">
              <w:rPr>
                <w:i/>
                <w:iCs/>
              </w:rPr>
              <w:t>y</w:t>
            </w:r>
            <w:r>
              <w:t xml:space="preserve"> (tCO</w:t>
            </w:r>
            <w:r w:rsidRPr="0098068A">
              <w:rPr>
                <w:vertAlign w:val="subscript"/>
              </w:rPr>
              <w:t>2</w:t>
            </w:r>
            <w:r>
              <w:t>e/year)</w:t>
            </w:r>
          </w:p>
        </w:tc>
      </w:tr>
    </w:tbl>
    <w:p w14:paraId="58AA5279" w14:textId="77777777" w:rsidR="004334D2" w:rsidRDefault="004334D2" w:rsidP="0069640C">
      <w:pPr>
        <w:pStyle w:val="SDMHead1"/>
      </w:pPr>
      <w:bookmarkStart w:id="402" w:name="_Toc211555331"/>
      <w:bookmarkStart w:id="403" w:name="_Toc211598983"/>
      <w:bookmarkStart w:id="404" w:name="_Toc211599485"/>
      <w:bookmarkStart w:id="405" w:name="_Toc211612281"/>
      <w:bookmarkStart w:id="406" w:name="_Toc211614728"/>
      <w:bookmarkStart w:id="407" w:name="_Toc211614771"/>
      <w:bookmarkStart w:id="408" w:name="_Ref207827613"/>
      <w:bookmarkStart w:id="409" w:name="_Ref207829333"/>
      <w:r>
        <w:t xml:space="preserve">Avoidance of </w:t>
      </w:r>
      <w:r w:rsidRPr="0069640C">
        <w:t>double</w:t>
      </w:r>
      <w:r>
        <w:t xml:space="preserve"> counting</w:t>
      </w:r>
      <w:bookmarkEnd w:id="402"/>
      <w:bookmarkEnd w:id="403"/>
      <w:bookmarkEnd w:id="404"/>
      <w:bookmarkEnd w:id="405"/>
      <w:bookmarkEnd w:id="406"/>
      <w:bookmarkEnd w:id="407"/>
    </w:p>
    <w:p w14:paraId="192AC234" w14:textId="0E4CE7D5" w:rsidR="004334D2" w:rsidRDefault="004334D2" w:rsidP="00DA05CE">
      <w:pPr>
        <w:pStyle w:val="SDMPara"/>
        <w:keepNext/>
      </w:pPr>
      <w:bookmarkStart w:id="410" w:name="_Ref212663062"/>
      <w:r>
        <w:t>A</w:t>
      </w:r>
      <w:r w:rsidR="00E6304E">
        <w:t>ll a</w:t>
      </w:r>
      <w:r>
        <w:t>ctivity participants shall demonstrate that the Article 6.4 activity will not result in double counting by:</w:t>
      </w:r>
      <w:bookmarkEnd w:id="410"/>
    </w:p>
    <w:p w14:paraId="0E719B4C" w14:textId="6830CEEF" w:rsidR="004334D2" w:rsidRPr="00136C49" w:rsidRDefault="004C4913" w:rsidP="00E66E80">
      <w:pPr>
        <w:pStyle w:val="SDMSubPara1"/>
      </w:pPr>
      <w:r w:rsidRPr="00136C49">
        <w:t>Providing evidence</w:t>
      </w:r>
      <w:r w:rsidR="004334D2" w:rsidRPr="00136C49">
        <w:t xml:space="preserve">, in each monitoring report, that the outcomes from the </w:t>
      </w:r>
      <w:r w:rsidR="004334D2" w:rsidRPr="00136C49" w:rsidDel="00463592">
        <w:t xml:space="preserve">Article 6.4 </w:t>
      </w:r>
      <w:r w:rsidR="004334D2" w:rsidRPr="00136C49">
        <w:t xml:space="preserve">activity (e.g. flaring, electricity generation) </w:t>
      </w:r>
      <w:r w:rsidR="00D10F0F" w:rsidRPr="00136C49">
        <w:t xml:space="preserve">for which they intend to request issuance of A6.4ERs are not also claimed in </w:t>
      </w:r>
      <w:r w:rsidR="004334D2" w:rsidRPr="00136C49">
        <w:t>other environmental market</w:t>
      </w:r>
      <w:r w:rsidR="006E7643" w:rsidRPr="00136C49">
        <w:t>s</w:t>
      </w:r>
      <w:r w:rsidR="004334D2" w:rsidRPr="00136C49">
        <w:t xml:space="preserve"> or accounting framework (e.g. guarantees of origin for renewable energy generation</w:t>
      </w:r>
      <w:r w:rsidR="00817C4A" w:rsidRPr="00136C49">
        <w:t>, green hydrogen schemes, low-carbon fuel standards</w:t>
      </w:r>
      <w:r w:rsidR="004334D2" w:rsidRPr="00136C49">
        <w:t>), except for outcomes not related to reducing greenhouse gases emissions (e.g., air contaminant reductions or social impacts);</w:t>
      </w:r>
      <w:r w:rsidR="00E6304E" w:rsidRPr="00136C49">
        <w:t xml:space="preserve"> and</w:t>
      </w:r>
    </w:p>
    <w:p w14:paraId="375F6EDA" w14:textId="6A1AE4A6" w:rsidR="004334D2" w:rsidRDefault="00E6304E" w:rsidP="008F6A3F">
      <w:pPr>
        <w:pStyle w:val="SDMSubPara1"/>
        <w:keepNext/>
      </w:pPr>
      <w:r>
        <w:t>D</w:t>
      </w:r>
      <w:r w:rsidR="004334D2">
        <w:t xml:space="preserve">emonstrating that the </w:t>
      </w:r>
      <w:r w:rsidR="009200E5" w:rsidRPr="00136C49">
        <w:t xml:space="preserve">reported GHG emission reductions for which they intend to request issuance of A6.4ERs </w:t>
      </w:r>
      <w:r w:rsidR="004334D2" w:rsidRPr="00136C49">
        <w:t>do not overlap with mandatory domestic mitigation schemes (e.g.</w:t>
      </w:r>
      <w:r w:rsidRPr="00136C49">
        <w:t>,</w:t>
      </w:r>
      <w:r w:rsidR="004334D2" w:rsidRPr="00136C49">
        <w:t xml:space="preserve"> emissions trading systems)</w:t>
      </w:r>
      <w:r w:rsidR="004502ED" w:rsidRPr="00136C49">
        <w:t xml:space="preserve">, </w:t>
      </w:r>
      <w:r w:rsidR="008F6A3F" w:rsidRPr="00136C49">
        <w:t xml:space="preserve">or that </w:t>
      </w:r>
      <w:r w:rsidR="008212CD" w:rsidRPr="00136C49">
        <w:t>measures are in place to ensure that any relevant impacts of the activity (e.g. the GHG emission reductions achieved or the kilowatt-hours of renewable electricity produced) are not counted towards the achievement of targets or obligations under the mandatory domestic mitigation scheme (e.g. by cancelling allowances from the emissions trading system before issuing carbon credits)</w:t>
      </w:r>
      <w:r w:rsidR="008F6A3F" w:rsidRPr="00136C49">
        <w:t xml:space="preserve"> if the overlap exists</w:t>
      </w:r>
      <w:r w:rsidR="007843B0" w:rsidRPr="00136C49">
        <w:t>,</w:t>
      </w:r>
      <w:r w:rsidR="00CA39F7" w:rsidRPr="00136C49">
        <w:rPr>
          <w:rStyle w:val="FootnoteReference"/>
        </w:rPr>
        <w:footnoteReference w:id="21"/>
      </w:r>
      <w:r w:rsidR="004334D2" w:rsidRPr="00136C49">
        <w:t xml:space="preserve"> by:</w:t>
      </w:r>
    </w:p>
    <w:p w14:paraId="632C7C88" w14:textId="77777777" w:rsidR="004334D2" w:rsidRDefault="004334D2" w:rsidP="00E66E80">
      <w:pPr>
        <w:pStyle w:val="SDMSubPara2"/>
      </w:pPr>
      <w:r>
        <w:t>Declaring and providing evidence in each monitoring report that the Article 6.4 activity and the activities displaced in the baseline scenario (e.g. heat generation using fossil fuels) do not fall within the scope of any mandatory domestic mitigation scheme; or</w:t>
      </w:r>
    </w:p>
    <w:p w14:paraId="15E93A5A" w14:textId="77777777" w:rsidR="00426CAE" w:rsidRDefault="004334D2" w:rsidP="00DA05CE">
      <w:pPr>
        <w:pStyle w:val="SDMSubPara2"/>
        <w:keepNext/>
      </w:pPr>
      <w:r>
        <w:t>Where the Article 6.4 activity or the activities displaced in the baseline scenario fall within the scope of a mandatory domestic mitigation scheme</w:t>
      </w:r>
      <w:r w:rsidR="00E6304E">
        <w:t>, activity participants may:</w:t>
      </w:r>
    </w:p>
    <w:p w14:paraId="20CE11C1" w14:textId="14121CD8" w:rsidR="004334D2" w:rsidRDefault="004334D2" w:rsidP="00E66E80">
      <w:pPr>
        <w:pStyle w:val="SDMSubPara3"/>
        <w:ind w:left="2552" w:hanging="567"/>
      </w:pPr>
      <w:r>
        <w:t>Provid</w:t>
      </w:r>
      <w:r w:rsidR="00E6304E">
        <w:t>e</w:t>
      </w:r>
      <w:r>
        <w:t xml:space="preserve"> evidence in each monitoring report that the mitigation outcomes of the Article 6.4 activity are not counted in the mandatory mitigation scheme to reduce the obligations by the entities covered by the scheme. For example, in the case of an emissions trading system covering electricity generation, a confirmation from the operator of the emissions trading system may be sought that a number of allowances equal to the A6.4 ERs being requested for issuance for the electricity generation component were cancelled before the issuance of the A6.4 ERs; or</w:t>
      </w:r>
    </w:p>
    <w:p w14:paraId="1C8BEED5" w14:textId="65581BFE" w:rsidR="004334D2" w:rsidRDefault="00E6304E" w:rsidP="00E66E80">
      <w:pPr>
        <w:pStyle w:val="SDMSubPara3"/>
        <w:ind w:left="2552" w:hanging="567"/>
      </w:pPr>
      <w:r>
        <w:t xml:space="preserve">Demonstrate that project participants are not requesting the issuance of </w:t>
      </w:r>
      <w:r w:rsidR="004334D2">
        <w:t xml:space="preserve">A6.4ERs for </w:t>
      </w:r>
      <w:r>
        <w:t xml:space="preserve">any </w:t>
      </w:r>
      <w:r w:rsidR="004334D2">
        <w:t xml:space="preserve">emission reductions resulting from a component of the Article 6.4 </w:t>
      </w:r>
      <w:r>
        <w:t xml:space="preserve">activity </w:t>
      </w:r>
      <w:r w:rsidR="004334D2">
        <w:t xml:space="preserve">that falls within the scope of the mandatory domestic scheme. For example, in the case of an emissions trading system covering electricity generation, the </w:t>
      </w:r>
      <w:r>
        <w:t xml:space="preserve">activity participant could elect to not include </w:t>
      </w:r>
      <w:r w:rsidR="004334D2">
        <w:t>baseline emissions from electricity generation in the calculation of the total emission reductions</w:t>
      </w:r>
      <w:r>
        <w:t xml:space="preserve"> and thereby demonstrate that no double-counting has occurred</w:t>
      </w:r>
      <w:r w:rsidR="004334D2">
        <w:t>.</w:t>
      </w:r>
    </w:p>
    <w:p w14:paraId="44873C5F" w14:textId="11B9E522" w:rsidR="006E4586" w:rsidRPr="00FE796B" w:rsidRDefault="008016BB" w:rsidP="00E66E80">
      <w:pPr>
        <w:pStyle w:val="SDMPara"/>
        <w:tabs>
          <w:tab w:val="clear" w:pos="709"/>
        </w:tabs>
      </w:pPr>
      <w:r w:rsidRPr="00FE796B">
        <w:t xml:space="preserve">Notwithstanding paragraph </w:t>
      </w:r>
      <w:r w:rsidR="00BB1D5F" w:rsidRPr="00FE796B">
        <w:fldChar w:fldCharType="begin"/>
      </w:r>
      <w:r w:rsidR="00BB1D5F" w:rsidRPr="00FE796B">
        <w:instrText xml:space="preserve"> REF _Ref212663062 \r \p \h </w:instrText>
      </w:r>
      <w:r w:rsidR="00544372" w:rsidRPr="00FE796B">
        <w:instrText xml:space="preserve"> \* MERGEFORMAT </w:instrText>
      </w:r>
      <w:r w:rsidR="00BB1D5F" w:rsidRPr="00FE796B">
        <w:fldChar w:fldCharType="separate"/>
      </w:r>
      <w:r w:rsidR="00302468">
        <w:rPr>
          <w:cs/>
        </w:rPr>
        <w:t>‎</w:t>
      </w:r>
      <w:r w:rsidR="00302468">
        <w:t>175 above</w:t>
      </w:r>
      <w:r w:rsidR="00BB1D5F" w:rsidRPr="00FE796B">
        <w:fldChar w:fldCharType="end"/>
      </w:r>
      <w:r w:rsidR="00BB1D5F" w:rsidRPr="00FE796B">
        <w:t xml:space="preserve">, </w:t>
      </w:r>
      <w:r w:rsidR="00C34BDA" w:rsidRPr="00FE796B">
        <w:t xml:space="preserve">where the policy for establishing the framework or environmental market </w:t>
      </w:r>
      <w:r w:rsidR="003323E7" w:rsidRPr="00FE796B">
        <w:t xml:space="preserve">or for establishing the mandatory domestic mitigation scheme </w:t>
      </w:r>
      <w:r w:rsidR="00C34BDA" w:rsidRPr="00FE796B">
        <w:t xml:space="preserve">refers to or formally integrates the mechanism as an instrument for implementation, participation in such a framework or environmental market </w:t>
      </w:r>
      <w:r w:rsidR="003323E7" w:rsidRPr="00FE796B">
        <w:t xml:space="preserve">or domestic mitigation scheme </w:t>
      </w:r>
      <w:r w:rsidR="00C34BDA" w:rsidRPr="00FE796B">
        <w:t>does not result in double counting</w:t>
      </w:r>
      <w:r w:rsidR="007A7716" w:rsidRPr="00FE796B">
        <w:t>.</w:t>
      </w:r>
    </w:p>
    <w:p w14:paraId="60298728" w14:textId="56603968" w:rsidR="00E6304E" w:rsidRDefault="00A97E21" w:rsidP="00E66E80">
      <w:pPr>
        <w:pStyle w:val="SDMPara"/>
        <w:tabs>
          <w:tab w:val="clear" w:pos="709"/>
        </w:tabs>
      </w:pPr>
      <w:r>
        <w:t xml:space="preserve">All </w:t>
      </w:r>
      <w:r w:rsidRPr="00E6304E">
        <w:t xml:space="preserve">Article 6.4 activities that involve the </w:t>
      </w:r>
      <w:r>
        <w:t xml:space="preserve">use </w:t>
      </w:r>
      <w:r w:rsidRPr="00E6304E">
        <w:t>of LFG by consumers other than the activity participants</w:t>
      </w:r>
      <w:r>
        <w:t xml:space="preserve"> shall also employ signed </w:t>
      </w:r>
      <w:r w:rsidRPr="00E6304E">
        <w:t xml:space="preserve">contracts with </w:t>
      </w:r>
      <w:r>
        <w:t xml:space="preserve">all </w:t>
      </w:r>
      <w:r w:rsidRPr="00E6304E">
        <w:t>consumers of the heat, electricity, LFG or biomethane generated under the Article 6.4 activity</w:t>
      </w:r>
      <w:r>
        <w:t xml:space="preserve">. These contracts must explicitly indicate </w:t>
      </w:r>
      <w:r w:rsidRPr="00E6304E">
        <w:t xml:space="preserve">that A6.4ERs can only be claimed by the activity participants and that the users of the heat, electricity, LFG or biomethane shall not claim A6.4ERs or carbon credits from any </w:t>
      </w:r>
      <w:r>
        <w:t xml:space="preserve">other </w:t>
      </w:r>
      <w:r w:rsidRPr="00E6304E">
        <w:t>carbon crediting programme</w:t>
      </w:r>
      <w:r>
        <w:t>.</w:t>
      </w:r>
    </w:p>
    <w:p w14:paraId="3F56336D" w14:textId="77777777" w:rsidR="004334D2" w:rsidRDefault="004334D2" w:rsidP="00FE796B">
      <w:pPr>
        <w:pStyle w:val="SDMHead1"/>
      </w:pPr>
      <w:bookmarkStart w:id="411" w:name="_Toc211555332"/>
      <w:bookmarkStart w:id="412" w:name="_Toc211598984"/>
      <w:bookmarkStart w:id="413" w:name="_Toc211599486"/>
      <w:bookmarkStart w:id="414" w:name="_Toc211612282"/>
      <w:bookmarkStart w:id="415" w:name="_Toc211614729"/>
      <w:bookmarkStart w:id="416" w:name="_Toc211614772"/>
      <w:r>
        <w:t xml:space="preserve">Demonstration of alignment with the policies, options and </w:t>
      </w:r>
      <w:r w:rsidRPr="00FE796B">
        <w:t>implementation</w:t>
      </w:r>
      <w:r>
        <w:t xml:space="preserve"> plans with regard to the NDC and LT-LEDS of the host Party and the long-term temperature goal of the Paris Agreement and long-term goals of the Paris Agreement</w:t>
      </w:r>
      <w:bookmarkEnd w:id="411"/>
      <w:bookmarkEnd w:id="412"/>
      <w:bookmarkEnd w:id="413"/>
      <w:bookmarkEnd w:id="414"/>
      <w:bookmarkEnd w:id="415"/>
      <w:bookmarkEnd w:id="416"/>
    </w:p>
    <w:p w14:paraId="68FFB277" w14:textId="77777777" w:rsidR="004334D2" w:rsidRDefault="004334D2" w:rsidP="00E66E80">
      <w:pPr>
        <w:pStyle w:val="SDMPara"/>
      </w:pPr>
      <w:r>
        <w:t>Activity participants shall attach to the PDD presented to the DOE performing the validation a confirmation from the DNA of the host Party that the DNA has undertaken an assessment of the activity’s consistency with Decision 3/CMA.3 paragraph 40 (c) and paragraph 27 (a), as part of the host Party’s approval, to demonstrate that the activity does not constrain, but aligns with the policies, options and implementation plans of the host Party with regard to the nationally determined contribution (NDC) of the host Party, its long-term low greenhouse gas emission development strategies (LT-LEDS) if it has submitted one, and the long-term temperature goal of the Paris Agreement and long-term goals of the Paris Agreement.</w:t>
      </w:r>
    </w:p>
    <w:p w14:paraId="346E5F37" w14:textId="77777777" w:rsidR="004334D2" w:rsidRDefault="004334D2" w:rsidP="00FE796B">
      <w:pPr>
        <w:pStyle w:val="SDMHead1"/>
      </w:pPr>
      <w:bookmarkStart w:id="417" w:name="_Ref208348259"/>
      <w:bookmarkStart w:id="418" w:name="_Toc211555333"/>
      <w:bookmarkStart w:id="419" w:name="_Toc211598985"/>
      <w:bookmarkStart w:id="420" w:name="_Toc211599487"/>
      <w:bookmarkStart w:id="421" w:name="_Toc211612283"/>
      <w:bookmarkStart w:id="422" w:name="_Toc211614730"/>
      <w:bookmarkStart w:id="423" w:name="_Toc211614773"/>
      <w:r>
        <w:t xml:space="preserve">Data and </w:t>
      </w:r>
      <w:r w:rsidRPr="00FE796B">
        <w:t>parameters</w:t>
      </w:r>
      <w:r>
        <w:t xml:space="preserve"> not monitored</w:t>
      </w:r>
      <w:bookmarkEnd w:id="408"/>
      <w:bookmarkEnd w:id="409"/>
      <w:bookmarkEnd w:id="417"/>
      <w:bookmarkEnd w:id="418"/>
      <w:bookmarkEnd w:id="419"/>
      <w:bookmarkEnd w:id="420"/>
      <w:bookmarkEnd w:id="421"/>
      <w:bookmarkEnd w:id="422"/>
      <w:bookmarkEnd w:id="423"/>
    </w:p>
    <w:p w14:paraId="09478E9C" w14:textId="77777777" w:rsidR="004334D2" w:rsidRDefault="004334D2" w:rsidP="00E66E80">
      <w:pPr>
        <w:pStyle w:val="SDMPara"/>
      </w:pPr>
      <w:r>
        <w:rPr>
          <w:sz w:val="20"/>
          <w:lang w:eastAsia="en-US"/>
        </w:rPr>
        <w:t>For parameters where the uncertainty was not provided, activity participants shall assume uncertainty based on expert judgement and justify the estimates.</w:t>
      </w:r>
    </w:p>
    <w:p w14:paraId="1936B10B" w14:textId="1EFF6C26" w:rsidR="004334D2" w:rsidRDefault="004334D2" w:rsidP="004334D2">
      <w:pPr>
        <w:pStyle w:val="Caption"/>
        <w:ind w:hanging="1956"/>
      </w:pPr>
      <w:r>
        <w:t>Data / Parameter table </w:t>
      </w:r>
      <w:r>
        <w:fldChar w:fldCharType="begin"/>
      </w:r>
      <w:r>
        <w:instrText>SEQ Data_/_Parameter_table \r 1 \* ARABIC</w:instrText>
      </w:r>
      <w:r>
        <w:fldChar w:fldCharType="separate"/>
      </w:r>
      <w:r w:rsidR="00302468">
        <w:rPr>
          <w:noProof/>
        </w:rPr>
        <w:t>1</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10"/>
        <w:gridCol w:w="1390"/>
        <w:gridCol w:w="878"/>
        <w:gridCol w:w="2268"/>
      </w:tblGrid>
      <w:tr w:rsidR="004334D2" w:rsidRPr="00AE7BE8" w14:paraId="3DEB10FF" w14:textId="77777777" w:rsidTr="00A672F6">
        <w:tc>
          <w:tcPr>
            <w:tcW w:w="2405" w:type="dxa"/>
            <w:shd w:val="clear" w:color="auto" w:fill="E6E6E6"/>
          </w:tcPr>
          <w:p w14:paraId="6232B994"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4F0640A6" w14:textId="77777777" w:rsidR="004334D2" w:rsidRPr="006D2D5A" w:rsidRDefault="00302468" w:rsidP="00E06D0C">
            <w:pPr>
              <w:pStyle w:val="ParaTickBox"/>
              <w:tabs>
                <w:tab w:val="clear" w:pos="510"/>
              </w:tabs>
              <w:ind w:left="0" w:right="57" w:firstLine="0"/>
              <w:rPr>
                <w:b/>
                <w:bCs/>
                <w:szCs w:val="20"/>
              </w:rPr>
            </w:pPr>
            <m:oMathPara>
              <m:oMathParaPr>
                <m:jc m:val="left"/>
              </m:oMathParaPr>
              <m:oMath>
                <m:sSub>
                  <m:sSubPr>
                    <m:ctrlPr>
                      <w:rPr>
                        <w:rFonts w:ascii="Cambria Math" w:hAnsi="Cambria Math"/>
                        <w:b/>
                        <w:bCs/>
                        <w:i/>
                      </w:rPr>
                    </m:ctrlPr>
                  </m:sSubPr>
                  <m:e>
                    <m:r>
                      <m:rPr>
                        <m:sty m:val="bi"/>
                      </m:rPr>
                      <w:rPr>
                        <w:rFonts w:ascii="Cambria Math" w:hAnsi="Cambria Math"/>
                      </w:rPr>
                      <m:t>OX</m:t>
                    </m:r>
                  </m:e>
                  <m:sub>
                    <m:r>
                      <m:rPr>
                        <m:sty m:val="bi"/>
                      </m:rPr>
                      <w:rPr>
                        <w:rFonts w:ascii="Cambria Math" w:hAnsi="Cambria Math"/>
                      </w:rPr>
                      <m:t>y</m:t>
                    </m:r>
                  </m:sub>
                </m:sSub>
              </m:oMath>
            </m:oMathPara>
          </w:p>
        </w:tc>
      </w:tr>
      <w:tr w:rsidR="004334D2" w:rsidRPr="00AE7BE8" w14:paraId="759B9450" w14:textId="77777777" w:rsidTr="00A672F6">
        <w:tc>
          <w:tcPr>
            <w:tcW w:w="2405" w:type="dxa"/>
            <w:shd w:val="clear" w:color="auto" w:fill="E6E6E6"/>
          </w:tcPr>
          <w:p w14:paraId="7DF7E7AA"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46" w:type="dxa"/>
            <w:gridSpan w:val="4"/>
          </w:tcPr>
          <w:p w14:paraId="2A7F6D94" w14:textId="231D866B" w:rsidR="004334D2" w:rsidRPr="004C6225" w:rsidRDefault="004334D2" w:rsidP="00E06D0C">
            <w:pPr>
              <w:pStyle w:val="ParaTickBox"/>
              <w:tabs>
                <w:tab w:val="clear" w:pos="510"/>
              </w:tabs>
              <w:ind w:left="0" w:right="57" w:firstLine="0"/>
              <w:jc w:val="both"/>
              <w:rPr>
                <w:szCs w:val="20"/>
              </w:rPr>
            </w:pPr>
            <w:r w:rsidRPr="000C5FD6">
              <w:t>Fraction of methane in the LFG that would be oxidized in the top layer of the SWDS in the baseline</w:t>
            </w:r>
            <w:r w:rsidR="00122B78" w:rsidRPr="000C5FD6">
              <w:t xml:space="preserve"> </w:t>
            </w:r>
            <w:r w:rsidR="00122B78">
              <w:t>scenario</w:t>
            </w:r>
            <w:r w:rsidR="00122B78" w:rsidRPr="000C5FD6">
              <w:t xml:space="preserve"> </w:t>
            </w:r>
            <w:r w:rsidR="00122B78">
              <w:t>in year</w:t>
            </w:r>
            <w:r w:rsidR="003C2D11">
              <w:t> </w:t>
            </w:r>
            <w:r w:rsidR="00122B78" w:rsidRPr="006B4AA6">
              <w:rPr>
                <w:i/>
                <w:iCs/>
              </w:rPr>
              <w:t>y</w:t>
            </w:r>
          </w:p>
        </w:tc>
      </w:tr>
      <w:tr w:rsidR="004334D2" w:rsidRPr="00AE7BE8" w14:paraId="3E93D531" w14:textId="77777777" w:rsidTr="00A672F6">
        <w:tc>
          <w:tcPr>
            <w:tcW w:w="2405" w:type="dxa"/>
            <w:shd w:val="clear" w:color="auto" w:fill="E6E6E6"/>
          </w:tcPr>
          <w:p w14:paraId="6C95C130"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46" w:type="dxa"/>
            <w:gridSpan w:val="4"/>
          </w:tcPr>
          <w:p w14:paraId="48213FA7" w14:textId="5B9EF848" w:rsidR="004334D2" w:rsidRPr="004C6225" w:rsidRDefault="00122B78" w:rsidP="00E06D0C">
            <w:pPr>
              <w:pStyle w:val="ParaTickBox"/>
              <w:tabs>
                <w:tab w:val="clear" w:pos="510"/>
              </w:tabs>
              <w:ind w:left="0" w:right="57" w:firstLine="0"/>
              <w:jc w:val="both"/>
              <w:rPr>
                <w:szCs w:val="20"/>
              </w:rPr>
            </w:pPr>
            <w:r>
              <w:rPr>
                <w:szCs w:val="20"/>
              </w:rPr>
              <w:t>-</w:t>
            </w:r>
          </w:p>
        </w:tc>
      </w:tr>
      <w:tr w:rsidR="004334D2" w:rsidRPr="00AE7BE8" w14:paraId="464D8CFE" w14:textId="77777777" w:rsidTr="00A672F6">
        <w:tc>
          <w:tcPr>
            <w:tcW w:w="2405" w:type="dxa"/>
            <w:shd w:val="clear" w:color="auto" w:fill="E6E6E6"/>
          </w:tcPr>
          <w:p w14:paraId="48668561"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2017A625" w14:textId="64B25939" w:rsidR="004334D2" w:rsidRPr="004C6225" w:rsidRDefault="00122B78" w:rsidP="00E06D0C">
            <w:pPr>
              <w:pStyle w:val="ParaTickBox"/>
              <w:tabs>
                <w:tab w:val="clear" w:pos="510"/>
              </w:tabs>
              <w:ind w:left="0" w:right="57" w:firstLine="0"/>
              <w:jc w:val="both"/>
              <w:rPr>
                <w:szCs w:val="20"/>
              </w:rPr>
            </w:pPr>
            <w:r>
              <w:rPr>
                <w:szCs w:val="20"/>
              </w:rPr>
              <w:t>(</w:t>
            </w:r>
            <w:r w:rsidR="00DE0607">
              <w:rPr>
                <w:szCs w:val="20"/>
              </w:rPr>
              <w:t>1</w:t>
            </w:r>
            <w:r>
              <w:rPr>
                <w:szCs w:val="20"/>
              </w:rPr>
              <w:t>), (</w:t>
            </w:r>
            <w:r w:rsidR="00DE0607">
              <w:rPr>
                <w:szCs w:val="20"/>
              </w:rPr>
              <w:t>33</w:t>
            </w:r>
            <w:r>
              <w:rPr>
                <w:szCs w:val="20"/>
              </w:rPr>
              <w:t>)</w:t>
            </w:r>
          </w:p>
        </w:tc>
      </w:tr>
      <w:tr w:rsidR="004334D2" w:rsidRPr="00AE7BE8" w14:paraId="21C7216B" w14:textId="77777777" w:rsidTr="00A672F6">
        <w:tc>
          <w:tcPr>
            <w:tcW w:w="2405" w:type="dxa"/>
            <w:shd w:val="clear" w:color="auto" w:fill="E6E6E6"/>
          </w:tcPr>
          <w:p w14:paraId="2826C4EA" w14:textId="77777777" w:rsidR="004334D2" w:rsidRPr="00AE7BE8" w:rsidRDefault="004334D2" w:rsidP="003C2D11">
            <w:pPr>
              <w:pStyle w:val="ParaTickBox"/>
              <w:keepNext/>
              <w:tabs>
                <w:tab w:val="clear" w:pos="510"/>
              </w:tabs>
              <w:ind w:left="0" w:right="57" w:firstLine="0"/>
              <w:jc w:val="both"/>
              <w:rPr>
                <w:szCs w:val="20"/>
              </w:rPr>
            </w:pPr>
            <w:r w:rsidRPr="00AE7BE8">
              <w:rPr>
                <w:szCs w:val="20"/>
              </w:rPr>
              <w:t>Purpose of data</w:t>
            </w:r>
          </w:p>
        </w:tc>
        <w:tc>
          <w:tcPr>
            <w:tcW w:w="2410" w:type="dxa"/>
          </w:tcPr>
          <w:p w14:paraId="725D1A46" w14:textId="77777777" w:rsidR="004334D2" w:rsidRPr="004C6225" w:rsidRDefault="004334D2" w:rsidP="003C2D11">
            <w:pPr>
              <w:pStyle w:val="ParaTickBox"/>
              <w:keepNext/>
              <w:tabs>
                <w:tab w:val="clear" w:pos="510"/>
              </w:tabs>
              <w:ind w:left="0" w:right="57" w:firstLine="0"/>
            </w:pPr>
            <w:r>
              <w:rPr>
                <w:rFonts w:asciiTheme="minorBidi" w:hAnsiTheme="minorBidi" w:cstheme="minorBidi"/>
                <w:shd w:val="clear" w:color="auto" w:fill="E6E6E6"/>
              </w:rPr>
              <w:fldChar w:fldCharType="begin">
                <w:ffData>
                  <w:name w:val="Check2"/>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268" w:type="dxa"/>
            <w:gridSpan w:val="2"/>
          </w:tcPr>
          <w:p w14:paraId="78C5E464" w14:textId="396EA21A" w:rsidR="004334D2" w:rsidRPr="004C6225" w:rsidRDefault="004334D2" w:rsidP="003C2D11">
            <w:pPr>
              <w:pStyle w:val="ParaTickBox"/>
              <w:keepNext/>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268" w:type="dxa"/>
          </w:tcPr>
          <w:p w14:paraId="5AD7BEFF" w14:textId="77777777" w:rsidR="004334D2" w:rsidRPr="004C6225" w:rsidRDefault="004334D2" w:rsidP="003C2D11">
            <w:pPr>
              <w:pStyle w:val="ParaTickBox"/>
              <w:keepNext/>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AE7BE8" w14:paraId="08D34B07" w14:textId="77777777" w:rsidTr="00A672F6">
        <w:tc>
          <w:tcPr>
            <w:tcW w:w="2405" w:type="dxa"/>
            <w:shd w:val="clear" w:color="auto" w:fill="E6E6E6"/>
          </w:tcPr>
          <w:p w14:paraId="6F59C51C" w14:textId="77777777" w:rsidR="004334D2" w:rsidRPr="00AE7BE8" w:rsidRDefault="004334D2" w:rsidP="003C2D11">
            <w:pPr>
              <w:pStyle w:val="ParaTickBox"/>
              <w:keepNext/>
              <w:keepLines/>
              <w:tabs>
                <w:tab w:val="clear" w:pos="510"/>
              </w:tabs>
              <w:ind w:left="0" w:right="57" w:firstLine="0"/>
              <w:jc w:val="both"/>
              <w:rPr>
                <w:szCs w:val="20"/>
              </w:rPr>
            </w:pPr>
            <w:r w:rsidRPr="00AE7BE8">
              <w:rPr>
                <w:szCs w:val="20"/>
              </w:rPr>
              <w:t>Value(s) applied</w:t>
            </w:r>
          </w:p>
        </w:tc>
        <w:tc>
          <w:tcPr>
            <w:tcW w:w="6946" w:type="dxa"/>
            <w:gridSpan w:val="4"/>
          </w:tcPr>
          <w:tbl>
            <w:tblPr>
              <w:tblStyle w:val="SDMTable"/>
              <w:tblW w:w="0" w:type="auto"/>
              <w:tblLayout w:type="fixed"/>
              <w:tblLook w:val="04A0" w:firstRow="1" w:lastRow="0" w:firstColumn="1" w:lastColumn="0" w:noHBand="0" w:noVBand="1"/>
            </w:tblPr>
            <w:tblGrid>
              <w:gridCol w:w="1474"/>
              <w:gridCol w:w="1197"/>
              <w:gridCol w:w="1542"/>
              <w:gridCol w:w="1065"/>
              <w:gridCol w:w="1417"/>
            </w:tblGrid>
            <w:tr w:rsidR="004334D2" w14:paraId="4CDA1BCF" w14:textId="77777777" w:rsidTr="00FE79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 w:type="dxa"/>
                </w:tcPr>
                <w:p w14:paraId="28B3B9AA" w14:textId="77777777" w:rsidR="004334D2" w:rsidRDefault="004334D2" w:rsidP="003C2D11">
                  <w:pPr>
                    <w:pStyle w:val="ParaTickBox"/>
                    <w:tabs>
                      <w:tab w:val="clear" w:pos="510"/>
                    </w:tabs>
                    <w:ind w:left="0" w:right="57" w:firstLine="0"/>
                    <w:rPr>
                      <w:szCs w:val="20"/>
                    </w:rPr>
                  </w:pPr>
                  <w:r>
                    <w:rPr>
                      <w:lang w:val="en-US"/>
                    </w:rPr>
                    <w:t>Type of SWDS</w:t>
                  </w:r>
                </w:p>
              </w:tc>
              <w:tc>
                <w:tcPr>
                  <w:tcW w:w="1197" w:type="dxa"/>
                </w:tcPr>
                <w:p w14:paraId="11E6720C" w14:textId="77777777" w:rsidR="004334D2" w:rsidRDefault="004334D2" w:rsidP="003C2D11">
                  <w:pPr>
                    <w:pStyle w:val="ParaTickBox"/>
                    <w:tabs>
                      <w:tab w:val="clear" w:pos="510"/>
                    </w:tabs>
                    <w:ind w:left="0" w:right="57" w:firstLine="0"/>
                    <w:cnfStyle w:val="100000000000" w:firstRow="1" w:lastRow="0" w:firstColumn="0" w:lastColumn="0" w:oddVBand="0" w:evenVBand="0" w:oddHBand="0" w:evenHBand="0" w:firstRowFirstColumn="0" w:firstRowLastColumn="0" w:lastRowFirstColumn="0" w:lastRowLastColumn="0"/>
                    <w:rPr>
                      <w:szCs w:val="20"/>
                    </w:rPr>
                  </w:pPr>
                  <w:r>
                    <w:rPr>
                      <w:lang w:val="en-US"/>
                    </w:rPr>
                    <w:t>Age of the SWDS cell</w:t>
                  </w:r>
                </w:p>
              </w:tc>
              <w:tc>
                <w:tcPr>
                  <w:tcW w:w="1542" w:type="dxa"/>
                </w:tcPr>
                <w:p w14:paraId="50B1EE2E" w14:textId="77777777" w:rsidR="004334D2" w:rsidRDefault="004334D2" w:rsidP="003C2D11">
                  <w:pPr>
                    <w:pStyle w:val="ParaTickBox"/>
                    <w:tabs>
                      <w:tab w:val="clear" w:pos="510"/>
                    </w:tabs>
                    <w:ind w:left="0" w:right="57" w:firstLine="0"/>
                    <w:cnfStyle w:val="100000000000" w:firstRow="1" w:lastRow="0" w:firstColumn="0" w:lastColumn="0" w:oddVBand="0" w:evenVBand="0" w:oddHBand="0" w:evenHBand="0" w:firstRowFirstColumn="0" w:firstRowLastColumn="0" w:lastRowFirstColumn="0" w:lastRowLastColumn="0"/>
                    <w:rPr>
                      <w:szCs w:val="20"/>
                    </w:rPr>
                  </w:pPr>
                  <w:r>
                    <w:rPr>
                      <w:szCs w:val="20"/>
                    </w:rPr>
                    <w:t>Type of cover material</w:t>
                  </w:r>
                </w:p>
              </w:tc>
              <w:tc>
                <w:tcPr>
                  <w:tcW w:w="1065" w:type="dxa"/>
                </w:tcPr>
                <w:p w14:paraId="550B40EA" w14:textId="77777777" w:rsidR="004334D2" w:rsidRDefault="004334D2" w:rsidP="003C2D11">
                  <w:pPr>
                    <w:pStyle w:val="ParaTickBox"/>
                    <w:tabs>
                      <w:tab w:val="clear" w:pos="510"/>
                    </w:tabs>
                    <w:ind w:left="0" w:right="57" w:firstLine="0"/>
                    <w:cnfStyle w:val="100000000000" w:firstRow="1" w:lastRow="0" w:firstColumn="0" w:lastColumn="0" w:oddVBand="0" w:evenVBand="0" w:oddHBand="0" w:evenHBand="0" w:firstRowFirstColumn="0" w:firstRowLastColumn="0" w:lastRowFirstColumn="0" w:lastRowLastColumn="0"/>
                    <w:rPr>
                      <w:b w:val="0"/>
                      <w:i/>
                      <w:iCs/>
                      <w:szCs w:val="20"/>
                      <w:vertAlign w:val="subscript"/>
                    </w:rPr>
                  </w:pPr>
                  <w:r w:rsidRPr="00F27C66">
                    <w:rPr>
                      <w:i/>
                      <w:iCs/>
                      <w:szCs w:val="20"/>
                    </w:rPr>
                    <w:t>OX</w:t>
                  </w:r>
                  <w:r w:rsidRPr="00F27C66">
                    <w:rPr>
                      <w:i/>
                      <w:iCs/>
                      <w:szCs w:val="20"/>
                      <w:vertAlign w:val="subscript"/>
                    </w:rPr>
                    <w:t>y</w:t>
                  </w:r>
                </w:p>
                <w:p w14:paraId="2BC6218F" w14:textId="77777777" w:rsidR="004334D2" w:rsidRPr="003E3914" w:rsidRDefault="004334D2" w:rsidP="003C2D11">
                  <w:pPr>
                    <w:pStyle w:val="ParaTickBox"/>
                    <w:tabs>
                      <w:tab w:val="clear" w:pos="510"/>
                    </w:tabs>
                    <w:ind w:left="0" w:right="57" w:firstLine="0"/>
                    <w:cnfStyle w:val="100000000000" w:firstRow="1" w:lastRow="0" w:firstColumn="0" w:lastColumn="0" w:oddVBand="0" w:evenVBand="0" w:oddHBand="0" w:evenHBand="0" w:firstRowFirstColumn="0" w:firstRowLastColumn="0" w:lastRowFirstColumn="0" w:lastRowLastColumn="0"/>
                    <w:rPr>
                      <w:i/>
                      <w:iCs/>
                      <w:szCs w:val="20"/>
                    </w:rPr>
                  </w:pPr>
                  <w:r w:rsidRPr="003E3914">
                    <w:rPr>
                      <w:i/>
                      <w:iCs/>
                      <w:szCs w:val="20"/>
                    </w:rPr>
                    <w:t>(</w:t>
                  </w:r>
                  <w:r>
                    <w:rPr>
                      <w:i/>
                      <w:iCs/>
                      <w:szCs w:val="20"/>
                    </w:rPr>
                    <w:t>m</w:t>
                  </w:r>
                  <w:r w:rsidRPr="003E3914">
                    <w:rPr>
                      <w:i/>
                      <w:iCs/>
                      <w:szCs w:val="20"/>
                    </w:rPr>
                    <w:t>ean)</w:t>
                  </w:r>
                </w:p>
              </w:tc>
              <w:tc>
                <w:tcPr>
                  <w:tcW w:w="1417" w:type="dxa"/>
                </w:tcPr>
                <w:p w14:paraId="6B02288A" w14:textId="77777777" w:rsidR="004334D2" w:rsidRPr="00F27C66" w:rsidRDefault="004334D2" w:rsidP="003C2D11">
                  <w:pPr>
                    <w:pStyle w:val="ParaTickBox"/>
                    <w:tabs>
                      <w:tab w:val="clear" w:pos="510"/>
                    </w:tabs>
                    <w:ind w:left="0" w:right="57" w:firstLine="0"/>
                    <w:cnfStyle w:val="100000000000" w:firstRow="1" w:lastRow="0" w:firstColumn="0" w:lastColumn="0" w:oddVBand="0" w:evenVBand="0" w:oddHBand="0" w:evenHBand="0" w:firstRowFirstColumn="0" w:firstRowLastColumn="0" w:lastRowFirstColumn="0" w:lastRowLastColumn="0"/>
                    <w:rPr>
                      <w:i/>
                      <w:iCs/>
                      <w:szCs w:val="20"/>
                    </w:rPr>
                  </w:pPr>
                  <w:r>
                    <w:rPr>
                      <w:i/>
                      <w:iCs/>
                      <w:szCs w:val="20"/>
                    </w:rPr>
                    <w:t>Uncertainty</w:t>
                  </w:r>
                </w:p>
              </w:tc>
            </w:tr>
            <w:tr w:rsidR="004334D2" w14:paraId="3D9E527B" w14:textId="77777777" w:rsidTr="00FE796B">
              <w:tc>
                <w:tcPr>
                  <w:cnfStyle w:val="001000000000" w:firstRow="0" w:lastRow="0" w:firstColumn="1" w:lastColumn="0" w:oddVBand="0" w:evenVBand="0" w:oddHBand="0" w:evenHBand="0" w:firstRowFirstColumn="0" w:firstRowLastColumn="0" w:lastRowFirstColumn="0" w:lastRowLastColumn="0"/>
                  <w:tcW w:w="1474" w:type="dxa"/>
                  <w:vMerge w:val="restart"/>
                  <w:vAlign w:val="center"/>
                </w:tcPr>
                <w:p w14:paraId="6669C0C5" w14:textId="77777777" w:rsidR="004334D2" w:rsidRDefault="004334D2" w:rsidP="003C2D11">
                  <w:pPr>
                    <w:keepNext/>
                    <w:keepLines/>
                    <w:spacing w:before="60" w:after="60"/>
                    <w:ind w:right="57"/>
                    <w:jc w:val="left"/>
                    <w:rPr>
                      <w:b w:val="0"/>
                    </w:rPr>
                  </w:pPr>
                  <w:r>
                    <w:rPr>
                      <w:rFonts w:cs="Arial"/>
                      <w:sz w:val="20"/>
                      <w:lang w:val="en-US"/>
                    </w:rPr>
                    <w:t>Existing SWDS</w:t>
                  </w:r>
                </w:p>
                <w:p w14:paraId="021526FA" w14:textId="77777777" w:rsidR="004334D2" w:rsidRDefault="004334D2" w:rsidP="003C2D11">
                  <w:pPr>
                    <w:pStyle w:val="ParaTickBox"/>
                    <w:keepNext/>
                    <w:keepLines/>
                    <w:ind w:left="0" w:right="57"/>
                    <w:rPr>
                      <w:szCs w:val="20"/>
                    </w:rPr>
                  </w:pPr>
                </w:p>
              </w:tc>
              <w:tc>
                <w:tcPr>
                  <w:tcW w:w="1197" w:type="dxa"/>
                  <w:vMerge w:val="restart"/>
                  <w:vAlign w:val="center"/>
                </w:tcPr>
                <w:p w14:paraId="0084FD65" w14:textId="77777777" w:rsidR="004334D2" w:rsidRDefault="004334D2" w:rsidP="003C2D11">
                  <w:pPr>
                    <w:keepNext/>
                    <w:keepLines/>
                    <w:ind w:right="57"/>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lang w:val="en-US"/>
                    </w:rPr>
                    <w:t>Immature and mature</w:t>
                  </w:r>
                </w:p>
              </w:tc>
              <w:tc>
                <w:tcPr>
                  <w:tcW w:w="1542" w:type="dxa"/>
                </w:tcPr>
                <w:p w14:paraId="08F9C47E" w14:textId="77777777" w:rsidR="004334D2" w:rsidRDefault="004334D2" w:rsidP="003C2D11">
                  <w:pPr>
                    <w:keepNext/>
                    <w:keepLines/>
                    <w:ind w:right="57"/>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No cover</w:t>
                  </w:r>
                </w:p>
                <w:p w14:paraId="70F3D41B"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rPr>
                      <w:szCs w:val="20"/>
                    </w:rPr>
                  </w:pPr>
                  <w:r>
                    <w:t>(LDCs/SIDS)</w:t>
                  </w:r>
                </w:p>
              </w:tc>
              <w:tc>
                <w:tcPr>
                  <w:tcW w:w="1065" w:type="dxa"/>
                </w:tcPr>
                <w:p w14:paraId="551D01AE" w14:textId="77777777" w:rsidR="004334D2"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rPr>
                      <w:szCs w:val="20"/>
                    </w:rPr>
                  </w:pPr>
                  <w:r>
                    <w:t>0</w:t>
                  </w:r>
                </w:p>
              </w:tc>
              <w:tc>
                <w:tcPr>
                  <w:tcW w:w="1417" w:type="dxa"/>
                </w:tcPr>
                <w:p w14:paraId="54D65597" w14:textId="77777777" w:rsidR="004334D2" w:rsidRPr="005F311B"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pPr>
                  <w:r w:rsidRPr="005F311B">
                    <w:t>N/A</w:t>
                  </w:r>
                </w:p>
              </w:tc>
            </w:tr>
            <w:tr w:rsidR="004334D2" w14:paraId="1DF61A14" w14:textId="77777777" w:rsidTr="00FE796B">
              <w:tc>
                <w:tcPr>
                  <w:cnfStyle w:val="001000000000" w:firstRow="0" w:lastRow="0" w:firstColumn="1" w:lastColumn="0" w:oddVBand="0" w:evenVBand="0" w:oddHBand="0" w:evenHBand="0" w:firstRowFirstColumn="0" w:firstRowLastColumn="0" w:lastRowFirstColumn="0" w:lastRowLastColumn="0"/>
                  <w:tcW w:w="1474" w:type="dxa"/>
                  <w:vMerge/>
                  <w:vAlign w:val="center"/>
                </w:tcPr>
                <w:p w14:paraId="7DCEFD3D" w14:textId="77777777" w:rsidR="004334D2" w:rsidRDefault="004334D2" w:rsidP="003C2D11">
                  <w:pPr>
                    <w:pStyle w:val="ParaTickBox"/>
                    <w:keepNext/>
                    <w:keepLines/>
                    <w:ind w:left="0" w:right="57"/>
                    <w:rPr>
                      <w:szCs w:val="20"/>
                    </w:rPr>
                  </w:pPr>
                </w:p>
              </w:tc>
              <w:tc>
                <w:tcPr>
                  <w:tcW w:w="1197" w:type="dxa"/>
                  <w:vMerge/>
                  <w:vAlign w:val="center"/>
                </w:tcPr>
                <w:p w14:paraId="08D61515" w14:textId="77777777" w:rsidR="004334D2" w:rsidRDefault="004334D2" w:rsidP="003C2D11">
                  <w:pPr>
                    <w:keepNext/>
                    <w:keepLines/>
                    <w:ind w:right="57"/>
                    <w:jc w:val="left"/>
                    <w:cnfStyle w:val="000000000000" w:firstRow="0" w:lastRow="0" w:firstColumn="0" w:lastColumn="0" w:oddVBand="0" w:evenVBand="0" w:oddHBand="0" w:evenHBand="0" w:firstRowFirstColumn="0" w:firstRowLastColumn="0" w:lastRowFirstColumn="0" w:lastRowLastColumn="0"/>
                    <w:rPr>
                      <w:rFonts w:cs="Arial"/>
                      <w:sz w:val="20"/>
                    </w:rPr>
                  </w:pPr>
                </w:p>
              </w:tc>
              <w:tc>
                <w:tcPr>
                  <w:tcW w:w="1542" w:type="dxa"/>
                </w:tcPr>
                <w:p w14:paraId="17F38D4A" w14:textId="77777777" w:rsidR="004334D2" w:rsidRDefault="004334D2" w:rsidP="003C2D11">
                  <w:pPr>
                    <w:keepNext/>
                    <w:keepLines/>
                    <w:ind w:right="57"/>
                    <w:jc w:val="left"/>
                    <w:cnfStyle w:val="000000000000" w:firstRow="0" w:lastRow="0" w:firstColumn="0" w:lastColumn="0" w:oddVBand="0" w:evenVBand="0" w:oddHBand="0" w:evenHBand="0" w:firstRowFirstColumn="0" w:firstRowLastColumn="0" w:lastRowFirstColumn="0" w:lastRowLastColumn="0"/>
                    <w:rPr>
                      <w:rFonts w:cs="Arial"/>
                      <w:sz w:val="20"/>
                    </w:rPr>
                  </w:pPr>
                  <w:r>
                    <w:rPr>
                      <w:rFonts w:cs="Arial"/>
                      <w:sz w:val="20"/>
                    </w:rPr>
                    <w:t>No cover</w:t>
                  </w:r>
                </w:p>
                <w:p w14:paraId="75800E5F"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rPr>
                      <w:szCs w:val="20"/>
                    </w:rPr>
                  </w:pPr>
                  <w:r>
                    <w:t>(non-LDCs/SIDS)</w:t>
                  </w:r>
                </w:p>
              </w:tc>
              <w:tc>
                <w:tcPr>
                  <w:tcW w:w="1065" w:type="dxa"/>
                </w:tcPr>
                <w:p w14:paraId="4CB43F15" w14:textId="77777777" w:rsidR="004334D2"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rPr>
                      <w:szCs w:val="20"/>
                    </w:rPr>
                  </w:pPr>
                  <w:r>
                    <w:t>0.1</w:t>
                  </w:r>
                </w:p>
              </w:tc>
              <w:tc>
                <w:tcPr>
                  <w:tcW w:w="1417" w:type="dxa"/>
                </w:tcPr>
                <w:p w14:paraId="39E4EA1C" w14:textId="77777777" w:rsidR="004334D2" w:rsidRPr="005F311B"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pPr>
                </w:p>
              </w:tc>
            </w:tr>
            <w:tr w:rsidR="004334D2" w14:paraId="17D8AF69" w14:textId="77777777" w:rsidTr="00FE796B">
              <w:tc>
                <w:tcPr>
                  <w:cnfStyle w:val="001000000000" w:firstRow="0" w:lastRow="0" w:firstColumn="1" w:lastColumn="0" w:oddVBand="0" w:evenVBand="0" w:oddHBand="0" w:evenHBand="0" w:firstRowFirstColumn="0" w:firstRowLastColumn="0" w:lastRowFirstColumn="0" w:lastRowLastColumn="0"/>
                  <w:tcW w:w="1474" w:type="dxa"/>
                  <w:vMerge/>
                  <w:vAlign w:val="center"/>
                </w:tcPr>
                <w:p w14:paraId="055325F2" w14:textId="77777777" w:rsidR="004334D2" w:rsidRDefault="004334D2" w:rsidP="003C2D11">
                  <w:pPr>
                    <w:pStyle w:val="ParaTickBox"/>
                    <w:keepNext/>
                    <w:keepLines/>
                    <w:ind w:left="0" w:right="57"/>
                    <w:rPr>
                      <w:szCs w:val="20"/>
                    </w:rPr>
                  </w:pPr>
                </w:p>
              </w:tc>
              <w:tc>
                <w:tcPr>
                  <w:tcW w:w="1197" w:type="dxa"/>
                  <w:vMerge/>
                  <w:vAlign w:val="center"/>
                </w:tcPr>
                <w:p w14:paraId="61E35CA0"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pPr>
                </w:p>
              </w:tc>
              <w:tc>
                <w:tcPr>
                  <w:tcW w:w="1542" w:type="dxa"/>
                </w:tcPr>
                <w:p w14:paraId="6A654A4D"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rPr>
                      <w:szCs w:val="20"/>
                    </w:rPr>
                  </w:pPr>
                  <w:r>
                    <w:t>Synthetic</w:t>
                  </w:r>
                </w:p>
              </w:tc>
              <w:tc>
                <w:tcPr>
                  <w:tcW w:w="1065" w:type="dxa"/>
                </w:tcPr>
                <w:p w14:paraId="4AE0668E" w14:textId="77777777" w:rsidR="004334D2"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rPr>
                      <w:szCs w:val="20"/>
                    </w:rPr>
                  </w:pPr>
                  <w:r>
                    <w:t>0.1</w:t>
                  </w:r>
                </w:p>
              </w:tc>
              <w:tc>
                <w:tcPr>
                  <w:tcW w:w="1417" w:type="dxa"/>
                </w:tcPr>
                <w:p w14:paraId="1DCB35B9" w14:textId="77777777" w:rsidR="004334D2" w:rsidRPr="005F311B"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pPr>
                </w:p>
              </w:tc>
            </w:tr>
            <w:tr w:rsidR="004334D2" w14:paraId="3A28DBC7" w14:textId="77777777" w:rsidTr="00FE796B">
              <w:tc>
                <w:tcPr>
                  <w:cnfStyle w:val="001000000000" w:firstRow="0" w:lastRow="0" w:firstColumn="1" w:lastColumn="0" w:oddVBand="0" w:evenVBand="0" w:oddHBand="0" w:evenHBand="0" w:firstRowFirstColumn="0" w:firstRowLastColumn="0" w:lastRowFirstColumn="0" w:lastRowLastColumn="0"/>
                  <w:tcW w:w="1474" w:type="dxa"/>
                  <w:vMerge/>
                  <w:vAlign w:val="center"/>
                </w:tcPr>
                <w:p w14:paraId="6ECE0145" w14:textId="77777777" w:rsidR="004334D2" w:rsidRDefault="004334D2" w:rsidP="003C2D11">
                  <w:pPr>
                    <w:pStyle w:val="ParaTickBox"/>
                    <w:keepNext/>
                    <w:keepLines/>
                    <w:ind w:left="0" w:right="57"/>
                    <w:rPr>
                      <w:szCs w:val="20"/>
                    </w:rPr>
                  </w:pPr>
                </w:p>
              </w:tc>
              <w:tc>
                <w:tcPr>
                  <w:tcW w:w="1197" w:type="dxa"/>
                  <w:vMerge/>
                  <w:vAlign w:val="center"/>
                </w:tcPr>
                <w:p w14:paraId="7013A1C2"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pPr>
                </w:p>
              </w:tc>
              <w:tc>
                <w:tcPr>
                  <w:tcW w:w="1542" w:type="dxa"/>
                </w:tcPr>
                <w:p w14:paraId="3C318CAF"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rPr>
                      <w:szCs w:val="20"/>
                    </w:rPr>
                  </w:pPr>
                  <w:r>
                    <w:t>Soil</w:t>
                  </w:r>
                </w:p>
              </w:tc>
              <w:tc>
                <w:tcPr>
                  <w:tcW w:w="1065" w:type="dxa"/>
                </w:tcPr>
                <w:p w14:paraId="53EEDD21" w14:textId="09BD6F3A" w:rsidR="004334D2" w:rsidRPr="00122B78"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pPr>
                  <w:r w:rsidRPr="00122B78">
                    <w:t>0.</w:t>
                  </w:r>
                  <w:r w:rsidR="00855243" w:rsidRPr="00122B78">
                    <w:t>383</w:t>
                  </w:r>
                </w:p>
              </w:tc>
              <w:tc>
                <w:tcPr>
                  <w:tcW w:w="1417" w:type="dxa"/>
                </w:tcPr>
                <w:p w14:paraId="0DA626BD" w14:textId="77777777" w:rsidR="004334D2" w:rsidRPr="005F311B"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pPr>
                  <w:r w:rsidRPr="005F311B">
                    <w:rPr>
                      <w:u w:val="single"/>
                    </w:rPr>
                    <w:t>+</w:t>
                  </w:r>
                  <w:r w:rsidRPr="005F311B">
                    <w:t xml:space="preserve"> 8%</w:t>
                  </w:r>
                </w:p>
              </w:tc>
            </w:tr>
            <w:tr w:rsidR="004334D2" w14:paraId="2A9FBF6B" w14:textId="77777777" w:rsidTr="00FE796B">
              <w:tc>
                <w:tcPr>
                  <w:cnfStyle w:val="001000000000" w:firstRow="0" w:lastRow="0" w:firstColumn="1" w:lastColumn="0" w:oddVBand="0" w:evenVBand="0" w:oddHBand="0" w:evenHBand="0" w:firstRowFirstColumn="0" w:firstRowLastColumn="0" w:lastRowFirstColumn="0" w:lastRowLastColumn="0"/>
                  <w:tcW w:w="1474" w:type="dxa"/>
                  <w:vMerge/>
                  <w:vAlign w:val="center"/>
                </w:tcPr>
                <w:p w14:paraId="4C844732" w14:textId="77777777" w:rsidR="004334D2" w:rsidRDefault="004334D2" w:rsidP="003C2D11">
                  <w:pPr>
                    <w:pStyle w:val="ParaTickBox"/>
                    <w:keepNext/>
                    <w:keepLines/>
                    <w:tabs>
                      <w:tab w:val="clear" w:pos="510"/>
                    </w:tabs>
                    <w:ind w:left="0" w:right="57" w:firstLine="0"/>
                    <w:rPr>
                      <w:szCs w:val="20"/>
                    </w:rPr>
                  </w:pPr>
                </w:p>
              </w:tc>
              <w:tc>
                <w:tcPr>
                  <w:tcW w:w="1197" w:type="dxa"/>
                  <w:vAlign w:val="center"/>
                </w:tcPr>
                <w:p w14:paraId="09AC2435"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pPr>
                  <w:r>
                    <w:rPr>
                      <w:lang w:val="en-US"/>
                    </w:rPr>
                    <w:t>Aged</w:t>
                  </w:r>
                </w:p>
              </w:tc>
              <w:tc>
                <w:tcPr>
                  <w:tcW w:w="1542" w:type="dxa"/>
                </w:tcPr>
                <w:p w14:paraId="2BF5ACF8"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rPr>
                      <w:szCs w:val="20"/>
                    </w:rPr>
                  </w:pPr>
                  <w:r>
                    <w:t>Soil</w:t>
                  </w:r>
                </w:p>
              </w:tc>
              <w:tc>
                <w:tcPr>
                  <w:tcW w:w="1065" w:type="dxa"/>
                </w:tcPr>
                <w:p w14:paraId="0AF963EA" w14:textId="4360A783" w:rsidR="004334D2" w:rsidRPr="00122B78"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rPr>
                      <w:szCs w:val="20"/>
                    </w:rPr>
                  </w:pPr>
                  <w:r w:rsidRPr="00122B78">
                    <w:t>0.</w:t>
                  </w:r>
                  <w:r w:rsidR="00855243" w:rsidRPr="00122B78">
                    <w:t>383</w:t>
                  </w:r>
                </w:p>
              </w:tc>
              <w:tc>
                <w:tcPr>
                  <w:tcW w:w="1417" w:type="dxa"/>
                </w:tcPr>
                <w:p w14:paraId="1C7AB5DE" w14:textId="77777777" w:rsidR="004334D2" w:rsidRPr="005F311B"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pPr>
                  <w:r w:rsidRPr="005F311B">
                    <w:rPr>
                      <w:u w:val="single"/>
                    </w:rPr>
                    <w:t>+</w:t>
                  </w:r>
                  <w:r w:rsidRPr="005F311B">
                    <w:t xml:space="preserve"> 8%</w:t>
                  </w:r>
                </w:p>
              </w:tc>
            </w:tr>
            <w:tr w:rsidR="004334D2" w14:paraId="2C452959" w14:textId="77777777" w:rsidTr="00FE796B">
              <w:tc>
                <w:tcPr>
                  <w:cnfStyle w:val="001000000000" w:firstRow="0" w:lastRow="0" w:firstColumn="1" w:lastColumn="0" w:oddVBand="0" w:evenVBand="0" w:oddHBand="0" w:evenHBand="0" w:firstRowFirstColumn="0" w:firstRowLastColumn="0" w:lastRowFirstColumn="0" w:lastRowLastColumn="0"/>
                  <w:tcW w:w="1474" w:type="dxa"/>
                  <w:vMerge w:val="restart"/>
                  <w:vAlign w:val="center"/>
                </w:tcPr>
                <w:p w14:paraId="4D7F476F" w14:textId="77777777" w:rsidR="004334D2" w:rsidRDefault="004334D2" w:rsidP="003C2D11">
                  <w:pPr>
                    <w:pStyle w:val="ParaTickBox"/>
                    <w:keepNext/>
                    <w:keepLines/>
                    <w:tabs>
                      <w:tab w:val="clear" w:pos="510"/>
                    </w:tabs>
                    <w:ind w:left="0" w:right="57" w:firstLine="0"/>
                    <w:rPr>
                      <w:szCs w:val="20"/>
                    </w:rPr>
                  </w:pPr>
                  <w:r>
                    <w:rPr>
                      <w:lang w:val="en-US"/>
                    </w:rPr>
                    <w:t>Hypothetical SWDS</w:t>
                  </w:r>
                </w:p>
              </w:tc>
              <w:tc>
                <w:tcPr>
                  <w:tcW w:w="1197" w:type="dxa"/>
                  <w:vMerge w:val="restart"/>
                  <w:vAlign w:val="center"/>
                </w:tcPr>
                <w:p w14:paraId="26E445D1"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pPr>
                  <w:r>
                    <w:rPr>
                      <w:lang w:val="en-US"/>
                    </w:rPr>
                    <w:t>N/A</w:t>
                  </w:r>
                </w:p>
              </w:tc>
              <w:tc>
                <w:tcPr>
                  <w:tcW w:w="1542" w:type="dxa"/>
                </w:tcPr>
                <w:p w14:paraId="1E572A43"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rPr>
                      <w:szCs w:val="20"/>
                    </w:rPr>
                  </w:pPr>
                  <w:r>
                    <w:t>Synthetic</w:t>
                  </w:r>
                </w:p>
              </w:tc>
              <w:tc>
                <w:tcPr>
                  <w:tcW w:w="1065" w:type="dxa"/>
                </w:tcPr>
                <w:p w14:paraId="10FCFCD2" w14:textId="77777777" w:rsidR="004334D2" w:rsidRPr="00122B78"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rPr>
                      <w:szCs w:val="20"/>
                    </w:rPr>
                  </w:pPr>
                  <w:r w:rsidRPr="00122B78">
                    <w:t>0.1</w:t>
                  </w:r>
                </w:p>
              </w:tc>
              <w:tc>
                <w:tcPr>
                  <w:tcW w:w="1417" w:type="dxa"/>
                </w:tcPr>
                <w:p w14:paraId="547BCBC5" w14:textId="77777777" w:rsidR="004334D2" w:rsidRPr="005F311B"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pPr>
                </w:p>
              </w:tc>
            </w:tr>
            <w:tr w:rsidR="004334D2" w14:paraId="08716729" w14:textId="77777777" w:rsidTr="00FE796B">
              <w:tc>
                <w:tcPr>
                  <w:cnfStyle w:val="001000000000" w:firstRow="0" w:lastRow="0" w:firstColumn="1" w:lastColumn="0" w:oddVBand="0" w:evenVBand="0" w:oddHBand="0" w:evenHBand="0" w:firstRowFirstColumn="0" w:firstRowLastColumn="0" w:lastRowFirstColumn="0" w:lastRowLastColumn="0"/>
                  <w:tcW w:w="1474" w:type="dxa"/>
                  <w:vMerge/>
                </w:tcPr>
                <w:p w14:paraId="744FFA92" w14:textId="77777777" w:rsidR="004334D2" w:rsidRDefault="004334D2" w:rsidP="003C2D11">
                  <w:pPr>
                    <w:pStyle w:val="ParaTickBox"/>
                    <w:keepNext/>
                    <w:keepLines/>
                    <w:tabs>
                      <w:tab w:val="clear" w:pos="510"/>
                    </w:tabs>
                    <w:ind w:left="0" w:right="57" w:firstLine="0"/>
                    <w:rPr>
                      <w:szCs w:val="20"/>
                    </w:rPr>
                  </w:pPr>
                </w:p>
              </w:tc>
              <w:tc>
                <w:tcPr>
                  <w:tcW w:w="1197" w:type="dxa"/>
                  <w:vMerge/>
                </w:tcPr>
                <w:p w14:paraId="3B4C9891"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pPr>
                </w:p>
              </w:tc>
              <w:tc>
                <w:tcPr>
                  <w:tcW w:w="1542" w:type="dxa"/>
                </w:tcPr>
                <w:p w14:paraId="0485D150" w14:textId="77777777" w:rsidR="004334D2" w:rsidRDefault="004334D2" w:rsidP="003C2D11">
                  <w:pPr>
                    <w:pStyle w:val="ParaTickBox"/>
                    <w:keepNext/>
                    <w:keepLines/>
                    <w:tabs>
                      <w:tab w:val="clear" w:pos="510"/>
                    </w:tabs>
                    <w:ind w:left="0" w:right="57" w:firstLine="0"/>
                    <w:cnfStyle w:val="000000000000" w:firstRow="0" w:lastRow="0" w:firstColumn="0" w:lastColumn="0" w:oddVBand="0" w:evenVBand="0" w:oddHBand="0" w:evenHBand="0" w:firstRowFirstColumn="0" w:firstRowLastColumn="0" w:lastRowFirstColumn="0" w:lastRowLastColumn="0"/>
                    <w:rPr>
                      <w:szCs w:val="20"/>
                    </w:rPr>
                  </w:pPr>
                  <w:r>
                    <w:t>Soil</w:t>
                  </w:r>
                </w:p>
              </w:tc>
              <w:tc>
                <w:tcPr>
                  <w:tcW w:w="1065" w:type="dxa"/>
                </w:tcPr>
                <w:p w14:paraId="1CBBAD5A" w14:textId="6E072334" w:rsidR="004334D2" w:rsidRPr="00122B78"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rPr>
                      <w:szCs w:val="20"/>
                    </w:rPr>
                  </w:pPr>
                  <w:r w:rsidRPr="00122B78">
                    <w:t>0.</w:t>
                  </w:r>
                  <w:r w:rsidR="00855243" w:rsidRPr="00122B78">
                    <w:t>383</w:t>
                  </w:r>
                </w:p>
              </w:tc>
              <w:tc>
                <w:tcPr>
                  <w:tcW w:w="1417" w:type="dxa"/>
                </w:tcPr>
                <w:p w14:paraId="66F60D84" w14:textId="77777777" w:rsidR="004334D2" w:rsidRDefault="004334D2" w:rsidP="003C2D11">
                  <w:pPr>
                    <w:pStyle w:val="ParaTickBox"/>
                    <w:keepNext/>
                    <w:keepLines/>
                    <w:tabs>
                      <w:tab w:val="clear" w:pos="510"/>
                    </w:tabs>
                    <w:spacing w:before="0" w:after="0"/>
                    <w:ind w:left="0" w:right="57" w:firstLine="0"/>
                    <w:cnfStyle w:val="000000000000" w:firstRow="0" w:lastRow="0" w:firstColumn="0" w:lastColumn="0" w:oddVBand="0" w:evenVBand="0" w:oddHBand="0" w:evenHBand="0" w:firstRowFirstColumn="0" w:firstRowLastColumn="0" w:lastRowFirstColumn="0" w:lastRowLastColumn="0"/>
                  </w:pPr>
                  <w:r w:rsidRPr="00E27C6F">
                    <w:rPr>
                      <w:u w:val="single"/>
                    </w:rPr>
                    <w:t>+</w:t>
                  </w:r>
                  <w:r>
                    <w:t xml:space="preserve"> 8%</w:t>
                  </w:r>
                </w:p>
              </w:tc>
            </w:tr>
          </w:tbl>
          <w:p w14:paraId="6EB3F538" w14:textId="77777777" w:rsidR="004334D2" w:rsidRPr="002E5C91" w:rsidRDefault="004334D2" w:rsidP="003C2D11">
            <w:pPr>
              <w:pStyle w:val="ParaTickBox"/>
              <w:keepNext/>
              <w:keepLines/>
              <w:tabs>
                <w:tab w:val="clear" w:pos="510"/>
              </w:tabs>
              <w:ind w:left="0" w:right="57" w:firstLine="0"/>
            </w:pPr>
          </w:p>
        </w:tc>
      </w:tr>
      <w:tr w:rsidR="004334D2" w:rsidRPr="00AE7BE8" w14:paraId="4F1048CC" w14:textId="77777777" w:rsidTr="00A672F6">
        <w:tc>
          <w:tcPr>
            <w:tcW w:w="2405" w:type="dxa"/>
            <w:shd w:val="clear" w:color="auto" w:fill="E6E6E6"/>
          </w:tcPr>
          <w:p w14:paraId="2CF1F6EE"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800" w:type="dxa"/>
            <w:gridSpan w:val="2"/>
            <w:vAlign w:val="center"/>
          </w:tcPr>
          <w:p w14:paraId="599AC274" w14:textId="77777777" w:rsidR="004334D2" w:rsidRPr="004C6225" w:rsidRDefault="004334D2" w:rsidP="00E06D0C">
            <w:pPr>
              <w:pStyle w:val="ParaTickBox"/>
              <w:ind w:left="0" w:firstLine="0"/>
              <w:rPr>
                <w:szCs w:val="20"/>
              </w:rPr>
            </w:pPr>
            <w:r w:rsidRPr="004C6225">
              <w:rPr>
                <w:rFonts w:asciiTheme="minorBidi" w:hAnsiTheme="minorBidi" w:cstheme="minorBidi"/>
                <w:szCs w:val="20"/>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szCs w:val="20"/>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sidRPr="004C6225">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146" w:type="dxa"/>
            <w:gridSpan w:val="2"/>
            <w:vAlign w:val="center"/>
          </w:tcPr>
          <w:p w14:paraId="2122CC9C"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04EF8EC7" w14:textId="77777777" w:rsidTr="00A672F6">
        <w:tc>
          <w:tcPr>
            <w:tcW w:w="2405" w:type="dxa"/>
            <w:shd w:val="clear" w:color="auto" w:fill="E6E6E6"/>
          </w:tcPr>
          <w:p w14:paraId="3EC5A8EE"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5DF46C67" w14:textId="6AC82764" w:rsidR="00AA772B" w:rsidRPr="004C6225" w:rsidRDefault="00BA736A" w:rsidP="00BA736A">
            <w:pPr>
              <w:pStyle w:val="ParaTickBox"/>
              <w:tabs>
                <w:tab w:val="clear" w:pos="510"/>
              </w:tabs>
              <w:ind w:left="0" w:right="57" w:firstLine="0"/>
              <w:jc w:val="both"/>
              <w:rPr>
                <w:szCs w:val="20"/>
              </w:rPr>
            </w:pPr>
            <w:r>
              <w:rPr>
                <w:szCs w:val="20"/>
              </w:rPr>
              <w:t xml:space="preserve">The rationale for each default factor is provided in the </w:t>
            </w:r>
            <w:r w:rsidR="00CD2C90">
              <w:rPr>
                <w:szCs w:val="20"/>
              </w:rPr>
              <w:t>“</w:t>
            </w:r>
            <w:r>
              <w:rPr>
                <w:szCs w:val="20"/>
              </w:rPr>
              <w:t xml:space="preserve">Data / Parameters table” of the </w:t>
            </w:r>
            <w:r w:rsidR="00CD2C90">
              <w:rPr>
                <w:szCs w:val="20"/>
              </w:rPr>
              <w:t xml:space="preserve">respective parameter in section </w:t>
            </w:r>
            <w:r w:rsidR="003F3EE5">
              <w:rPr>
                <w:szCs w:val="20"/>
              </w:rPr>
              <w:t>5.5 of the solid waste tool</w:t>
            </w:r>
          </w:p>
        </w:tc>
      </w:tr>
      <w:tr w:rsidR="004334D2" w:rsidRPr="00AE7BE8" w14:paraId="1F382FA5" w14:textId="77777777" w:rsidTr="00A672F6">
        <w:tc>
          <w:tcPr>
            <w:tcW w:w="2405" w:type="dxa"/>
            <w:shd w:val="clear" w:color="auto" w:fill="E6E6E6"/>
          </w:tcPr>
          <w:p w14:paraId="75451639" w14:textId="77777777" w:rsidR="004334D2" w:rsidRPr="00AE7BE8" w:rsidRDefault="004334D2" w:rsidP="00E06D0C">
            <w:pPr>
              <w:pStyle w:val="ParaTickBox"/>
              <w:tabs>
                <w:tab w:val="clear" w:pos="510"/>
              </w:tabs>
              <w:ind w:left="0" w:right="57" w:firstLine="0"/>
              <w:jc w:val="both"/>
              <w:rPr>
                <w:szCs w:val="20"/>
              </w:rPr>
            </w:pPr>
            <w:r>
              <w:rPr>
                <w:szCs w:val="20"/>
              </w:rPr>
              <w:t>Treatment of uncertainties</w:t>
            </w:r>
          </w:p>
        </w:tc>
        <w:tc>
          <w:tcPr>
            <w:tcW w:w="6946" w:type="dxa"/>
            <w:gridSpan w:val="4"/>
          </w:tcPr>
          <w:p w14:paraId="76726FCE" w14:textId="77777777" w:rsidR="004334D2" w:rsidRDefault="004334D2" w:rsidP="00E06D0C">
            <w:pPr>
              <w:pStyle w:val="ParaTickBox"/>
              <w:tabs>
                <w:tab w:val="clear" w:pos="510"/>
              </w:tabs>
              <w:ind w:left="0" w:right="57" w:firstLine="0"/>
              <w:jc w:val="both"/>
              <w:rPr>
                <w:szCs w:val="20"/>
              </w:rPr>
            </w:pPr>
            <w:r>
              <w:rPr>
                <w:szCs w:val="20"/>
              </w:rPr>
              <w:t>See table under “Value(s) applied”</w:t>
            </w:r>
          </w:p>
        </w:tc>
      </w:tr>
      <w:tr w:rsidR="004334D2" w:rsidRPr="00AE7BE8" w14:paraId="14586933" w14:textId="77777777" w:rsidTr="00A672F6">
        <w:tc>
          <w:tcPr>
            <w:tcW w:w="2405" w:type="dxa"/>
            <w:shd w:val="clear" w:color="auto" w:fill="E6E6E6"/>
          </w:tcPr>
          <w:p w14:paraId="49887F85"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1490DC19" w14:textId="1B9C21EA" w:rsidR="004334D2" w:rsidRPr="004C6225" w:rsidRDefault="0093480E" w:rsidP="00E06D0C">
            <w:pPr>
              <w:pStyle w:val="ParaTickBox"/>
              <w:tabs>
                <w:tab w:val="clear" w:pos="510"/>
              </w:tabs>
              <w:ind w:left="0" w:right="57" w:firstLine="0"/>
              <w:jc w:val="both"/>
              <w:rPr>
                <w:i/>
                <w:iCs/>
                <w:szCs w:val="20"/>
              </w:rPr>
            </w:pPr>
            <w:r>
              <w:rPr>
                <w:szCs w:val="20"/>
              </w:rPr>
              <w:t xml:space="preserve">Apply the default values only of the parameter is determined through Option 3 </w:t>
            </w:r>
            <w:r w:rsidR="00966F2C">
              <w:rPr>
                <w:szCs w:val="20"/>
              </w:rPr>
              <w:t>of</w:t>
            </w:r>
            <w:r w:rsidR="00041431">
              <w:rPr>
                <w:szCs w:val="20"/>
              </w:rPr>
              <w:t xml:space="preserve"> the solid waste tool</w:t>
            </w:r>
          </w:p>
        </w:tc>
      </w:tr>
    </w:tbl>
    <w:p w14:paraId="1EC89342" w14:textId="208CB0A5"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2</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3"/>
        <w:gridCol w:w="1179"/>
        <w:gridCol w:w="1164"/>
        <w:gridCol w:w="2260"/>
      </w:tblGrid>
      <w:tr w:rsidR="004334D2" w:rsidRPr="00AE7BE8" w14:paraId="791C80D7" w14:textId="77777777" w:rsidTr="00A672F6">
        <w:tc>
          <w:tcPr>
            <w:tcW w:w="2405" w:type="dxa"/>
            <w:shd w:val="clear" w:color="auto" w:fill="E6E6E6"/>
          </w:tcPr>
          <w:p w14:paraId="0FC61AA1"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3DF84930" w14:textId="77777777" w:rsidR="004334D2" w:rsidRPr="00450359" w:rsidRDefault="00302468" w:rsidP="00E06D0C">
            <w:pPr>
              <w:pStyle w:val="ParaTickBox"/>
              <w:tabs>
                <w:tab w:val="clear" w:pos="510"/>
              </w:tabs>
              <w:ind w:left="0" w:right="57" w:firstLine="0"/>
              <w:rPr>
                <w:b/>
                <w:bCs/>
                <w:szCs w:val="20"/>
              </w:rPr>
            </w:pPr>
            <m:oMathPara>
              <m:oMathParaPr>
                <m:jc m:val="left"/>
              </m:oMathParaPr>
              <m:oMath>
                <m:sSub>
                  <m:sSubPr>
                    <m:ctrlPr>
                      <w:rPr>
                        <w:rFonts w:ascii="Cambria Math" w:hAnsi="Cambria Math"/>
                        <w:b/>
                        <w:bCs/>
                        <w:i/>
                      </w:rPr>
                    </m:ctrlPr>
                  </m:sSubPr>
                  <m:e>
                    <m:r>
                      <m:rPr>
                        <m:sty m:val="bi"/>
                      </m:rPr>
                      <w:rPr>
                        <w:rFonts w:ascii="Cambria Math" w:hAnsi="Cambria Math"/>
                      </w:rPr>
                      <m:t>GWP</m:t>
                    </m:r>
                  </m:e>
                  <m:sub>
                    <m:r>
                      <m:rPr>
                        <m:sty m:val="bi"/>
                      </m:rPr>
                      <w:rPr>
                        <w:rFonts w:ascii="Cambria Math" w:hAnsi="Cambria Math"/>
                      </w:rPr>
                      <m:t>CH</m:t>
                    </m:r>
                    <m:r>
                      <m:rPr>
                        <m:sty m:val="bi"/>
                      </m:rPr>
                      <w:rPr>
                        <w:rFonts w:ascii="Cambria Math" w:hAnsi="Cambria Math"/>
                      </w:rPr>
                      <m:t>4</m:t>
                    </m:r>
                  </m:sub>
                </m:sSub>
              </m:oMath>
            </m:oMathPara>
          </w:p>
        </w:tc>
      </w:tr>
      <w:tr w:rsidR="004334D2" w:rsidRPr="00AE7BE8" w14:paraId="1B8FFB38" w14:textId="77777777" w:rsidTr="00A672F6">
        <w:tc>
          <w:tcPr>
            <w:tcW w:w="2405" w:type="dxa"/>
            <w:shd w:val="clear" w:color="auto" w:fill="E6E6E6"/>
          </w:tcPr>
          <w:p w14:paraId="5587A01B"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46" w:type="dxa"/>
            <w:gridSpan w:val="4"/>
          </w:tcPr>
          <w:p w14:paraId="4F160A25" w14:textId="77777777" w:rsidR="004334D2" w:rsidRPr="004C6225" w:rsidRDefault="004334D2" w:rsidP="00E06D0C">
            <w:pPr>
              <w:pStyle w:val="ParaTickBox"/>
              <w:tabs>
                <w:tab w:val="clear" w:pos="510"/>
              </w:tabs>
              <w:ind w:left="0" w:right="57" w:firstLine="0"/>
              <w:jc w:val="both"/>
              <w:rPr>
                <w:szCs w:val="20"/>
              </w:rPr>
            </w:pPr>
            <w:r w:rsidRPr="000C5FD6">
              <w:rPr>
                <w:lang w:eastAsia="zh-CN"/>
              </w:rPr>
              <w:t>Global warming potential of CH</w:t>
            </w:r>
            <w:r w:rsidRPr="000C5FD6">
              <w:rPr>
                <w:vertAlign w:val="subscript"/>
                <w:lang w:eastAsia="zh-CN"/>
              </w:rPr>
              <w:t>4</w:t>
            </w:r>
          </w:p>
        </w:tc>
      </w:tr>
      <w:tr w:rsidR="004334D2" w:rsidRPr="00AE7BE8" w14:paraId="33072F5D" w14:textId="77777777" w:rsidTr="00A672F6">
        <w:tc>
          <w:tcPr>
            <w:tcW w:w="2405" w:type="dxa"/>
            <w:shd w:val="clear" w:color="auto" w:fill="E6E6E6"/>
          </w:tcPr>
          <w:p w14:paraId="7DA55BA5"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46" w:type="dxa"/>
            <w:gridSpan w:val="4"/>
          </w:tcPr>
          <w:p w14:paraId="4BB9D402" w14:textId="77777777" w:rsidR="004334D2" w:rsidRPr="004C6225" w:rsidRDefault="004334D2" w:rsidP="00E06D0C">
            <w:pPr>
              <w:pStyle w:val="ParaTickBox"/>
              <w:tabs>
                <w:tab w:val="clear" w:pos="510"/>
              </w:tabs>
              <w:ind w:left="0" w:right="57" w:firstLine="0"/>
              <w:jc w:val="both"/>
              <w:rPr>
                <w:szCs w:val="20"/>
              </w:rPr>
            </w:pPr>
            <w:r w:rsidRPr="000C5FD6">
              <w:t>tCO</w:t>
            </w:r>
            <w:r w:rsidRPr="000C5FD6">
              <w:rPr>
                <w:vertAlign w:val="subscript"/>
              </w:rPr>
              <w:t>2</w:t>
            </w:r>
            <w:r w:rsidRPr="000C5FD6">
              <w:t>e/tCH</w:t>
            </w:r>
            <w:r w:rsidRPr="000C5FD6">
              <w:rPr>
                <w:vertAlign w:val="subscript"/>
              </w:rPr>
              <w:t>4</w:t>
            </w:r>
          </w:p>
        </w:tc>
      </w:tr>
      <w:tr w:rsidR="004334D2" w:rsidRPr="00AE7BE8" w14:paraId="23296569" w14:textId="77777777" w:rsidTr="00A672F6">
        <w:tc>
          <w:tcPr>
            <w:tcW w:w="2405" w:type="dxa"/>
            <w:shd w:val="clear" w:color="auto" w:fill="E6E6E6"/>
          </w:tcPr>
          <w:p w14:paraId="35B0C612"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59AB7EB9" w14:textId="4FCDC7C7" w:rsidR="004334D2" w:rsidRPr="004C6225" w:rsidRDefault="00D76FB9" w:rsidP="00E06D0C">
            <w:pPr>
              <w:pStyle w:val="ParaTickBox"/>
              <w:tabs>
                <w:tab w:val="clear" w:pos="510"/>
              </w:tabs>
              <w:ind w:left="0" w:right="57" w:firstLine="0"/>
              <w:jc w:val="both"/>
              <w:rPr>
                <w:szCs w:val="20"/>
              </w:rPr>
            </w:pPr>
            <w:r>
              <w:rPr>
                <w:szCs w:val="20"/>
              </w:rPr>
              <w:t>(</w:t>
            </w:r>
            <w:r w:rsidR="002F3005">
              <w:rPr>
                <w:szCs w:val="20"/>
              </w:rPr>
              <w:t>1</w:t>
            </w:r>
            <w:r>
              <w:rPr>
                <w:szCs w:val="20"/>
              </w:rPr>
              <w:t>), (4)</w:t>
            </w:r>
            <w:r w:rsidR="00AF464E">
              <w:rPr>
                <w:szCs w:val="20"/>
              </w:rPr>
              <w:t>, (</w:t>
            </w:r>
            <w:r w:rsidR="001D33EC">
              <w:rPr>
                <w:szCs w:val="20"/>
              </w:rPr>
              <w:t>5</w:t>
            </w:r>
            <w:r w:rsidR="00AF464E">
              <w:rPr>
                <w:szCs w:val="20"/>
              </w:rPr>
              <w:t>)</w:t>
            </w:r>
            <w:r w:rsidR="001D33EC">
              <w:rPr>
                <w:szCs w:val="20"/>
              </w:rPr>
              <w:t xml:space="preserve">, </w:t>
            </w:r>
            <w:r w:rsidR="00E87C1A">
              <w:rPr>
                <w:szCs w:val="20"/>
              </w:rPr>
              <w:t>(10), (14), (</w:t>
            </w:r>
            <w:r w:rsidR="00A01BB7">
              <w:rPr>
                <w:szCs w:val="20"/>
              </w:rPr>
              <w:t>33</w:t>
            </w:r>
            <w:r w:rsidR="00E87C1A">
              <w:rPr>
                <w:szCs w:val="20"/>
              </w:rPr>
              <w:t>),</w:t>
            </w:r>
            <w:r w:rsidR="00A01BB7">
              <w:rPr>
                <w:szCs w:val="20"/>
              </w:rPr>
              <w:t xml:space="preserve"> (53)</w:t>
            </w:r>
          </w:p>
        </w:tc>
      </w:tr>
      <w:tr w:rsidR="004334D2" w:rsidRPr="00AE7BE8" w14:paraId="041954AE" w14:textId="77777777" w:rsidTr="00A672F6">
        <w:tc>
          <w:tcPr>
            <w:tcW w:w="2405" w:type="dxa"/>
            <w:shd w:val="clear" w:color="auto" w:fill="E6E6E6"/>
          </w:tcPr>
          <w:p w14:paraId="06243DB2"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343" w:type="dxa"/>
          </w:tcPr>
          <w:p w14:paraId="375F9342"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Check2"/>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68A10A4A" w14:textId="2F065A3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260" w:type="dxa"/>
          </w:tcPr>
          <w:p w14:paraId="0514A562"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AE7BE8" w14:paraId="0B3A019E" w14:textId="77777777" w:rsidTr="00A672F6">
        <w:tc>
          <w:tcPr>
            <w:tcW w:w="2405" w:type="dxa"/>
            <w:shd w:val="clear" w:color="auto" w:fill="E6E6E6"/>
          </w:tcPr>
          <w:p w14:paraId="5AD253E7"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51E9A3B4" w14:textId="77777777" w:rsidR="004334D2" w:rsidRPr="002E5C91" w:rsidRDefault="004334D2" w:rsidP="00E06D0C">
            <w:pPr>
              <w:pStyle w:val="ParaTickBox"/>
              <w:tabs>
                <w:tab w:val="clear" w:pos="510"/>
              </w:tabs>
              <w:ind w:left="0" w:right="57" w:firstLine="0"/>
              <w:jc w:val="both"/>
            </w:pPr>
            <w:r>
              <w:rPr>
                <w:szCs w:val="20"/>
              </w:rPr>
              <w:t>28</w:t>
            </w:r>
          </w:p>
        </w:tc>
      </w:tr>
      <w:tr w:rsidR="004334D2" w:rsidRPr="00AE7BE8" w14:paraId="1773A66F" w14:textId="77777777" w:rsidTr="00A672F6">
        <w:tc>
          <w:tcPr>
            <w:tcW w:w="2405" w:type="dxa"/>
            <w:shd w:val="clear" w:color="auto" w:fill="E6E6E6"/>
          </w:tcPr>
          <w:p w14:paraId="4B5CB9FA"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522" w:type="dxa"/>
            <w:gridSpan w:val="2"/>
            <w:vAlign w:val="center"/>
          </w:tcPr>
          <w:p w14:paraId="3F5792C6" w14:textId="77777777" w:rsidR="004334D2" w:rsidRPr="004C6225" w:rsidRDefault="004334D2" w:rsidP="00E06D0C">
            <w:pPr>
              <w:pStyle w:val="ParaTickBox"/>
              <w:ind w:left="0" w:firstLine="0"/>
              <w:rPr>
                <w:szCs w:val="20"/>
              </w:rPr>
            </w:pPr>
            <w:r w:rsidRPr="004C6225">
              <w:rPr>
                <w:rFonts w:asciiTheme="minorBidi" w:hAnsiTheme="minorBidi" w:cstheme="minorBidi"/>
                <w:szCs w:val="20"/>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szCs w:val="20"/>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sidRPr="004C6225">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424" w:type="dxa"/>
            <w:gridSpan w:val="2"/>
            <w:vAlign w:val="center"/>
          </w:tcPr>
          <w:p w14:paraId="1DA67F70"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07508B18" w14:textId="77777777" w:rsidTr="00A672F6">
        <w:tc>
          <w:tcPr>
            <w:tcW w:w="2405" w:type="dxa"/>
            <w:shd w:val="clear" w:color="auto" w:fill="E6E6E6"/>
          </w:tcPr>
          <w:p w14:paraId="4AC4B362"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7722A63E" w14:textId="2475F8DB" w:rsidR="004334D2" w:rsidRPr="004C6225" w:rsidRDefault="004334D2" w:rsidP="00E06D0C">
            <w:pPr>
              <w:pStyle w:val="ParaTickBox"/>
              <w:tabs>
                <w:tab w:val="clear" w:pos="510"/>
              </w:tabs>
              <w:ind w:left="0" w:right="57" w:firstLine="0"/>
              <w:jc w:val="both"/>
              <w:rPr>
                <w:szCs w:val="20"/>
              </w:rPr>
            </w:pPr>
            <w:r>
              <w:rPr>
                <w:szCs w:val="20"/>
              </w:rPr>
              <w:t>Default value and uncertainty from IPCC</w:t>
            </w:r>
            <w:r>
              <w:t xml:space="preserve"> Fifth Assessment Report (AR5). Shall be updated according to any future CMA decisions</w:t>
            </w:r>
          </w:p>
        </w:tc>
      </w:tr>
      <w:tr w:rsidR="004334D2" w:rsidRPr="00AE7BE8" w14:paraId="2164EC39" w14:textId="77777777" w:rsidTr="00A672F6">
        <w:tc>
          <w:tcPr>
            <w:tcW w:w="2405" w:type="dxa"/>
            <w:shd w:val="clear" w:color="auto" w:fill="E6E6E6"/>
          </w:tcPr>
          <w:p w14:paraId="37F4C0DB" w14:textId="77777777" w:rsidR="004334D2" w:rsidRPr="00AE7BE8" w:rsidRDefault="004334D2" w:rsidP="00E06D0C">
            <w:pPr>
              <w:pStyle w:val="ParaTickBox"/>
              <w:tabs>
                <w:tab w:val="clear" w:pos="510"/>
              </w:tabs>
              <w:ind w:left="0" w:right="57" w:firstLine="0"/>
              <w:rPr>
                <w:szCs w:val="20"/>
              </w:rPr>
            </w:pPr>
            <w:r>
              <w:rPr>
                <w:szCs w:val="20"/>
              </w:rPr>
              <w:t>Treatment of uncertainties</w:t>
            </w:r>
          </w:p>
        </w:tc>
        <w:tc>
          <w:tcPr>
            <w:tcW w:w="6946" w:type="dxa"/>
            <w:gridSpan w:val="4"/>
          </w:tcPr>
          <w:p w14:paraId="439760AF" w14:textId="77777777" w:rsidR="004334D2" w:rsidRDefault="004334D2" w:rsidP="00E06D0C">
            <w:pPr>
              <w:pStyle w:val="ParaTickBox"/>
              <w:tabs>
                <w:tab w:val="clear" w:pos="510"/>
              </w:tabs>
              <w:ind w:left="0" w:right="57" w:firstLine="0"/>
              <w:jc w:val="both"/>
              <w:rPr>
                <w:szCs w:val="20"/>
              </w:rPr>
            </w:pPr>
            <w:r>
              <w:rPr>
                <w:szCs w:val="20"/>
              </w:rPr>
              <w:t>N/A</w:t>
            </w:r>
          </w:p>
        </w:tc>
      </w:tr>
      <w:tr w:rsidR="004334D2" w:rsidRPr="00AE7BE8" w14:paraId="3710B935" w14:textId="77777777" w:rsidTr="00A672F6">
        <w:tc>
          <w:tcPr>
            <w:tcW w:w="2405" w:type="dxa"/>
            <w:shd w:val="clear" w:color="auto" w:fill="E6E6E6"/>
          </w:tcPr>
          <w:p w14:paraId="37C70799"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697B3798" w14:textId="77777777" w:rsidR="004334D2" w:rsidRPr="004C6225" w:rsidRDefault="004334D2" w:rsidP="00E06D0C">
            <w:pPr>
              <w:pStyle w:val="ParaTickBox"/>
              <w:tabs>
                <w:tab w:val="clear" w:pos="510"/>
              </w:tabs>
              <w:ind w:left="0" w:right="57" w:firstLine="0"/>
              <w:jc w:val="both"/>
              <w:rPr>
                <w:i/>
                <w:iCs/>
                <w:szCs w:val="20"/>
              </w:rPr>
            </w:pPr>
            <w:r>
              <w:rPr>
                <w:szCs w:val="20"/>
              </w:rPr>
              <w:t>-</w:t>
            </w:r>
          </w:p>
        </w:tc>
      </w:tr>
    </w:tbl>
    <w:p w14:paraId="60625795" w14:textId="698BFCA0"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3</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3"/>
        <w:gridCol w:w="1179"/>
        <w:gridCol w:w="1164"/>
        <w:gridCol w:w="2260"/>
      </w:tblGrid>
      <w:tr w:rsidR="004334D2" w:rsidRPr="00AE7BE8" w14:paraId="33ACC5A3" w14:textId="77777777" w:rsidTr="00A672F6">
        <w:tc>
          <w:tcPr>
            <w:tcW w:w="2405" w:type="dxa"/>
            <w:shd w:val="clear" w:color="auto" w:fill="E6E6E6"/>
          </w:tcPr>
          <w:p w14:paraId="37C6DD80"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632C4054" w14:textId="66E34E71" w:rsidR="004334D2" w:rsidRPr="00450359" w:rsidRDefault="00302468" w:rsidP="00E06D0C">
            <w:pPr>
              <w:pStyle w:val="ParaTickBox"/>
              <w:tabs>
                <w:tab w:val="clear" w:pos="510"/>
              </w:tabs>
              <w:ind w:left="0" w:right="57" w:firstLine="0"/>
              <w:rPr>
                <w:b/>
                <w:bCs/>
                <w:szCs w:val="20"/>
              </w:rPr>
            </w:pPr>
            <m:oMathPara>
              <m:oMathParaPr>
                <m:jc m:val="left"/>
              </m:oMathParaPr>
              <m:oMath>
                <m:sSub>
                  <m:sSubPr>
                    <m:ctrlPr>
                      <w:rPr>
                        <w:rFonts w:ascii="Cambria Math" w:hAnsi="Cambria Math"/>
                        <w:i/>
                      </w:rPr>
                    </m:ctrlPr>
                  </m:sSubPr>
                  <m:e>
                    <m:r>
                      <w:rPr>
                        <w:rFonts w:ascii="Cambria Math" w:hAnsi="Cambria Math"/>
                      </w:rPr>
                      <m:t>F</m:t>
                    </m:r>
                  </m:e>
                  <m:sub>
                    <m:r>
                      <w:rPr>
                        <w:rFonts w:ascii="Cambria Math" w:hAnsi="Cambria Math"/>
                      </w:rPr>
                      <m:t>CH4, x-i</m:t>
                    </m:r>
                  </m:sub>
                </m:sSub>
              </m:oMath>
            </m:oMathPara>
          </w:p>
        </w:tc>
      </w:tr>
      <w:tr w:rsidR="004334D2" w:rsidRPr="00AE7BE8" w14:paraId="09FDBEF7" w14:textId="77777777" w:rsidTr="00A672F6">
        <w:tc>
          <w:tcPr>
            <w:tcW w:w="2405" w:type="dxa"/>
            <w:shd w:val="clear" w:color="auto" w:fill="E6E6E6"/>
          </w:tcPr>
          <w:p w14:paraId="0626C001"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46" w:type="dxa"/>
            <w:gridSpan w:val="4"/>
          </w:tcPr>
          <w:p w14:paraId="17A0AC46" w14:textId="3272FE10" w:rsidR="004334D2" w:rsidRPr="004C6225" w:rsidRDefault="00AF2D3B" w:rsidP="00E06D0C">
            <w:pPr>
              <w:pStyle w:val="ParaTickBox"/>
              <w:tabs>
                <w:tab w:val="clear" w:pos="510"/>
              </w:tabs>
              <w:ind w:left="0" w:right="57" w:firstLine="0"/>
              <w:jc w:val="both"/>
              <w:rPr>
                <w:szCs w:val="20"/>
              </w:rPr>
            </w:pPr>
            <w:r w:rsidRPr="00FB7C65">
              <w:t>Amount of methane in the LFG which is captured and destroyed in the year</w:t>
            </w:r>
            <w:r w:rsidR="003C2D11">
              <w:t> </w:t>
            </w:r>
            <w:r w:rsidRPr="00270104">
              <w:rPr>
                <w:i/>
                <w:iCs/>
              </w:rPr>
              <w:t>i</w:t>
            </w:r>
            <w:r>
              <w:t xml:space="preserve"> </w:t>
            </w:r>
            <w:r w:rsidRPr="00FB7C65">
              <w:t xml:space="preserve">prior to the implementation of the </w:t>
            </w:r>
            <w:r>
              <w:t xml:space="preserve">Article 6.4 </w:t>
            </w:r>
            <w:r w:rsidRPr="00FB7C65">
              <w:t>activity</w:t>
            </w:r>
          </w:p>
        </w:tc>
      </w:tr>
      <w:tr w:rsidR="004334D2" w:rsidRPr="00AE7BE8" w14:paraId="35465D00" w14:textId="77777777" w:rsidTr="00A672F6">
        <w:tc>
          <w:tcPr>
            <w:tcW w:w="2405" w:type="dxa"/>
            <w:shd w:val="clear" w:color="auto" w:fill="E6E6E6"/>
          </w:tcPr>
          <w:p w14:paraId="6693D2C9"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46" w:type="dxa"/>
            <w:gridSpan w:val="4"/>
          </w:tcPr>
          <w:p w14:paraId="500A46AE" w14:textId="77777777" w:rsidR="004334D2" w:rsidRPr="004C6225" w:rsidRDefault="004334D2" w:rsidP="00E06D0C">
            <w:pPr>
              <w:pStyle w:val="ParaTickBox"/>
              <w:tabs>
                <w:tab w:val="clear" w:pos="510"/>
              </w:tabs>
              <w:ind w:left="0" w:right="57" w:firstLine="0"/>
              <w:jc w:val="both"/>
              <w:rPr>
                <w:szCs w:val="20"/>
              </w:rPr>
            </w:pPr>
            <w:r w:rsidRPr="00FB7C65">
              <w:t>tCH</w:t>
            </w:r>
            <w:r w:rsidRPr="00FB7C65">
              <w:rPr>
                <w:vertAlign w:val="subscript"/>
              </w:rPr>
              <w:t>4</w:t>
            </w:r>
            <w:r w:rsidRPr="00FB7C65">
              <w:t>/year</w:t>
            </w:r>
          </w:p>
        </w:tc>
      </w:tr>
      <w:tr w:rsidR="004334D2" w:rsidRPr="00AE7BE8" w14:paraId="55265020" w14:textId="77777777" w:rsidTr="00A672F6">
        <w:tc>
          <w:tcPr>
            <w:tcW w:w="2405" w:type="dxa"/>
            <w:shd w:val="clear" w:color="auto" w:fill="E6E6E6"/>
          </w:tcPr>
          <w:p w14:paraId="676A9008"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7E24643C" w14:textId="12D0FF12" w:rsidR="004334D2" w:rsidRPr="004C6225" w:rsidRDefault="00043B63" w:rsidP="00E06D0C">
            <w:pPr>
              <w:pStyle w:val="ParaTickBox"/>
              <w:tabs>
                <w:tab w:val="clear" w:pos="510"/>
              </w:tabs>
              <w:ind w:left="0" w:right="57" w:firstLine="0"/>
              <w:jc w:val="both"/>
              <w:rPr>
                <w:szCs w:val="20"/>
              </w:rPr>
            </w:pPr>
            <w:r>
              <w:rPr>
                <w:szCs w:val="20"/>
              </w:rPr>
              <w:t>(1</w:t>
            </w:r>
            <w:r w:rsidR="002E346D">
              <w:rPr>
                <w:szCs w:val="20"/>
              </w:rPr>
              <w:t>2</w:t>
            </w:r>
            <w:r>
              <w:rPr>
                <w:szCs w:val="20"/>
              </w:rPr>
              <w:t>)</w:t>
            </w:r>
          </w:p>
        </w:tc>
      </w:tr>
      <w:tr w:rsidR="004334D2" w:rsidRPr="00AE7BE8" w14:paraId="0D530516" w14:textId="77777777" w:rsidTr="00A672F6">
        <w:tc>
          <w:tcPr>
            <w:tcW w:w="2405" w:type="dxa"/>
            <w:shd w:val="clear" w:color="auto" w:fill="E6E6E6"/>
          </w:tcPr>
          <w:p w14:paraId="39DCBF0E"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343" w:type="dxa"/>
          </w:tcPr>
          <w:p w14:paraId="649A5759"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Check2"/>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1015D451" w14:textId="5338CB48"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260" w:type="dxa"/>
          </w:tcPr>
          <w:p w14:paraId="307ED8E1"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07613F54" w14:textId="77777777" w:rsidTr="00A672F6">
        <w:tc>
          <w:tcPr>
            <w:tcW w:w="2405" w:type="dxa"/>
            <w:shd w:val="clear" w:color="auto" w:fill="E6E6E6"/>
          </w:tcPr>
          <w:p w14:paraId="44F6CC32"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4B0484A3" w14:textId="77777777" w:rsidR="004334D2" w:rsidRPr="00931023" w:rsidRDefault="004334D2" w:rsidP="00E06D0C">
            <w:pPr>
              <w:pStyle w:val="ParaTickBox"/>
              <w:tabs>
                <w:tab w:val="clear" w:pos="510"/>
              </w:tabs>
              <w:ind w:left="0" w:right="57" w:firstLine="0"/>
              <w:jc w:val="both"/>
            </w:pPr>
            <w:r w:rsidRPr="00931023">
              <w:t>N/A (not a fixed va</w:t>
            </w:r>
            <w:r>
              <w:t>lue)</w:t>
            </w:r>
          </w:p>
        </w:tc>
      </w:tr>
      <w:tr w:rsidR="004334D2" w:rsidRPr="00AE7BE8" w14:paraId="78081B28" w14:textId="77777777" w:rsidTr="00A672F6">
        <w:tc>
          <w:tcPr>
            <w:tcW w:w="2405" w:type="dxa"/>
            <w:shd w:val="clear" w:color="auto" w:fill="E6E6E6"/>
          </w:tcPr>
          <w:p w14:paraId="38C73263"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522" w:type="dxa"/>
            <w:gridSpan w:val="2"/>
            <w:vAlign w:val="center"/>
          </w:tcPr>
          <w:p w14:paraId="4CE4D4A2" w14:textId="77777777" w:rsidR="004334D2" w:rsidRPr="004C6225" w:rsidRDefault="004334D2" w:rsidP="00E06D0C">
            <w:pPr>
              <w:pStyle w:val="ParaTickBox"/>
              <w:ind w:left="0" w:firstLine="0"/>
              <w:rPr>
                <w:szCs w:val="20"/>
              </w:rPr>
            </w:pPr>
            <w:r w:rsidRPr="004C6225">
              <w:rPr>
                <w:rFonts w:asciiTheme="minorBidi" w:hAnsiTheme="minorBidi" w:cstheme="minorBidi"/>
                <w:szCs w:val="20"/>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szCs w:val="20"/>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sidRPr="004C6225">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424" w:type="dxa"/>
            <w:gridSpan w:val="2"/>
            <w:vAlign w:val="center"/>
          </w:tcPr>
          <w:p w14:paraId="01BE2E6F"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75135077" w14:textId="77777777" w:rsidTr="00A672F6">
        <w:tc>
          <w:tcPr>
            <w:tcW w:w="2405" w:type="dxa"/>
            <w:shd w:val="clear" w:color="auto" w:fill="E6E6E6"/>
          </w:tcPr>
          <w:p w14:paraId="6A06CEA2"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22320C6C" w14:textId="5CD8C20C" w:rsidR="004334D2" w:rsidRPr="004C6225" w:rsidRDefault="004334D2" w:rsidP="00E06D0C">
            <w:pPr>
              <w:pStyle w:val="ParaTickBox"/>
              <w:tabs>
                <w:tab w:val="clear" w:pos="510"/>
              </w:tabs>
              <w:ind w:left="0" w:right="57" w:firstLine="0"/>
              <w:jc w:val="both"/>
              <w:rPr>
                <w:szCs w:val="20"/>
              </w:rPr>
            </w:pPr>
            <w:r>
              <w:rPr>
                <w:szCs w:val="20"/>
              </w:rPr>
              <w:t>Determined by applying the solid waste tool</w:t>
            </w:r>
            <w:r>
              <w:t xml:space="preserve"> based on guidance provided for Application A</w:t>
            </w:r>
          </w:p>
        </w:tc>
      </w:tr>
      <w:tr w:rsidR="004334D2" w:rsidRPr="00AE7BE8" w14:paraId="6E36C514" w14:textId="77777777" w:rsidTr="00A672F6">
        <w:tc>
          <w:tcPr>
            <w:tcW w:w="2405" w:type="dxa"/>
            <w:shd w:val="clear" w:color="auto" w:fill="E6E6E6"/>
          </w:tcPr>
          <w:p w14:paraId="0102DF25" w14:textId="77777777" w:rsidR="004334D2" w:rsidRPr="00AE7BE8" w:rsidRDefault="004334D2" w:rsidP="00E06D0C">
            <w:pPr>
              <w:pStyle w:val="ParaTickBox"/>
              <w:tabs>
                <w:tab w:val="clear" w:pos="510"/>
              </w:tabs>
              <w:ind w:left="0" w:right="57" w:firstLine="0"/>
              <w:rPr>
                <w:szCs w:val="20"/>
              </w:rPr>
            </w:pPr>
            <w:r>
              <w:rPr>
                <w:szCs w:val="20"/>
              </w:rPr>
              <w:t>Treatment of uncertainties</w:t>
            </w:r>
          </w:p>
        </w:tc>
        <w:tc>
          <w:tcPr>
            <w:tcW w:w="6946" w:type="dxa"/>
            <w:gridSpan w:val="4"/>
          </w:tcPr>
          <w:p w14:paraId="66372FEF" w14:textId="77777777" w:rsidR="004334D2" w:rsidRDefault="004334D2" w:rsidP="00E06D0C">
            <w:pPr>
              <w:pStyle w:val="ParaTickBox"/>
              <w:tabs>
                <w:tab w:val="clear" w:pos="510"/>
              </w:tabs>
              <w:ind w:left="0" w:right="57" w:firstLine="0"/>
              <w:jc w:val="both"/>
              <w:rPr>
                <w:szCs w:val="20"/>
              </w:rPr>
            </w:pPr>
            <w:r>
              <w:rPr>
                <w:szCs w:val="20"/>
              </w:rPr>
              <w:t>Uncertainties calculated based on the solid waste tool</w:t>
            </w:r>
          </w:p>
        </w:tc>
      </w:tr>
      <w:tr w:rsidR="004334D2" w:rsidRPr="00AE7BE8" w14:paraId="3B27CD02" w14:textId="77777777" w:rsidTr="00A672F6">
        <w:tc>
          <w:tcPr>
            <w:tcW w:w="2405" w:type="dxa"/>
            <w:shd w:val="clear" w:color="auto" w:fill="E6E6E6"/>
          </w:tcPr>
          <w:p w14:paraId="46339317"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439EB8E4" w14:textId="77777777" w:rsidR="004334D2" w:rsidRPr="004C6225" w:rsidRDefault="004334D2" w:rsidP="00E06D0C">
            <w:pPr>
              <w:pStyle w:val="ParaTickBox"/>
              <w:tabs>
                <w:tab w:val="clear" w:pos="510"/>
              </w:tabs>
              <w:ind w:left="0" w:right="57" w:firstLine="0"/>
              <w:jc w:val="both"/>
              <w:rPr>
                <w:i/>
                <w:iCs/>
                <w:szCs w:val="20"/>
              </w:rPr>
            </w:pPr>
            <w:r>
              <w:rPr>
                <w:szCs w:val="20"/>
              </w:rPr>
              <w:t>Uncertainty already considered when applying the solid waste tool</w:t>
            </w:r>
          </w:p>
        </w:tc>
      </w:tr>
    </w:tbl>
    <w:p w14:paraId="00F098D4" w14:textId="548A89BA"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4</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3"/>
        <w:gridCol w:w="1179"/>
        <w:gridCol w:w="1164"/>
        <w:gridCol w:w="2260"/>
      </w:tblGrid>
      <w:tr w:rsidR="004334D2" w:rsidRPr="00AE7BE8" w14:paraId="7F387AAE" w14:textId="77777777" w:rsidTr="00A672F6">
        <w:tc>
          <w:tcPr>
            <w:tcW w:w="2405" w:type="dxa"/>
            <w:shd w:val="clear" w:color="auto" w:fill="E6E6E6"/>
          </w:tcPr>
          <w:p w14:paraId="29239AFD"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55FDA890" w14:textId="3655C86E" w:rsidR="004334D2" w:rsidRPr="00250BF4" w:rsidRDefault="00302468" w:rsidP="00E06D0C">
            <w:pPr>
              <w:pStyle w:val="ParaTickBox"/>
              <w:tabs>
                <w:tab w:val="clear" w:pos="510"/>
              </w:tabs>
              <w:ind w:left="0" w:right="57" w:firstLine="0"/>
              <w:rPr>
                <w:b/>
                <w:bCs/>
                <w:i/>
                <w:szCs w:val="20"/>
              </w:rPr>
            </w:pPr>
            <m:oMathPara>
              <m:oMathParaPr>
                <m:jc m:val="left"/>
              </m:oMathParaPr>
              <m:oMath>
                <m:sSub>
                  <m:sSubPr>
                    <m:ctrlPr>
                      <w:rPr>
                        <w:rFonts w:ascii="Cambria Math" w:hAnsi="Cambria Math"/>
                        <w:b/>
                        <w:bCs/>
                        <w:i/>
                      </w:rPr>
                    </m:ctrlPr>
                  </m:sSubPr>
                  <m:e>
                    <m:r>
                      <m:rPr>
                        <m:sty m:val="bi"/>
                      </m:rPr>
                      <w:rPr>
                        <w:rFonts w:ascii="Cambria Math" w:hAnsi="Cambria Math"/>
                      </w:rPr>
                      <m:t>η</m:t>
                    </m:r>
                  </m:e>
                  <m:sub>
                    <m:r>
                      <m:rPr>
                        <m:sty m:val="bi"/>
                      </m:rPr>
                      <w:rPr>
                        <w:rFonts w:ascii="Cambria Math" w:hAnsi="Cambria Math"/>
                      </w:rPr>
                      <m:t>PJ</m:t>
                    </m:r>
                  </m:sub>
                </m:sSub>
              </m:oMath>
            </m:oMathPara>
          </w:p>
        </w:tc>
      </w:tr>
      <w:tr w:rsidR="004334D2" w:rsidRPr="00AE7BE8" w14:paraId="7520C1AE" w14:textId="77777777" w:rsidTr="00A672F6">
        <w:tc>
          <w:tcPr>
            <w:tcW w:w="2405" w:type="dxa"/>
            <w:shd w:val="clear" w:color="auto" w:fill="E6E6E6"/>
          </w:tcPr>
          <w:p w14:paraId="34C76FFB"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46" w:type="dxa"/>
            <w:gridSpan w:val="4"/>
          </w:tcPr>
          <w:p w14:paraId="621FB2F1" w14:textId="241D97D7" w:rsidR="004334D2" w:rsidRPr="004C6225" w:rsidRDefault="007240D1" w:rsidP="00E06D0C">
            <w:pPr>
              <w:pStyle w:val="ParaTickBox"/>
              <w:tabs>
                <w:tab w:val="clear" w:pos="510"/>
              </w:tabs>
              <w:ind w:left="0" w:right="57" w:firstLine="0"/>
              <w:jc w:val="both"/>
              <w:rPr>
                <w:szCs w:val="20"/>
              </w:rPr>
            </w:pPr>
            <w:r w:rsidRPr="000C5FD6">
              <w:t xml:space="preserve">Efficiency of the </w:t>
            </w:r>
            <w:r>
              <w:t xml:space="preserve">Article 6.4 activity’s </w:t>
            </w:r>
            <w:r w:rsidRPr="000C5FD6">
              <w:t>LFG capture system</w:t>
            </w:r>
          </w:p>
        </w:tc>
      </w:tr>
      <w:tr w:rsidR="004334D2" w:rsidRPr="00AE7BE8" w14:paraId="60D069D1" w14:textId="77777777" w:rsidTr="00A672F6">
        <w:tc>
          <w:tcPr>
            <w:tcW w:w="2405" w:type="dxa"/>
            <w:shd w:val="clear" w:color="auto" w:fill="E6E6E6"/>
          </w:tcPr>
          <w:p w14:paraId="04B33344"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46" w:type="dxa"/>
            <w:gridSpan w:val="4"/>
          </w:tcPr>
          <w:p w14:paraId="69C25F57" w14:textId="77777777" w:rsidR="004334D2" w:rsidRPr="004C6225" w:rsidRDefault="004334D2" w:rsidP="00E06D0C">
            <w:pPr>
              <w:pStyle w:val="ParaTickBox"/>
              <w:tabs>
                <w:tab w:val="clear" w:pos="510"/>
              </w:tabs>
              <w:ind w:left="0" w:right="57" w:firstLine="0"/>
              <w:jc w:val="both"/>
              <w:rPr>
                <w:szCs w:val="20"/>
              </w:rPr>
            </w:pPr>
            <w:r>
              <w:t>%</w:t>
            </w:r>
          </w:p>
        </w:tc>
      </w:tr>
      <w:tr w:rsidR="004334D2" w:rsidRPr="00AE7BE8" w14:paraId="66A864F3" w14:textId="77777777" w:rsidTr="00A672F6">
        <w:tc>
          <w:tcPr>
            <w:tcW w:w="2405" w:type="dxa"/>
            <w:shd w:val="clear" w:color="auto" w:fill="E6E6E6"/>
          </w:tcPr>
          <w:p w14:paraId="36784F44"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4085C376" w14:textId="7CA5C9D6" w:rsidR="004334D2" w:rsidRPr="004C6225" w:rsidRDefault="002D74E2" w:rsidP="00E06D0C">
            <w:pPr>
              <w:pStyle w:val="ParaTickBox"/>
              <w:tabs>
                <w:tab w:val="clear" w:pos="510"/>
              </w:tabs>
              <w:ind w:left="0" w:right="57" w:firstLine="0"/>
              <w:jc w:val="both"/>
              <w:rPr>
                <w:szCs w:val="20"/>
              </w:rPr>
            </w:pPr>
            <w:r>
              <w:rPr>
                <w:szCs w:val="20"/>
              </w:rPr>
              <w:t>(1</w:t>
            </w:r>
            <w:r w:rsidR="007240D1">
              <w:rPr>
                <w:szCs w:val="20"/>
              </w:rPr>
              <w:t>4</w:t>
            </w:r>
            <w:r>
              <w:rPr>
                <w:szCs w:val="20"/>
              </w:rPr>
              <w:t>)</w:t>
            </w:r>
          </w:p>
        </w:tc>
      </w:tr>
      <w:tr w:rsidR="004334D2" w:rsidRPr="00AE7BE8" w14:paraId="5B81C705" w14:textId="77777777" w:rsidTr="00A672F6">
        <w:tc>
          <w:tcPr>
            <w:tcW w:w="2405" w:type="dxa"/>
            <w:shd w:val="clear" w:color="auto" w:fill="E6E6E6"/>
          </w:tcPr>
          <w:p w14:paraId="6535AB5F"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343" w:type="dxa"/>
          </w:tcPr>
          <w:p w14:paraId="56FC4755"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Check2"/>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27497055" w14:textId="44DB76B4"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260" w:type="dxa"/>
          </w:tcPr>
          <w:p w14:paraId="4767284C"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6903831A" w14:textId="77777777" w:rsidTr="00A672F6">
        <w:tc>
          <w:tcPr>
            <w:tcW w:w="2405" w:type="dxa"/>
            <w:shd w:val="clear" w:color="auto" w:fill="E6E6E6"/>
          </w:tcPr>
          <w:p w14:paraId="1CBCFBBC"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19122AE0" w14:textId="4C5D29DC" w:rsidR="004334D2" w:rsidRPr="00931023" w:rsidRDefault="004334D2" w:rsidP="00E06D0C">
            <w:pPr>
              <w:pStyle w:val="ParaTickBox"/>
              <w:tabs>
                <w:tab w:val="clear" w:pos="510"/>
              </w:tabs>
              <w:ind w:left="0" w:right="57" w:firstLine="0"/>
              <w:jc w:val="both"/>
            </w:pPr>
            <w:r>
              <w:t>Technical specifications of the LFG capture system to be installed (if available) or a default value of 50 per cent (+/- 50</w:t>
            </w:r>
            <w:r w:rsidR="003F7966">
              <w:t xml:space="preserve"> per cent</w:t>
            </w:r>
            <w:r>
              <w:t xml:space="preserve"> uncertainty)</w:t>
            </w:r>
          </w:p>
        </w:tc>
      </w:tr>
      <w:tr w:rsidR="004334D2" w:rsidRPr="00AE7BE8" w14:paraId="344D0C3A" w14:textId="77777777" w:rsidTr="00A672F6">
        <w:tc>
          <w:tcPr>
            <w:tcW w:w="2405" w:type="dxa"/>
            <w:shd w:val="clear" w:color="auto" w:fill="E6E6E6"/>
          </w:tcPr>
          <w:p w14:paraId="46C97155"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522" w:type="dxa"/>
            <w:gridSpan w:val="2"/>
            <w:vAlign w:val="center"/>
          </w:tcPr>
          <w:p w14:paraId="390DB181" w14:textId="77777777" w:rsidR="004334D2" w:rsidRPr="004C6225" w:rsidRDefault="004334D2" w:rsidP="00E06D0C">
            <w:pPr>
              <w:pStyle w:val="ParaTickBox"/>
              <w:ind w:left="0" w:firstLine="0"/>
              <w:rPr>
                <w:szCs w:val="20"/>
              </w:rPr>
            </w:pPr>
            <w:r>
              <w:rPr>
                <w:rFonts w:asciiTheme="minorBidi" w:hAnsiTheme="minorBidi" w:cstheme="minorBidi"/>
                <w:szCs w:val="20"/>
                <w:shd w:val="clear" w:color="auto" w:fill="E6E6E6"/>
              </w:rPr>
              <w:fldChar w:fldCharType="begin">
                <w:ffData>
                  <w:name w:val=""/>
                  <w:enabled/>
                  <w:calcOnExit w:val="0"/>
                  <w:checkBox>
                    <w:size w:val="20"/>
                    <w:default w:val="1"/>
                  </w:checkBox>
                </w:ffData>
              </w:fldChar>
            </w:r>
            <w:r>
              <w:rPr>
                <w:rFonts w:asciiTheme="minorBidi" w:hAnsiTheme="minorBidi" w:cstheme="minorBidi"/>
                <w:szCs w:val="20"/>
                <w:shd w:val="clear" w:color="auto" w:fill="E6E6E6"/>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424" w:type="dxa"/>
            <w:gridSpan w:val="2"/>
            <w:vAlign w:val="center"/>
          </w:tcPr>
          <w:p w14:paraId="5D5F83B8"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3BC7BD22" w14:textId="77777777" w:rsidTr="00A672F6">
        <w:tc>
          <w:tcPr>
            <w:tcW w:w="2405" w:type="dxa"/>
            <w:shd w:val="clear" w:color="auto" w:fill="E6E6E6"/>
          </w:tcPr>
          <w:p w14:paraId="0ADAD382"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07F0CBD1" w14:textId="0299340F" w:rsidR="004334D2" w:rsidRPr="004C6225" w:rsidRDefault="004334D2" w:rsidP="00E06D0C">
            <w:pPr>
              <w:pStyle w:val="ParaTickBox"/>
              <w:tabs>
                <w:tab w:val="clear" w:pos="510"/>
              </w:tabs>
              <w:ind w:left="0" w:right="57" w:firstLine="0"/>
              <w:jc w:val="both"/>
              <w:rPr>
                <w:szCs w:val="20"/>
              </w:rPr>
            </w:pPr>
            <w:r>
              <w:rPr>
                <w:szCs w:val="20"/>
              </w:rPr>
              <w:t>If “measured”, demonstrate how the value was determined</w:t>
            </w:r>
          </w:p>
        </w:tc>
      </w:tr>
      <w:tr w:rsidR="004334D2" w:rsidRPr="00AE7BE8" w14:paraId="077F25F3" w14:textId="77777777" w:rsidTr="00A672F6">
        <w:tc>
          <w:tcPr>
            <w:tcW w:w="2405" w:type="dxa"/>
            <w:shd w:val="clear" w:color="auto" w:fill="E6E6E6"/>
          </w:tcPr>
          <w:p w14:paraId="78AFA1A2" w14:textId="77777777" w:rsidR="004334D2" w:rsidRPr="00AE7BE8" w:rsidRDefault="004334D2" w:rsidP="00E06D0C">
            <w:pPr>
              <w:pStyle w:val="ParaTickBox"/>
              <w:tabs>
                <w:tab w:val="clear" w:pos="510"/>
              </w:tabs>
              <w:ind w:left="0" w:right="57" w:firstLine="0"/>
              <w:rPr>
                <w:szCs w:val="20"/>
              </w:rPr>
            </w:pPr>
            <w:r>
              <w:rPr>
                <w:szCs w:val="20"/>
              </w:rPr>
              <w:t>Treatment of uncertainties</w:t>
            </w:r>
          </w:p>
        </w:tc>
        <w:tc>
          <w:tcPr>
            <w:tcW w:w="6946" w:type="dxa"/>
            <w:gridSpan w:val="4"/>
          </w:tcPr>
          <w:p w14:paraId="04D8AD5B" w14:textId="77777777" w:rsidR="004334D2" w:rsidRDefault="004334D2" w:rsidP="00E06D0C">
            <w:pPr>
              <w:pStyle w:val="ParaTickBox"/>
              <w:tabs>
                <w:tab w:val="clear" w:pos="510"/>
              </w:tabs>
              <w:ind w:left="0" w:right="57" w:firstLine="0"/>
              <w:jc w:val="both"/>
              <w:rPr>
                <w:szCs w:val="20"/>
              </w:rPr>
            </w:pPr>
            <w:r>
              <w:rPr>
                <w:szCs w:val="20"/>
              </w:rPr>
              <w:t>N/A</w:t>
            </w:r>
          </w:p>
        </w:tc>
      </w:tr>
      <w:tr w:rsidR="004334D2" w:rsidRPr="00AE7BE8" w14:paraId="4C8F1752" w14:textId="77777777" w:rsidTr="00A672F6">
        <w:tc>
          <w:tcPr>
            <w:tcW w:w="2405" w:type="dxa"/>
            <w:shd w:val="clear" w:color="auto" w:fill="E6E6E6"/>
          </w:tcPr>
          <w:p w14:paraId="33DF7CFF"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1FCB1270" w14:textId="77777777" w:rsidR="004334D2" w:rsidRPr="004C6225" w:rsidRDefault="004334D2" w:rsidP="00E06D0C">
            <w:pPr>
              <w:pStyle w:val="ParaTickBox"/>
              <w:tabs>
                <w:tab w:val="clear" w:pos="510"/>
              </w:tabs>
              <w:ind w:left="0" w:right="57" w:firstLine="0"/>
              <w:jc w:val="both"/>
              <w:rPr>
                <w:i/>
                <w:iCs/>
                <w:szCs w:val="20"/>
              </w:rPr>
            </w:pPr>
            <w:r>
              <w:rPr>
                <w:szCs w:val="20"/>
              </w:rPr>
              <w:t>-</w:t>
            </w:r>
          </w:p>
        </w:tc>
      </w:tr>
    </w:tbl>
    <w:p w14:paraId="287E8D51" w14:textId="56449335"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5</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3"/>
        <w:gridCol w:w="1179"/>
        <w:gridCol w:w="1164"/>
        <w:gridCol w:w="2260"/>
      </w:tblGrid>
      <w:tr w:rsidR="004334D2" w:rsidRPr="00AE7BE8" w14:paraId="64B3E47C" w14:textId="77777777" w:rsidTr="00A672F6">
        <w:tc>
          <w:tcPr>
            <w:tcW w:w="2405" w:type="dxa"/>
            <w:shd w:val="clear" w:color="auto" w:fill="E6E6E6"/>
          </w:tcPr>
          <w:p w14:paraId="1A001ED1"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11AAE8DB" w14:textId="77777777" w:rsidR="004334D2" w:rsidRPr="00361237" w:rsidRDefault="00302468" w:rsidP="00E06D0C">
            <w:pPr>
              <w:pStyle w:val="ParaTickBox"/>
              <w:tabs>
                <w:tab w:val="clear" w:pos="510"/>
              </w:tabs>
              <w:ind w:left="0" w:right="57" w:firstLine="0"/>
              <w:rPr>
                <w:b/>
                <w:bCs/>
                <w:szCs w:val="20"/>
              </w:rPr>
            </w:pPr>
            <m:oMathPara>
              <m:oMathParaPr>
                <m:jc m:val="left"/>
              </m:oMathParaPr>
              <m:oMath>
                <m:sSub>
                  <m:sSubPr>
                    <m:ctrlPr>
                      <w:rPr>
                        <w:rFonts w:ascii="Cambria Math" w:hAnsi="Cambria Math"/>
                        <w:b/>
                        <w:bCs/>
                        <w:i/>
                      </w:rPr>
                    </m:ctrlPr>
                  </m:sSubPr>
                  <m:e>
                    <m:r>
                      <m:rPr>
                        <m:sty m:val="bi"/>
                      </m:rPr>
                      <w:rPr>
                        <w:rFonts w:ascii="Cambria Math" w:hAnsi="Cambria Math"/>
                      </w:rPr>
                      <m:t>BE</m:t>
                    </m:r>
                  </m:e>
                  <m:sub>
                    <m:r>
                      <m:rPr>
                        <m:sty m:val="bi"/>
                      </m:rPr>
                      <w:rPr>
                        <w:rFonts w:ascii="Cambria Math" w:hAnsi="Cambria Math"/>
                      </w:rPr>
                      <m:t>CH</m:t>
                    </m:r>
                    <m:r>
                      <m:rPr>
                        <m:sty m:val="bi"/>
                      </m:rPr>
                      <w:rPr>
                        <w:rFonts w:ascii="Cambria Math" w:hAnsi="Cambria Math"/>
                      </w:rPr>
                      <m:t>4, SWDS,y</m:t>
                    </m:r>
                  </m:sub>
                </m:sSub>
              </m:oMath>
            </m:oMathPara>
          </w:p>
        </w:tc>
      </w:tr>
      <w:tr w:rsidR="004334D2" w:rsidRPr="00AE7BE8" w14:paraId="3898543E" w14:textId="77777777" w:rsidTr="00A672F6">
        <w:tc>
          <w:tcPr>
            <w:tcW w:w="2405" w:type="dxa"/>
            <w:shd w:val="clear" w:color="auto" w:fill="E6E6E6"/>
          </w:tcPr>
          <w:p w14:paraId="64515B76"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46" w:type="dxa"/>
            <w:gridSpan w:val="4"/>
          </w:tcPr>
          <w:p w14:paraId="202EA5B8" w14:textId="18C518F3" w:rsidR="004334D2" w:rsidRPr="004C6225" w:rsidRDefault="004334D2" w:rsidP="00E06D0C">
            <w:pPr>
              <w:pStyle w:val="ParaTickBox"/>
              <w:tabs>
                <w:tab w:val="clear" w:pos="510"/>
              </w:tabs>
              <w:ind w:left="0" w:right="57" w:firstLine="0"/>
              <w:jc w:val="both"/>
              <w:rPr>
                <w:szCs w:val="20"/>
              </w:rPr>
            </w:pPr>
            <w:r>
              <w:t>Ex-ante estimated a</w:t>
            </w:r>
            <w:r w:rsidRPr="000C5FD6">
              <w:t>mount of methane in the LFG that is generated from the SWDS in the baseline scenario in year</w:t>
            </w:r>
            <w:r w:rsidR="003C2D11">
              <w:t> </w:t>
            </w:r>
            <w:r w:rsidRPr="000C5FD6">
              <w:rPr>
                <w:i/>
              </w:rPr>
              <w:t>y</w:t>
            </w:r>
          </w:p>
        </w:tc>
      </w:tr>
      <w:tr w:rsidR="004334D2" w:rsidRPr="00AE7BE8" w14:paraId="46054E78" w14:textId="77777777" w:rsidTr="00A672F6">
        <w:tc>
          <w:tcPr>
            <w:tcW w:w="2405" w:type="dxa"/>
            <w:shd w:val="clear" w:color="auto" w:fill="E6E6E6"/>
          </w:tcPr>
          <w:p w14:paraId="46E4A48B"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46" w:type="dxa"/>
            <w:gridSpan w:val="4"/>
          </w:tcPr>
          <w:p w14:paraId="4C89300D" w14:textId="77777777" w:rsidR="004334D2" w:rsidRPr="004C6225" w:rsidRDefault="004334D2" w:rsidP="00E06D0C">
            <w:pPr>
              <w:pStyle w:val="ParaTickBox"/>
              <w:tabs>
                <w:tab w:val="clear" w:pos="510"/>
              </w:tabs>
              <w:ind w:left="0" w:right="57" w:firstLine="0"/>
              <w:jc w:val="both"/>
              <w:rPr>
                <w:szCs w:val="20"/>
              </w:rPr>
            </w:pPr>
            <w:r w:rsidRPr="000C5FD6">
              <w:t>tCO</w:t>
            </w:r>
            <w:r w:rsidRPr="000C5FD6">
              <w:rPr>
                <w:vertAlign w:val="subscript"/>
              </w:rPr>
              <w:t>2</w:t>
            </w:r>
            <w:r w:rsidRPr="000C5FD6">
              <w:t>e/y</w:t>
            </w:r>
            <w:r>
              <w:t>ea</w:t>
            </w:r>
            <w:r w:rsidRPr="000C5FD6">
              <w:t>r</w:t>
            </w:r>
          </w:p>
        </w:tc>
      </w:tr>
      <w:tr w:rsidR="004334D2" w:rsidRPr="00AE7BE8" w14:paraId="0A86CAE1" w14:textId="77777777" w:rsidTr="00A672F6">
        <w:tc>
          <w:tcPr>
            <w:tcW w:w="2405" w:type="dxa"/>
            <w:shd w:val="clear" w:color="auto" w:fill="E6E6E6"/>
          </w:tcPr>
          <w:p w14:paraId="54A03313"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20D445CF" w14:textId="02E4EC14" w:rsidR="004334D2" w:rsidRPr="004C6225" w:rsidRDefault="003645BA" w:rsidP="00E06D0C">
            <w:pPr>
              <w:pStyle w:val="ParaTickBox"/>
              <w:tabs>
                <w:tab w:val="clear" w:pos="510"/>
              </w:tabs>
              <w:ind w:left="0" w:right="57" w:firstLine="0"/>
              <w:jc w:val="both"/>
              <w:rPr>
                <w:szCs w:val="20"/>
              </w:rPr>
            </w:pPr>
            <w:r>
              <w:rPr>
                <w:szCs w:val="20"/>
              </w:rPr>
              <w:t>(</w:t>
            </w:r>
            <w:r w:rsidR="007748F3">
              <w:rPr>
                <w:szCs w:val="20"/>
              </w:rPr>
              <w:t>10</w:t>
            </w:r>
            <w:r>
              <w:rPr>
                <w:szCs w:val="20"/>
              </w:rPr>
              <w:t>)</w:t>
            </w:r>
            <w:r w:rsidR="007748F3">
              <w:rPr>
                <w:szCs w:val="20"/>
              </w:rPr>
              <w:t xml:space="preserve">, (14), </w:t>
            </w:r>
          </w:p>
        </w:tc>
      </w:tr>
      <w:tr w:rsidR="004334D2" w:rsidRPr="00AE7BE8" w14:paraId="0D804E90" w14:textId="77777777" w:rsidTr="00A672F6">
        <w:tc>
          <w:tcPr>
            <w:tcW w:w="2405" w:type="dxa"/>
            <w:shd w:val="clear" w:color="auto" w:fill="E6E6E6"/>
          </w:tcPr>
          <w:p w14:paraId="7021C173" w14:textId="77777777" w:rsidR="004334D2" w:rsidRPr="00AE7BE8" w:rsidRDefault="004334D2" w:rsidP="003C2D11">
            <w:pPr>
              <w:pStyle w:val="ParaTickBox"/>
              <w:keepNext/>
              <w:tabs>
                <w:tab w:val="clear" w:pos="510"/>
              </w:tabs>
              <w:ind w:left="0" w:right="57" w:firstLine="0"/>
              <w:jc w:val="both"/>
              <w:rPr>
                <w:szCs w:val="20"/>
              </w:rPr>
            </w:pPr>
            <w:r w:rsidRPr="00AE7BE8">
              <w:rPr>
                <w:szCs w:val="20"/>
              </w:rPr>
              <w:t>Purpose of data</w:t>
            </w:r>
          </w:p>
        </w:tc>
        <w:tc>
          <w:tcPr>
            <w:tcW w:w="2343" w:type="dxa"/>
          </w:tcPr>
          <w:p w14:paraId="5A073CF5" w14:textId="77777777" w:rsidR="004334D2" w:rsidRPr="004C6225" w:rsidRDefault="004334D2" w:rsidP="003C2D11">
            <w:pPr>
              <w:pStyle w:val="ParaTickBox"/>
              <w:keepNext/>
              <w:tabs>
                <w:tab w:val="clear" w:pos="510"/>
              </w:tabs>
              <w:ind w:left="0" w:right="57" w:firstLine="0"/>
            </w:pPr>
            <w:r>
              <w:rPr>
                <w:rFonts w:asciiTheme="minorBidi" w:hAnsiTheme="minorBidi" w:cstheme="minorBidi"/>
                <w:shd w:val="clear" w:color="auto" w:fill="E6E6E6"/>
              </w:rPr>
              <w:fldChar w:fldCharType="begin">
                <w:ffData>
                  <w:name w:val="Check2"/>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62BA574C" w14:textId="3265A04C" w:rsidR="004334D2" w:rsidRPr="004C6225" w:rsidRDefault="004334D2" w:rsidP="003C2D11">
            <w:pPr>
              <w:pStyle w:val="ParaTickBox"/>
              <w:keepNext/>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260" w:type="dxa"/>
          </w:tcPr>
          <w:p w14:paraId="21B3E5B6" w14:textId="77777777" w:rsidR="004334D2" w:rsidRPr="004C6225" w:rsidRDefault="004334D2" w:rsidP="003C2D11">
            <w:pPr>
              <w:pStyle w:val="ParaTickBox"/>
              <w:keepNext/>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255331E6" w14:textId="77777777" w:rsidTr="00A672F6">
        <w:tc>
          <w:tcPr>
            <w:tcW w:w="2405" w:type="dxa"/>
            <w:shd w:val="clear" w:color="auto" w:fill="E6E6E6"/>
          </w:tcPr>
          <w:p w14:paraId="0E529CD1"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1256C1BD" w14:textId="77777777" w:rsidR="004334D2" w:rsidRPr="00931023" w:rsidRDefault="004334D2" w:rsidP="00E06D0C">
            <w:pPr>
              <w:pStyle w:val="ParaTickBox"/>
              <w:tabs>
                <w:tab w:val="clear" w:pos="510"/>
              </w:tabs>
              <w:ind w:left="0" w:right="57" w:firstLine="0"/>
              <w:jc w:val="both"/>
            </w:pPr>
            <w:r w:rsidRPr="00931023">
              <w:t>N/A (not a fixed va</w:t>
            </w:r>
            <w:r>
              <w:t>lue)</w:t>
            </w:r>
          </w:p>
        </w:tc>
      </w:tr>
      <w:tr w:rsidR="004334D2" w:rsidRPr="00AE7BE8" w14:paraId="63FCCEF6" w14:textId="77777777" w:rsidTr="00A672F6">
        <w:tc>
          <w:tcPr>
            <w:tcW w:w="2405" w:type="dxa"/>
            <w:shd w:val="clear" w:color="auto" w:fill="E6E6E6"/>
          </w:tcPr>
          <w:p w14:paraId="03AE0DEA"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522" w:type="dxa"/>
            <w:gridSpan w:val="2"/>
            <w:vAlign w:val="center"/>
          </w:tcPr>
          <w:p w14:paraId="475876D1" w14:textId="77777777" w:rsidR="004334D2" w:rsidRPr="004C6225" w:rsidRDefault="004334D2" w:rsidP="00E06D0C">
            <w:pPr>
              <w:pStyle w:val="ParaTickBox"/>
              <w:ind w:left="0" w:firstLine="0"/>
              <w:rPr>
                <w:szCs w:val="20"/>
              </w:rPr>
            </w:pPr>
            <w:r w:rsidRPr="004C6225">
              <w:rPr>
                <w:rFonts w:asciiTheme="minorBidi" w:hAnsiTheme="minorBidi" w:cstheme="minorBidi"/>
                <w:szCs w:val="20"/>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szCs w:val="20"/>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sidRPr="004C6225">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424" w:type="dxa"/>
            <w:gridSpan w:val="2"/>
            <w:vAlign w:val="center"/>
          </w:tcPr>
          <w:p w14:paraId="27D2FB3B"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0129EE48" w14:textId="77777777" w:rsidTr="00A672F6">
        <w:tc>
          <w:tcPr>
            <w:tcW w:w="2405" w:type="dxa"/>
            <w:shd w:val="clear" w:color="auto" w:fill="E6E6E6"/>
          </w:tcPr>
          <w:p w14:paraId="749CACF9"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39A4C518" w14:textId="77777777" w:rsidR="004334D2" w:rsidRPr="004C6225" w:rsidRDefault="004334D2" w:rsidP="00E06D0C">
            <w:pPr>
              <w:pStyle w:val="ParaTickBox"/>
              <w:tabs>
                <w:tab w:val="clear" w:pos="510"/>
              </w:tabs>
              <w:ind w:left="0" w:right="57" w:firstLine="0"/>
              <w:jc w:val="both"/>
              <w:rPr>
                <w:szCs w:val="20"/>
              </w:rPr>
            </w:pPr>
            <w:r>
              <w:rPr>
                <w:szCs w:val="20"/>
              </w:rPr>
              <w:t>Determined by applying the solid waste tool</w:t>
            </w:r>
          </w:p>
        </w:tc>
      </w:tr>
      <w:tr w:rsidR="004334D2" w:rsidRPr="00AE7BE8" w14:paraId="28FB1746" w14:textId="77777777" w:rsidTr="00A672F6">
        <w:tc>
          <w:tcPr>
            <w:tcW w:w="2405" w:type="dxa"/>
            <w:shd w:val="clear" w:color="auto" w:fill="E6E6E6"/>
          </w:tcPr>
          <w:p w14:paraId="40A6FB5A" w14:textId="77777777" w:rsidR="004334D2" w:rsidRPr="00AE7BE8" w:rsidRDefault="004334D2" w:rsidP="00E06D0C">
            <w:pPr>
              <w:pStyle w:val="ParaTickBox"/>
              <w:tabs>
                <w:tab w:val="clear" w:pos="510"/>
              </w:tabs>
              <w:ind w:left="0" w:right="57" w:firstLine="0"/>
              <w:jc w:val="both"/>
              <w:rPr>
                <w:szCs w:val="20"/>
              </w:rPr>
            </w:pPr>
            <w:r>
              <w:rPr>
                <w:szCs w:val="20"/>
              </w:rPr>
              <w:t>Treatment of uncertainties</w:t>
            </w:r>
          </w:p>
        </w:tc>
        <w:tc>
          <w:tcPr>
            <w:tcW w:w="6946" w:type="dxa"/>
            <w:gridSpan w:val="4"/>
          </w:tcPr>
          <w:p w14:paraId="61057234" w14:textId="77777777" w:rsidR="004334D2" w:rsidRPr="004C6225" w:rsidRDefault="004334D2" w:rsidP="00E06D0C">
            <w:pPr>
              <w:pStyle w:val="ParaTickBox"/>
              <w:tabs>
                <w:tab w:val="clear" w:pos="510"/>
              </w:tabs>
              <w:ind w:left="0" w:right="57" w:firstLine="0"/>
              <w:jc w:val="both"/>
              <w:rPr>
                <w:i/>
                <w:iCs/>
                <w:szCs w:val="20"/>
              </w:rPr>
            </w:pPr>
            <w:r>
              <w:rPr>
                <w:szCs w:val="20"/>
              </w:rPr>
              <w:t>Uncertainty already considered when applying the solid waste tool</w:t>
            </w:r>
          </w:p>
        </w:tc>
      </w:tr>
      <w:tr w:rsidR="004334D2" w:rsidRPr="00AE7BE8" w14:paraId="26B3545F" w14:textId="77777777" w:rsidTr="00A672F6">
        <w:tc>
          <w:tcPr>
            <w:tcW w:w="2405" w:type="dxa"/>
            <w:shd w:val="clear" w:color="auto" w:fill="E6E6E6"/>
          </w:tcPr>
          <w:p w14:paraId="43B89EDD"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1CB3543C" w14:textId="77777777" w:rsidR="004334D2" w:rsidRDefault="004334D2" w:rsidP="00E06D0C">
            <w:pPr>
              <w:pStyle w:val="ParaTickBox"/>
              <w:tabs>
                <w:tab w:val="clear" w:pos="510"/>
              </w:tabs>
              <w:ind w:left="0" w:right="57" w:firstLine="0"/>
              <w:jc w:val="both"/>
              <w:rPr>
                <w:szCs w:val="20"/>
              </w:rPr>
            </w:pPr>
            <w:r>
              <w:rPr>
                <w:szCs w:val="20"/>
              </w:rPr>
              <w:t>-</w:t>
            </w:r>
          </w:p>
        </w:tc>
      </w:tr>
    </w:tbl>
    <w:p w14:paraId="48B87A6E" w14:textId="3816A85B"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6</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3"/>
        <w:gridCol w:w="1179"/>
        <w:gridCol w:w="1164"/>
        <w:gridCol w:w="2260"/>
      </w:tblGrid>
      <w:tr w:rsidR="004334D2" w:rsidRPr="00AE7BE8" w14:paraId="6D8F18FA" w14:textId="77777777" w:rsidTr="00A672F6">
        <w:tc>
          <w:tcPr>
            <w:tcW w:w="2405" w:type="dxa"/>
            <w:shd w:val="clear" w:color="auto" w:fill="E6E6E6"/>
          </w:tcPr>
          <w:p w14:paraId="683DB775"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22B3FA1E" w14:textId="3252A1FF" w:rsidR="004334D2" w:rsidRPr="00C116DC" w:rsidRDefault="00302468" w:rsidP="00E06D0C">
            <w:pPr>
              <w:pStyle w:val="ParaTickBox"/>
              <w:tabs>
                <w:tab w:val="clear" w:pos="510"/>
              </w:tabs>
              <w:ind w:left="0" w:right="57" w:firstLine="0"/>
              <w:rPr>
                <w:b/>
                <w:bCs/>
                <w:szCs w:val="20"/>
              </w:rPr>
            </w:pPr>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CO</m:t>
                  </m:r>
                  <m:r>
                    <m:rPr>
                      <m:sty m:val="bi"/>
                    </m:rPr>
                    <w:rPr>
                      <w:rFonts w:ascii="Cambria Math" w:hAnsi="Cambria Math"/>
                    </w:rPr>
                    <m:t>2, BL, HG,n, j</m:t>
                  </m:r>
                </m:sub>
              </m:sSub>
            </m:oMath>
            <w:r w:rsidR="004334D2" w:rsidRPr="00C116DC">
              <w:rPr>
                <w:b/>
                <w:bCs/>
              </w:rPr>
              <w:t xml:space="preserve">; </w:t>
            </w:r>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CO</m:t>
                  </m:r>
                  <m:r>
                    <m:rPr>
                      <m:sty m:val="bi"/>
                    </m:rPr>
                    <w:rPr>
                      <w:rFonts w:ascii="Cambria Math" w:hAnsi="Cambria Math"/>
                    </w:rPr>
                    <m:t>2,NG,y</m:t>
                  </m:r>
                </m:sub>
              </m:sSub>
            </m:oMath>
          </w:p>
        </w:tc>
      </w:tr>
      <w:tr w:rsidR="004334D2" w:rsidRPr="00AE1482" w14:paraId="65E7456F" w14:textId="77777777" w:rsidTr="00A672F6">
        <w:tc>
          <w:tcPr>
            <w:tcW w:w="2405" w:type="dxa"/>
            <w:shd w:val="clear" w:color="auto" w:fill="E6E6E6"/>
          </w:tcPr>
          <w:p w14:paraId="25BE24FC"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46" w:type="dxa"/>
            <w:gridSpan w:val="4"/>
          </w:tcPr>
          <w:p w14:paraId="0A9D9C42" w14:textId="1657F831" w:rsidR="004334D2" w:rsidRDefault="00302468" w:rsidP="00E06D0C">
            <w:pPr>
              <w:pStyle w:val="ParaTickBox"/>
              <w:tabs>
                <w:tab w:val="clear" w:pos="510"/>
              </w:tabs>
              <w:ind w:left="0" w:right="57" w:firstLine="0"/>
              <w:jc w:val="both"/>
            </w:pPr>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CO</m:t>
                  </m:r>
                  <m:r>
                    <m:rPr>
                      <m:sty m:val="bi"/>
                    </m:rPr>
                    <w:rPr>
                      <w:rFonts w:ascii="Cambria Math" w:hAnsi="Cambria Math"/>
                    </w:rPr>
                    <m:t>2, BL, HG, j</m:t>
                  </m:r>
                </m:sub>
              </m:sSub>
            </m:oMath>
            <w:r w:rsidR="004334D2">
              <w:rPr>
                <w:b/>
                <w:bCs/>
              </w:rPr>
              <w:t xml:space="preserve">: </w:t>
            </w:r>
            <w:r w:rsidR="004334D2" w:rsidRPr="000C5FD6">
              <w:t>CO</w:t>
            </w:r>
            <w:r w:rsidR="004334D2" w:rsidRPr="000C5FD6">
              <w:rPr>
                <w:vertAlign w:val="subscript"/>
              </w:rPr>
              <w:t>2</w:t>
            </w:r>
            <w:r w:rsidR="004334D2" w:rsidRPr="000C5FD6">
              <w:t xml:space="preserve"> emission factor of the fossil fuel type used for heat generation by equipment </w:t>
            </w:r>
            <w:r w:rsidR="0072235E">
              <w:t xml:space="preserve">unit </w:t>
            </w:r>
            <w:r w:rsidR="0072235E" w:rsidRPr="0072235E">
              <w:rPr>
                <w:i/>
                <w:iCs/>
              </w:rPr>
              <w:t>n</w:t>
            </w:r>
            <w:r w:rsidR="0072235E">
              <w:t xml:space="preserve"> </w:t>
            </w:r>
            <w:r w:rsidR="00D47264">
              <w:t>of</w:t>
            </w:r>
            <w:r w:rsidR="0072235E">
              <w:t xml:space="preserve"> </w:t>
            </w:r>
            <w:r w:rsidR="004334D2" w:rsidRPr="000C5FD6">
              <w:t xml:space="preserve">type </w:t>
            </w:r>
            <w:r w:rsidR="004334D2" w:rsidRPr="000C5FD6">
              <w:rPr>
                <w:i/>
              </w:rPr>
              <w:t>j</w:t>
            </w:r>
            <w:r w:rsidR="004334D2" w:rsidRPr="000C5FD6">
              <w:t xml:space="preserve"> in the baseline</w:t>
            </w:r>
          </w:p>
          <w:p w14:paraId="5B80591B" w14:textId="77777777" w:rsidR="004334D2" w:rsidRPr="00AE1482" w:rsidRDefault="00302468" w:rsidP="00E06D0C">
            <w:pPr>
              <w:pStyle w:val="ParaTickBox"/>
              <w:tabs>
                <w:tab w:val="clear" w:pos="510"/>
              </w:tabs>
              <w:ind w:left="0" w:right="57" w:firstLine="0"/>
              <w:jc w:val="both"/>
              <w:rPr>
                <w:szCs w:val="20"/>
              </w:rPr>
            </w:pPr>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CO</m:t>
                  </m:r>
                  <m:r>
                    <m:rPr>
                      <m:sty m:val="bi"/>
                    </m:rPr>
                    <w:rPr>
                      <w:rFonts w:ascii="Cambria Math" w:hAnsi="Cambria Math"/>
                    </w:rPr>
                    <m:t>2,NG,y</m:t>
                  </m:r>
                </m:sub>
              </m:sSub>
            </m:oMath>
            <w:r w:rsidR="004334D2" w:rsidRPr="00AE1482">
              <w:rPr>
                <w:b/>
                <w:bCs/>
              </w:rPr>
              <w:t xml:space="preserve">: </w:t>
            </w:r>
            <w:r w:rsidR="004334D2" w:rsidRPr="000C5FD6">
              <w:t>Average CO</w:t>
            </w:r>
            <w:r w:rsidR="004334D2" w:rsidRPr="000C5FD6">
              <w:rPr>
                <w:vertAlign w:val="subscript"/>
              </w:rPr>
              <w:t>2</w:t>
            </w:r>
            <w:r w:rsidR="004334D2" w:rsidRPr="000C5FD6">
              <w:t xml:space="preserve"> emission factor of natural gas in the natural gas network or dedicated pipeline or in the trucks in year </w:t>
            </w:r>
            <w:r w:rsidR="004334D2" w:rsidRPr="000C5FD6">
              <w:rPr>
                <w:i/>
              </w:rPr>
              <w:t>y</w:t>
            </w:r>
          </w:p>
        </w:tc>
      </w:tr>
      <w:tr w:rsidR="004334D2" w:rsidRPr="00AE7BE8" w14:paraId="73422E1D" w14:textId="77777777" w:rsidTr="00A672F6">
        <w:tc>
          <w:tcPr>
            <w:tcW w:w="2405" w:type="dxa"/>
            <w:shd w:val="clear" w:color="auto" w:fill="E6E6E6"/>
          </w:tcPr>
          <w:p w14:paraId="745FB15A"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46" w:type="dxa"/>
            <w:gridSpan w:val="4"/>
          </w:tcPr>
          <w:p w14:paraId="1623B778" w14:textId="77777777" w:rsidR="004334D2" w:rsidRPr="004C6225" w:rsidRDefault="004334D2" w:rsidP="00E06D0C">
            <w:pPr>
              <w:pStyle w:val="ParaTickBox"/>
              <w:tabs>
                <w:tab w:val="clear" w:pos="510"/>
              </w:tabs>
              <w:ind w:left="0" w:right="57" w:firstLine="0"/>
              <w:jc w:val="both"/>
              <w:rPr>
                <w:szCs w:val="20"/>
              </w:rPr>
            </w:pPr>
            <w:r w:rsidRPr="000C5FD6">
              <w:rPr>
                <w:iCs/>
              </w:rPr>
              <w:t>tCO</w:t>
            </w:r>
            <w:r w:rsidRPr="000C5FD6">
              <w:rPr>
                <w:iCs/>
                <w:vertAlign w:val="subscript"/>
              </w:rPr>
              <w:t>2</w:t>
            </w:r>
            <w:r w:rsidRPr="000C5FD6">
              <w:rPr>
                <w:iCs/>
              </w:rPr>
              <w:t>/TJ</w:t>
            </w:r>
          </w:p>
        </w:tc>
      </w:tr>
      <w:tr w:rsidR="004334D2" w:rsidRPr="0050704F" w14:paraId="39735352" w14:textId="77777777" w:rsidTr="00A672F6">
        <w:tc>
          <w:tcPr>
            <w:tcW w:w="2405" w:type="dxa"/>
            <w:shd w:val="clear" w:color="auto" w:fill="E6E6E6"/>
          </w:tcPr>
          <w:p w14:paraId="4CEFFF3A"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2E1F351B" w14:textId="6EF83412" w:rsidR="004334D2" w:rsidRPr="00F61DAC" w:rsidRDefault="00302468" w:rsidP="00E06D0C">
            <w:pPr>
              <w:pStyle w:val="ParaTickBox"/>
              <w:tabs>
                <w:tab w:val="clear" w:pos="510"/>
              </w:tabs>
              <w:ind w:left="0" w:right="57" w:firstLine="0"/>
              <w:jc w:val="both"/>
              <w:rPr>
                <w:szCs w:val="20"/>
              </w:rPr>
            </w:pPr>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CO</m:t>
                  </m:r>
                  <m:r>
                    <m:rPr>
                      <m:sty m:val="bi"/>
                    </m:rPr>
                    <w:rPr>
                      <w:rFonts w:ascii="Cambria Math" w:hAnsi="Cambria Math"/>
                    </w:rPr>
                    <m:t>2, BL, HG, n,j</m:t>
                  </m:r>
                </m:sub>
              </m:sSub>
            </m:oMath>
            <w:r w:rsidR="004334D2" w:rsidRPr="00F61DAC">
              <w:rPr>
                <w:b/>
                <w:bCs/>
              </w:rPr>
              <w:t xml:space="preserve">: </w:t>
            </w:r>
            <w:r w:rsidR="00F61DAC" w:rsidRPr="00F61DAC">
              <w:rPr>
                <w:szCs w:val="20"/>
              </w:rPr>
              <w:t>(</w:t>
            </w:r>
            <w:r w:rsidR="003416A9">
              <w:rPr>
                <w:szCs w:val="20"/>
              </w:rPr>
              <w:t>18</w:t>
            </w:r>
            <w:r w:rsidR="00F61DAC" w:rsidRPr="00F61DAC">
              <w:rPr>
                <w:szCs w:val="20"/>
              </w:rPr>
              <w:t>)</w:t>
            </w:r>
          </w:p>
          <w:p w14:paraId="7E4508E6" w14:textId="6A989FC4" w:rsidR="004334D2" w:rsidRPr="00AE1482" w:rsidRDefault="00302468" w:rsidP="00E06D0C">
            <w:pPr>
              <w:pStyle w:val="ParaTickBox"/>
              <w:tabs>
                <w:tab w:val="clear" w:pos="510"/>
              </w:tabs>
              <w:ind w:left="0" w:right="57" w:firstLine="0"/>
              <w:jc w:val="both"/>
              <w:rPr>
                <w:szCs w:val="20"/>
                <w:lang w:val="fr-FR"/>
              </w:rPr>
            </w:pPr>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CO</m:t>
                  </m:r>
                  <m:r>
                    <m:rPr>
                      <m:sty m:val="bi"/>
                    </m:rPr>
                    <w:rPr>
                      <w:rFonts w:ascii="Cambria Math" w:hAnsi="Cambria Math"/>
                    </w:rPr>
                    <m:t>2</m:t>
                  </m:r>
                  <m:r>
                    <m:rPr>
                      <m:sty m:val="bi"/>
                    </m:rPr>
                    <w:rPr>
                      <w:rFonts w:ascii="Cambria Math" w:hAnsi="Cambria Math"/>
                      <w:lang w:val="fr-FR"/>
                    </w:rPr>
                    <m:t>,</m:t>
                  </m:r>
                  <m:r>
                    <m:rPr>
                      <m:sty m:val="bi"/>
                    </m:rPr>
                    <w:rPr>
                      <w:rFonts w:ascii="Cambria Math" w:hAnsi="Cambria Math"/>
                    </w:rPr>
                    <m:t>NG</m:t>
                  </m:r>
                  <m:r>
                    <m:rPr>
                      <m:sty m:val="bi"/>
                    </m:rPr>
                    <w:rPr>
                      <w:rFonts w:ascii="Cambria Math" w:hAnsi="Cambria Math"/>
                      <w:lang w:val="fr-FR"/>
                    </w:rPr>
                    <m:t>,</m:t>
                  </m:r>
                  <m:r>
                    <m:rPr>
                      <m:sty m:val="bi"/>
                    </m:rPr>
                    <w:rPr>
                      <w:rFonts w:ascii="Cambria Math" w:hAnsi="Cambria Math"/>
                    </w:rPr>
                    <m:t>y</m:t>
                  </m:r>
                </m:sub>
              </m:sSub>
            </m:oMath>
            <w:r w:rsidR="004334D2" w:rsidRPr="00AE1482">
              <w:rPr>
                <w:b/>
                <w:bCs/>
                <w:lang w:val="fr-FR"/>
              </w:rPr>
              <w:t xml:space="preserve">: </w:t>
            </w:r>
            <w:r w:rsidR="003416A9">
              <w:rPr>
                <w:szCs w:val="20"/>
                <w:lang w:val="fr-FR"/>
              </w:rPr>
              <w:t>(</w:t>
            </w:r>
            <w:r w:rsidR="00265D84">
              <w:rPr>
                <w:szCs w:val="20"/>
                <w:lang w:val="fr-FR"/>
              </w:rPr>
              <w:t>23</w:t>
            </w:r>
            <w:r w:rsidR="003416A9">
              <w:rPr>
                <w:szCs w:val="20"/>
                <w:lang w:val="fr-FR"/>
              </w:rPr>
              <w:t>)</w:t>
            </w:r>
          </w:p>
        </w:tc>
      </w:tr>
      <w:tr w:rsidR="004334D2" w:rsidRPr="00AE7BE8" w14:paraId="33AB8882" w14:textId="77777777" w:rsidTr="00A672F6">
        <w:tc>
          <w:tcPr>
            <w:tcW w:w="2405" w:type="dxa"/>
            <w:shd w:val="clear" w:color="auto" w:fill="E6E6E6"/>
          </w:tcPr>
          <w:p w14:paraId="18503CB2"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343" w:type="dxa"/>
          </w:tcPr>
          <w:p w14:paraId="59352C37"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Check2"/>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67EE129E" w14:textId="7FC35354"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260" w:type="dxa"/>
          </w:tcPr>
          <w:p w14:paraId="334D3308"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2FAA57EB" w14:textId="77777777" w:rsidTr="00A672F6">
        <w:tc>
          <w:tcPr>
            <w:tcW w:w="2405" w:type="dxa"/>
            <w:shd w:val="clear" w:color="auto" w:fill="E6E6E6"/>
          </w:tcPr>
          <w:p w14:paraId="56A0AB75"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6CDE853D" w14:textId="77777777" w:rsidR="004334D2" w:rsidRPr="00931023" w:rsidRDefault="004334D2" w:rsidP="00E06D0C">
            <w:pPr>
              <w:pStyle w:val="ParaTickBox"/>
              <w:tabs>
                <w:tab w:val="clear" w:pos="510"/>
              </w:tabs>
              <w:ind w:left="0" w:right="57" w:firstLine="0"/>
              <w:jc w:val="both"/>
            </w:pPr>
            <w:r>
              <w:t>Variable (depends on the type of fuel)</w:t>
            </w:r>
          </w:p>
        </w:tc>
      </w:tr>
      <w:tr w:rsidR="004334D2" w:rsidRPr="00AE7BE8" w14:paraId="0B848B04" w14:textId="77777777" w:rsidTr="00A672F6">
        <w:tc>
          <w:tcPr>
            <w:tcW w:w="2405" w:type="dxa"/>
            <w:shd w:val="clear" w:color="auto" w:fill="E6E6E6"/>
          </w:tcPr>
          <w:p w14:paraId="34FB956F"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522" w:type="dxa"/>
            <w:gridSpan w:val="2"/>
            <w:vAlign w:val="center"/>
          </w:tcPr>
          <w:p w14:paraId="32A08C9B" w14:textId="77777777" w:rsidR="004334D2" w:rsidRPr="004C6225" w:rsidRDefault="004334D2" w:rsidP="00E06D0C">
            <w:pPr>
              <w:pStyle w:val="ParaTickBox"/>
              <w:ind w:left="0" w:firstLine="0"/>
              <w:rPr>
                <w:szCs w:val="20"/>
              </w:rPr>
            </w:pPr>
            <w:r w:rsidRPr="004C6225">
              <w:rPr>
                <w:rFonts w:asciiTheme="minorBidi" w:hAnsiTheme="minorBidi" w:cstheme="minorBidi"/>
                <w:szCs w:val="20"/>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szCs w:val="20"/>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sidRPr="004C6225">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424" w:type="dxa"/>
            <w:gridSpan w:val="2"/>
            <w:vAlign w:val="center"/>
          </w:tcPr>
          <w:p w14:paraId="543EE282"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2BBC8AB7" w14:textId="77777777" w:rsidTr="00A672F6">
        <w:tc>
          <w:tcPr>
            <w:tcW w:w="2405" w:type="dxa"/>
            <w:shd w:val="clear" w:color="auto" w:fill="E6E6E6"/>
          </w:tcPr>
          <w:p w14:paraId="76D5E09B"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06169771" w14:textId="3673328C" w:rsidR="004334D2" w:rsidRPr="004C6225" w:rsidRDefault="004334D2" w:rsidP="00E06D0C">
            <w:pPr>
              <w:pStyle w:val="ParaTickBox"/>
              <w:tabs>
                <w:tab w:val="clear" w:pos="510"/>
              </w:tabs>
              <w:ind w:left="0" w:right="57" w:firstLine="0"/>
              <w:jc w:val="both"/>
              <w:rPr>
                <w:szCs w:val="20"/>
              </w:rPr>
            </w:pPr>
            <w:r>
              <w:t xml:space="preserve">Sourced from Table 1.4 of </w:t>
            </w:r>
            <w:r w:rsidR="00C43B01">
              <w:t xml:space="preserve">Volume 2, </w:t>
            </w:r>
            <w:r>
              <w:t xml:space="preserve">Chapter 1 of the IPCC </w:t>
            </w:r>
            <w:r w:rsidR="00C43B01">
              <w:t>(2006)</w:t>
            </w:r>
          </w:p>
        </w:tc>
      </w:tr>
      <w:tr w:rsidR="004334D2" w:rsidRPr="00AE7BE8" w14:paraId="01A94B01" w14:textId="77777777" w:rsidTr="00A672F6">
        <w:tc>
          <w:tcPr>
            <w:tcW w:w="2405" w:type="dxa"/>
            <w:shd w:val="clear" w:color="auto" w:fill="E6E6E6"/>
          </w:tcPr>
          <w:p w14:paraId="7B225EF3" w14:textId="77777777" w:rsidR="004334D2" w:rsidRPr="00AE7BE8" w:rsidRDefault="004334D2" w:rsidP="00E06D0C">
            <w:pPr>
              <w:pStyle w:val="ParaTickBox"/>
              <w:tabs>
                <w:tab w:val="clear" w:pos="510"/>
              </w:tabs>
              <w:ind w:left="0" w:right="57" w:firstLine="0"/>
              <w:rPr>
                <w:szCs w:val="20"/>
              </w:rPr>
            </w:pPr>
            <w:r>
              <w:rPr>
                <w:szCs w:val="20"/>
              </w:rPr>
              <w:t>Treatment of uncertainties</w:t>
            </w:r>
          </w:p>
        </w:tc>
        <w:tc>
          <w:tcPr>
            <w:tcW w:w="6946" w:type="dxa"/>
            <w:gridSpan w:val="4"/>
          </w:tcPr>
          <w:p w14:paraId="70A193A0" w14:textId="520F33F5" w:rsidR="004334D2" w:rsidRDefault="004334D2" w:rsidP="00E06D0C">
            <w:pPr>
              <w:pStyle w:val="ParaTickBox"/>
              <w:tabs>
                <w:tab w:val="clear" w:pos="510"/>
              </w:tabs>
              <w:ind w:left="0" w:right="57" w:firstLine="0"/>
              <w:jc w:val="both"/>
            </w:pPr>
            <w:r>
              <w:t xml:space="preserve">Apply uncertainties based on the </w:t>
            </w:r>
            <w:r w:rsidR="00265D84">
              <w:t>IPCC (</w:t>
            </w:r>
            <w:r w:rsidRPr="00317362">
              <w:t>2019 Refinement</w:t>
            </w:r>
            <w:r w:rsidR="00265D84">
              <w:t>)</w:t>
            </w:r>
          </w:p>
        </w:tc>
      </w:tr>
      <w:tr w:rsidR="004334D2" w:rsidRPr="00AE7BE8" w14:paraId="7232DB2B" w14:textId="77777777" w:rsidTr="00A672F6">
        <w:tc>
          <w:tcPr>
            <w:tcW w:w="2405" w:type="dxa"/>
            <w:shd w:val="clear" w:color="auto" w:fill="E6E6E6"/>
          </w:tcPr>
          <w:p w14:paraId="56AF0BCD"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14649849" w14:textId="77777777" w:rsidR="004334D2" w:rsidRPr="004C6225" w:rsidRDefault="004334D2" w:rsidP="00E06D0C">
            <w:pPr>
              <w:pStyle w:val="ParaTickBox"/>
              <w:tabs>
                <w:tab w:val="clear" w:pos="510"/>
              </w:tabs>
              <w:ind w:left="0" w:right="57" w:firstLine="0"/>
              <w:jc w:val="both"/>
              <w:rPr>
                <w:i/>
                <w:iCs/>
                <w:szCs w:val="20"/>
              </w:rPr>
            </w:pPr>
            <w:r>
              <w:rPr>
                <w:szCs w:val="20"/>
              </w:rPr>
              <w:t>-</w:t>
            </w:r>
          </w:p>
        </w:tc>
      </w:tr>
    </w:tbl>
    <w:p w14:paraId="691D7E8C" w14:textId="50A93661" w:rsidR="00FE6DAB" w:rsidRDefault="00FE6DAB" w:rsidP="00FE6DAB">
      <w:pPr>
        <w:pStyle w:val="Caption"/>
        <w:ind w:hanging="1956"/>
      </w:pPr>
      <w:r>
        <w:t>Data / Parameter table </w:t>
      </w:r>
      <w:r>
        <w:fldChar w:fldCharType="begin"/>
      </w:r>
      <w:r>
        <w:instrText>SEQ Data_/_Parameter_table \* ARABIC</w:instrText>
      </w:r>
      <w:r>
        <w:fldChar w:fldCharType="separate"/>
      </w:r>
      <w:r w:rsidR="00302468">
        <w:rPr>
          <w:noProof/>
        </w:rPr>
        <w:t>7</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3"/>
        <w:gridCol w:w="1179"/>
        <w:gridCol w:w="1164"/>
        <w:gridCol w:w="2260"/>
      </w:tblGrid>
      <w:tr w:rsidR="00FE6DAB" w:rsidRPr="00AE7BE8" w14:paraId="4F344AED" w14:textId="77777777" w:rsidTr="00A672F6">
        <w:tc>
          <w:tcPr>
            <w:tcW w:w="2405" w:type="dxa"/>
            <w:shd w:val="clear" w:color="auto" w:fill="E6E6E6"/>
          </w:tcPr>
          <w:p w14:paraId="2B8CB048" w14:textId="77777777" w:rsidR="00FE6DAB" w:rsidRPr="00AE7BE8" w:rsidRDefault="00FE6DAB" w:rsidP="009532CC">
            <w:pPr>
              <w:pStyle w:val="ParaTickBox"/>
              <w:keepNext/>
              <w:tabs>
                <w:tab w:val="clear" w:pos="510"/>
              </w:tabs>
              <w:ind w:left="0" w:right="57" w:firstLine="0"/>
              <w:jc w:val="both"/>
              <w:rPr>
                <w:b/>
                <w:bCs/>
                <w:szCs w:val="20"/>
              </w:rPr>
            </w:pPr>
            <w:r w:rsidRPr="00AE7BE8">
              <w:rPr>
                <w:b/>
                <w:bCs/>
                <w:szCs w:val="20"/>
              </w:rPr>
              <w:t>Data/parameter</w:t>
            </w:r>
          </w:p>
        </w:tc>
        <w:tc>
          <w:tcPr>
            <w:tcW w:w="6946" w:type="dxa"/>
            <w:gridSpan w:val="4"/>
          </w:tcPr>
          <w:p w14:paraId="4F537174" w14:textId="01247F0D" w:rsidR="00FE6DAB" w:rsidRPr="00955501" w:rsidRDefault="00302468" w:rsidP="009532CC">
            <w:pPr>
              <w:pStyle w:val="ParaTickBox"/>
              <w:keepNext/>
              <w:tabs>
                <w:tab w:val="clear" w:pos="510"/>
              </w:tabs>
              <w:ind w:left="0" w:right="57" w:firstLine="0"/>
              <w:rPr>
                <w:b/>
                <w:bCs/>
                <w:szCs w:val="20"/>
              </w:rPr>
            </w:pPr>
            <m:oMathPara>
              <m:oMathParaPr>
                <m:jc m:val="left"/>
              </m:oMathParaPr>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CO</m:t>
                    </m:r>
                    <m:r>
                      <m:rPr>
                        <m:sty m:val="bi"/>
                      </m:rPr>
                      <w:rPr>
                        <w:rFonts w:ascii="Cambria Math" w:hAnsi="Cambria Math"/>
                      </w:rPr>
                      <m:t>2, EG,BAT</m:t>
                    </m:r>
                  </m:sub>
                </m:sSub>
              </m:oMath>
            </m:oMathPara>
          </w:p>
        </w:tc>
      </w:tr>
      <w:tr w:rsidR="00FE6DAB" w:rsidRPr="00AE1482" w14:paraId="2496C036" w14:textId="77777777" w:rsidTr="00A672F6">
        <w:tc>
          <w:tcPr>
            <w:tcW w:w="2405" w:type="dxa"/>
            <w:shd w:val="clear" w:color="auto" w:fill="E6E6E6"/>
          </w:tcPr>
          <w:p w14:paraId="242B537F" w14:textId="77777777" w:rsidR="00FE6DAB" w:rsidRPr="00AE7BE8" w:rsidRDefault="00FE6DAB" w:rsidP="009532CC">
            <w:pPr>
              <w:pStyle w:val="ParaTickBox"/>
              <w:keepNext/>
              <w:tabs>
                <w:tab w:val="clear" w:pos="510"/>
              </w:tabs>
              <w:ind w:left="0" w:right="57" w:firstLine="0"/>
              <w:jc w:val="both"/>
              <w:rPr>
                <w:szCs w:val="20"/>
              </w:rPr>
            </w:pPr>
            <w:r w:rsidRPr="00AE7BE8">
              <w:rPr>
                <w:szCs w:val="20"/>
              </w:rPr>
              <w:t>Description</w:t>
            </w:r>
          </w:p>
        </w:tc>
        <w:tc>
          <w:tcPr>
            <w:tcW w:w="6946" w:type="dxa"/>
            <w:gridSpan w:val="4"/>
          </w:tcPr>
          <w:p w14:paraId="7BD7E5C5" w14:textId="1AC58FED" w:rsidR="00FE6DAB" w:rsidRPr="00AE1482" w:rsidRDefault="00C74D87" w:rsidP="009532CC">
            <w:pPr>
              <w:pStyle w:val="ParaTickBox"/>
              <w:keepNext/>
              <w:tabs>
                <w:tab w:val="clear" w:pos="510"/>
              </w:tabs>
              <w:ind w:left="0" w:right="57" w:firstLine="0"/>
              <w:jc w:val="both"/>
              <w:rPr>
                <w:szCs w:val="20"/>
              </w:rPr>
            </w:pPr>
            <w:r>
              <w:t>CO</w:t>
            </w:r>
            <w:r w:rsidRPr="005F2718">
              <w:rPr>
                <w:vertAlign w:val="subscript"/>
              </w:rPr>
              <w:t>2</w:t>
            </w:r>
            <w:r>
              <w:t xml:space="preserve"> emissions intensity of the best-available technology</w:t>
            </w:r>
          </w:p>
        </w:tc>
      </w:tr>
      <w:tr w:rsidR="00FE6DAB" w:rsidRPr="00AE7BE8" w14:paraId="3A1D98E3" w14:textId="77777777" w:rsidTr="00A672F6">
        <w:tc>
          <w:tcPr>
            <w:tcW w:w="2405" w:type="dxa"/>
            <w:shd w:val="clear" w:color="auto" w:fill="E6E6E6"/>
          </w:tcPr>
          <w:p w14:paraId="4658A505" w14:textId="77777777" w:rsidR="00FE6DAB" w:rsidRPr="00AE7BE8" w:rsidRDefault="00FE6DAB" w:rsidP="009532CC">
            <w:pPr>
              <w:pStyle w:val="ParaTickBox"/>
              <w:keepNext/>
              <w:tabs>
                <w:tab w:val="clear" w:pos="510"/>
              </w:tabs>
              <w:ind w:left="0" w:right="57" w:firstLine="0"/>
              <w:jc w:val="both"/>
              <w:rPr>
                <w:szCs w:val="20"/>
              </w:rPr>
            </w:pPr>
            <w:r w:rsidRPr="00AE7BE8">
              <w:rPr>
                <w:szCs w:val="20"/>
              </w:rPr>
              <w:t>Data unit</w:t>
            </w:r>
          </w:p>
        </w:tc>
        <w:tc>
          <w:tcPr>
            <w:tcW w:w="6946" w:type="dxa"/>
            <w:gridSpan w:val="4"/>
          </w:tcPr>
          <w:p w14:paraId="51BF7CA5" w14:textId="3524F3B4" w:rsidR="00FE6DAB" w:rsidRPr="004C6225" w:rsidRDefault="00C74D87" w:rsidP="009532CC">
            <w:pPr>
              <w:pStyle w:val="ParaTickBox"/>
              <w:keepNext/>
              <w:tabs>
                <w:tab w:val="clear" w:pos="510"/>
              </w:tabs>
              <w:ind w:left="0" w:right="57" w:firstLine="0"/>
              <w:jc w:val="both"/>
              <w:rPr>
                <w:szCs w:val="20"/>
              </w:rPr>
            </w:pPr>
            <w:r>
              <w:t>tCO</w:t>
            </w:r>
            <w:r w:rsidRPr="001A6322">
              <w:rPr>
                <w:vertAlign w:val="subscript"/>
              </w:rPr>
              <w:t>2</w:t>
            </w:r>
            <w:r>
              <w:t>e/MWh</w:t>
            </w:r>
          </w:p>
        </w:tc>
      </w:tr>
      <w:tr w:rsidR="00FE6DAB" w:rsidRPr="00184973" w14:paraId="38FFD308" w14:textId="77777777" w:rsidTr="00A672F6">
        <w:tc>
          <w:tcPr>
            <w:tcW w:w="2405" w:type="dxa"/>
            <w:shd w:val="clear" w:color="auto" w:fill="E6E6E6"/>
          </w:tcPr>
          <w:p w14:paraId="1C7F193B" w14:textId="77777777" w:rsidR="00FE6DAB" w:rsidRPr="00AE7BE8" w:rsidRDefault="00FE6DAB"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0000C7DB" w14:textId="64D655C2" w:rsidR="00FE6DAB" w:rsidRPr="00AE1482" w:rsidRDefault="00C74D87" w:rsidP="00E06D0C">
            <w:pPr>
              <w:pStyle w:val="ParaTickBox"/>
              <w:tabs>
                <w:tab w:val="clear" w:pos="510"/>
              </w:tabs>
              <w:ind w:left="0" w:right="57" w:firstLine="0"/>
              <w:jc w:val="both"/>
              <w:rPr>
                <w:szCs w:val="20"/>
                <w:lang w:val="fr-FR"/>
              </w:rPr>
            </w:pPr>
            <w:r>
              <w:rPr>
                <w:szCs w:val="20"/>
                <w:lang w:val="fr-FR"/>
              </w:rPr>
              <w:t>(1</w:t>
            </w:r>
            <w:r w:rsidR="003D56A4">
              <w:rPr>
                <w:szCs w:val="20"/>
                <w:lang w:val="fr-FR"/>
              </w:rPr>
              <w:t>7</w:t>
            </w:r>
            <w:r>
              <w:rPr>
                <w:szCs w:val="20"/>
                <w:lang w:val="fr-FR"/>
              </w:rPr>
              <w:t>)</w:t>
            </w:r>
          </w:p>
        </w:tc>
      </w:tr>
      <w:tr w:rsidR="00FE6DAB" w:rsidRPr="00AE7BE8" w14:paraId="5CE842E7" w14:textId="77777777" w:rsidTr="00A672F6">
        <w:tc>
          <w:tcPr>
            <w:tcW w:w="2405" w:type="dxa"/>
            <w:shd w:val="clear" w:color="auto" w:fill="E6E6E6"/>
          </w:tcPr>
          <w:p w14:paraId="494FB5C5" w14:textId="77777777" w:rsidR="00FE6DAB" w:rsidRPr="00AE7BE8" w:rsidRDefault="00FE6DAB" w:rsidP="00E06D0C">
            <w:pPr>
              <w:pStyle w:val="ParaTickBox"/>
              <w:tabs>
                <w:tab w:val="clear" w:pos="510"/>
              </w:tabs>
              <w:ind w:left="0" w:right="57" w:firstLine="0"/>
              <w:jc w:val="both"/>
              <w:rPr>
                <w:szCs w:val="20"/>
              </w:rPr>
            </w:pPr>
            <w:r w:rsidRPr="00AE7BE8">
              <w:rPr>
                <w:szCs w:val="20"/>
              </w:rPr>
              <w:t>Purpose of data</w:t>
            </w:r>
          </w:p>
        </w:tc>
        <w:tc>
          <w:tcPr>
            <w:tcW w:w="2343" w:type="dxa"/>
          </w:tcPr>
          <w:p w14:paraId="11FD225B" w14:textId="77777777" w:rsidR="00FE6DAB" w:rsidRPr="004C6225" w:rsidRDefault="00FE6DAB"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Check2"/>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371BC417" w14:textId="32E1FC01" w:rsidR="00FE6DAB" w:rsidRPr="004C6225" w:rsidRDefault="00FE6DAB"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260" w:type="dxa"/>
          </w:tcPr>
          <w:p w14:paraId="3F3E87B0" w14:textId="77777777" w:rsidR="00FE6DAB" w:rsidRPr="004C6225" w:rsidRDefault="00FE6DAB"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FE6DAB" w:rsidRPr="00931023" w14:paraId="4E03366B" w14:textId="77777777" w:rsidTr="00A672F6">
        <w:tc>
          <w:tcPr>
            <w:tcW w:w="2405" w:type="dxa"/>
            <w:shd w:val="clear" w:color="auto" w:fill="E6E6E6"/>
          </w:tcPr>
          <w:p w14:paraId="555B7B32" w14:textId="77777777" w:rsidR="00FE6DAB" w:rsidRPr="00AE7BE8" w:rsidRDefault="00FE6DAB"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319220DB" w14:textId="10C18A31" w:rsidR="00FE6DAB" w:rsidRPr="00931023" w:rsidRDefault="005B75AF" w:rsidP="00E06D0C">
            <w:pPr>
              <w:pStyle w:val="ParaTickBox"/>
              <w:tabs>
                <w:tab w:val="clear" w:pos="510"/>
              </w:tabs>
              <w:ind w:left="0" w:right="57" w:firstLine="0"/>
              <w:jc w:val="both"/>
            </w:pPr>
            <w:r>
              <w:t xml:space="preserve">Determined based on </w:t>
            </w:r>
            <w:r w:rsidR="00881266">
              <w:t xml:space="preserve">procedure to identify </w:t>
            </w:r>
            <w:r w:rsidR="00881266" w:rsidRPr="00881266">
              <w:t xml:space="preserve">the baseline scenario for electricity generation replacing electricity generated in new captive </w:t>
            </w:r>
            <w:r w:rsidR="002B25C7">
              <w:t xml:space="preserve">fossil fuel fired </w:t>
            </w:r>
            <w:r w:rsidR="00881266" w:rsidRPr="00881266">
              <w:t>power plants</w:t>
            </w:r>
            <w:r w:rsidR="00BB75F4">
              <w:t xml:space="preserve"> </w:t>
            </w:r>
            <w:r w:rsidR="00D64324">
              <w:t>contained</w:t>
            </w:r>
            <w:r w:rsidR="00BB75F4">
              <w:t xml:space="preserve"> in section </w:t>
            </w:r>
            <w:r w:rsidR="00BB75F4">
              <w:fldChar w:fldCharType="begin"/>
            </w:r>
            <w:r w:rsidR="00BB75F4">
              <w:instrText xml:space="preserve"> REF _Ref207404259 \w \p \h </w:instrText>
            </w:r>
            <w:r w:rsidR="00BB75F4">
              <w:fldChar w:fldCharType="separate"/>
            </w:r>
            <w:r w:rsidR="00302468">
              <w:rPr>
                <w:cs/>
              </w:rPr>
              <w:t>‎</w:t>
            </w:r>
            <w:r w:rsidR="00302468">
              <w:t>7.3.1.3 above</w:t>
            </w:r>
            <w:r w:rsidR="00BB75F4">
              <w:fldChar w:fldCharType="end"/>
            </w:r>
          </w:p>
        </w:tc>
      </w:tr>
      <w:tr w:rsidR="00FE6DAB" w:rsidRPr="00AE7BE8" w14:paraId="14323787" w14:textId="77777777" w:rsidTr="00A672F6">
        <w:tc>
          <w:tcPr>
            <w:tcW w:w="2405" w:type="dxa"/>
            <w:shd w:val="clear" w:color="auto" w:fill="E6E6E6"/>
          </w:tcPr>
          <w:p w14:paraId="6C4B7DEF" w14:textId="77777777" w:rsidR="00FE6DAB" w:rsidRPr="00AE7BE8" w:rsidRDefault="00FE6DAB" w:rsidP="003C2D11">
            <w:pPr>
              <w:pStyle w:val="ParaTickBox"/>
              <w:keepNext/>
              <w:tabs>
                <w:tab w:val="clear" w:pos="510"/>
              </w:tabs>
              <w:ind w:left="0" w:right="57" w:firstLine="0"/>
              <w:jc w:val="both"/>
              <w:rPr>
                <w:szCs w:val="20"/>
              </w:rPr>
            </w:pPr>
            <w:r w:rsidRPr="00AE7BE8">
              <w:rPr>
                <w:szCs w:val="20"/>
              </w:rPr>
              <w:t>Source of data</w:t>
            </w:r>
          </w:p>
        </w:tc>
        <w:tc>
          <w:tcPr>
            <w:tcW w:w="3522" w:type="dxa"/>
            <w:gridSpan w:val="2"/>
            <w:vAlign w:val="center"/>
          </w:tcPr>
          <w:p w14:paraId="272B3C93" w14:textId="77777777" w:rsidR="00FE6DAB" w:rsidRPr="004C6225" w:rsidRDefault="00FE6DAB" w:rsidP="003C2D11">
            <w:pPr>
              <w:pStyle w:val="ParaTickBox"/>
              <w:keepNext/>
              <w:ind w:left="0" w:firstLine="0"/>
              <w:rPr>
                <w:szCs w:val="20"/>
              </w:rPr>
            </w:pPr>
            <w:r w:rsidRPr="004C6225">
              <w:rPr>
                <w:rFonts w:asciiTheme="minorBidi" w:hAnsiTheme="minorBidi" w:cstheme="minorBidi"/>
                <w:szCs w:val="20"/>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szCs w:val="20"/>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sidRPr="004C6225">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424" w:type="dxa"/>
            <w:gridSpan w:val="2"/>
            <w:vAlign w:val="center"/>
          </w:tcPr>
          <w:p w14:paraId="40BFABE5" w14:textId="77777777" w:rsidR="00FE6DAB" w:rsidRPr="004C6225" w:rsidRDefault="00FE6DAB" w:rsidP="003C2D11">
            <w:pPr>
              <w:pStyle w:val="ParaTickBox"/>
              <w:keepNext/>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FE6DAB" w:rsidRPr="00AE7BE8" w14:paraId="3AF58BAC" w14:textId="77777777" w:rsidTr="00A672F6">
        <w:tc>
          <w:tcPr>
            <w:tcW w:w="2405" w:type="dxa"/>
            <w:shd w:val="clear" w:color="auto" w:fill="E6E6E6"/>
          </w:tcPr>
          <w:p w14:paraId="6588E685" w14:textId="77777777" w:rsidR="00FE6DAB" w:rsidRPr="00AE7BE8" w:rsidRDefault="00FE6DAB"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50006A29" w14:textId="6B1DF6DE" w:rsidR="00FE6DAB" w:rsidRPr="004C6225" w:rsidRDefault="00B17C94" w:rsidP="00E06D0C">
            <w:pPr>
              <w:pStyle w:val="ParaTickBox"/>
              <w:tabs>
                <w:tab w:val="clear" w:pos="510"/>
              </w:tabs>
              <w:ind w:left="0" w:right="57" w:firstLine="0"/>
              <w:jc w:val="both"/>
              <w:rPr>
                <w:szCs w:val="20"/>
              </w:rPr>
            </w:pPr>
            <w:r>
              <w:rPr>
                <w:szCs w:val="20"/>
              </w:rPr>
              <w:t xml:space="preserve">As per the procedure </w:t>
            </w:r>
            <w:r w:rsidR="00D64324">
              <w:t>contained</w:t>
            </w:r>
            <w:r w:rsidR="00E64771">
              <w:t xml:space="preserve"> in section </w:t>
            </w:r>
            <w:r w:rsidR="00E64771">
              <w:fldChar w:fldCharType="begin"/>
            </w:r>
            <w:r w:rsidR="00E64771">
              <w:instrText xml:space="preserve"> REF _Ref207404259 \w \p \h </w:instrText>
            </w:r>
            <w:r w:rsidR="00E64771">
              <w:fldChar w:fldCharType="separate"/>
            </w:r>
            <w:r w:rsidR="00302468">
              <w:rPr>
                <w:cs/>
              </w:rPr>
              <w:t>‎</w:t>
            </w:r>
            <w:r w:rsidR="00302468">
              <w:t>7.3.1.3 above</w:t>
            </w:r>
            <w:r w:rsidR="00E64771">
              <w:fldChar w:fldCharType="end"/>
            </w:r>
          </w:p>
        </w:tc>
      </w:tr>
      <w:tr w:rsidR="00FE6DAB" w:rsidRPr="00AE7BE8" w14:paraId="16055CF4" w14:textId="77777777" w:rsidTr="00A672F6">
        <w:tc>
          <w:tcPr>
            <w:tcW w:w="2405" w:type="dxa"/>
            <w:shd w:val="clear" w:color="auto" w:fill="E6E6E6"/>
          </w:tcPr>
          <w:p w14:paraId="78FC2B16" w14:textId="77777777" w:rsidR="00FE6DAB" w:rsidRPr="00AE7BE8" w:rsidRDefault="00FE6DAB" w:rsidP="00E06D0C">
            <w:pPr>
              <w:pStyle w:val="ParaTickBox"/>
              <w:tabs>
                <w:tab w:val="clear" w:pos="510"/>
              </w:tabs>
              <w:ind w:left="0" w:right="57" w:firstLine="0"/>
              <w:rPr>
                <w:szCs w:val="20"/>
              </w:rPr>
            </w:pPr>
            <w:r>
              <w:rPr>
                <w:szCs w:val="20"/>
              </w:rPr>
              <w:t>Treatment of uncertainties</w:t>
            </w:r>
          </w:p>
        </w:tc>
        <w:tc>
          <w:tcPr>
            <w:tcW w:w="6946" w:type="dxa"/>
            <w:gridSpan w:val="4"/>
          </w:tcPr>
          <w:p w14:paraId="7D0DD084" w14:textId="556BAA59" w:rsidR="00FE6DAB" w:rsidRDefault="00FE6DAB" w:rsidP="00E06D0C">
            <w:pPr>
              <w:pStyle w:val="ParaTickBox"/>
              <w:tabs>
                <w:tab w:val="clear" w:pos="510"/>
              </w:tabs>
              <w:ind w:left="0" w:right="57" w:firstLine="0"/>
              <w:jc w:val="both"/>
            </w:pPr>
            <w:r>
              <w:t xml:space="preserve">Apply uncertainties based on the </w:t>
            </w:r>
            <w:r w:rsidR="00EA7F8D">
              <w:t>IPCC (</w:t>
            </w:r>
            <w:r w:rsidRPr="00317362">
              <w:t>2019 Refinement</w:t>
            </w:r>
            <w:r w:rsidR="00EA7F8D">
              <w:t>)</w:t>
            </w:r>
          </w:p>
        </w:tc>
      </w:tr>
      <w:tr w:rsidR="00FE6DAB" w:rsidRPr="00AE7BE8" w14:paraId="3B79AB40" w14:textId="77777777" w:rsidTr="00A672F6">
        <w:tc>
          <w:tcPr>
            <w:tcW w:w="2405" w:type="dxa"/>
            <w:shd w:val="clear" w:color="auto" w:fill="E6E6E6"/>
          </w:tcPr>
          <w:p w14:paraId="66CBC000" w14:textId="77777777" w:rsidR="00FE6DAB" w:rsidRPr="00AE7BE8" w:rsidRDefault="00FE6DAB"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3191A528" w14:textId="77777777" w:rsidR="00FE6DAB" w:rsidRPr="004C6225" w:rsidRDefault="00FE6DAB" w:rsidP="00E06D0C">
            <w:pPr>
              <w:pStyle w:val="ParaTickBox"/>
              <w:tabs>
                <w:tab w:val="clear" w:pos="510"/>
              </w:tabs>
              <w:ind w:left="0" w:right="57" w:firstLine="0"/>
              <w:jc w:val="both"/>
              <w:rPr>
                <w:i/>
                <w:iCs/>
                <w:szCs w:val="20"/>
              </w:rPr>
            </w:pPr>
            <w:r>
              <w:rPr>
                <w:szCs w:val="20"/>
              </w:rPr>
              <w:t>-</w:t>
            </w:r>
          </w:p>
        </w:tc>
      </w:tr>
    </w:tbl>
    <w:p w14:paraId="240EF8BC" w14:textId="7D19A0C7"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8</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3"/>
        <w:gridCol w:w="1179"/>
        <w:gridCol w:w="1164"/>
        <w:gridCol w:w="2260"/>
      </w:tblGrid>
      <w:tr w:rsidR="004334D2" w:rsidRPr="00AE7BE8" w14:paraId="5F1AABDD" w14:textId="77777777" w:rsidTr="00A672F6">
        <w:tc>
          <w:tcPr>
            <w:tcW w:w="2405" w:type="dxa"/>
            <w:shd w:val="clear" w:color="auto" w:fill="E6E6E6"/>
          </w:tcPr>
          <w:p w14:paraId="6D68FE5D"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6FF32D38" w14:textId="2E16CABD" w:rsidR="004334D2" w:rsidRPr="004004D3" w:rsidRDefault="00302468" w:rsidP="00E06D0C">
            <w:pPr>
              <w:pStyle w:val="ParaTickBox"/>
              <w:tabs>
                <w:tab w:val="clear" w:pos="510"/>
              </w:tabs>
              <w:ind w:left="0" w:right="57" w:firstLine="0"/>
              <w:rPr>
                <w:b/>
                <w:bCs/>
                <w:i/>
                <w:szCs w:val="20"/>
              </w:rPr>
            </w:pPr>
            <m:oMathPara>
              <m:oMathParaPr>
                <m:jc m:val="left"/>
              </m:oMathParaPr>
              <m:oMath>
                <m:sSub>
                  <m:sSubPr>
                    <m:ctrlPr>
                      <w:rPr>
                        <w:rFonts w:ascii="Cambria Math" w:hAnsi="Cambria Math"/>
                        <w:b/>
                        <w:bCs/>
                        <w:i/>
                      </w:rPr>
                    </m:ctrlPr>
                  </m:sSubPr>
                  <m:e>
                    <m:r>
                      <m:rPr>
                        <m:sty m:val="bi"/>
                      </m:rPr>
                      <w:rPr>
                        <w:rFonts w:ascii="Cambria Math" w:hAnsi="Cambria Math"/>
                      </w:rPr>
                      <m:t>η</m:t>
                    </m:r>
                  </m:e>
                  <m:sub>
                    <m:r>
                      <m:rPr>
                        <m:sty m:val="bi"/>
                      </m:rPr>
                      <w:rPr>
                        <w:rFonts w:ascii="Cambria Math" w:hAnsi="Cambria Math"/>
                      </w:rPr>
                      <m:t>HG, BL,n, j</m:t>
                    </m:r>
                  </m:sub>
                </m:sSub>
              </m:oMath>
            </m:oMathPara>
          </w:p>
        </w:tc>
      </w:tr>
      <w:tr w:rsidR="004334D2" w:rsidRPr="00AE7BE8" w14:paraId="4418C95F" w14:textId="77777777" w:rsidTr="00A672F6">
        <w:tc>
          <w:tcPr>
            <w:tcW w:w="2405" w:type="dxa"/>
            <w:shd w:val="clear" w:color="auto" w:fill="E6E6E6"/>
          </w:tcPr>
          <w:p w14:paraId="1D401421"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46" w:type="dxa"/>
            <w:gridSpan w:val="4"/>
          </w:tcPr>
          <w:p w14:paraId="3E50FD78" w14:textId="423A54BD" w:rsidR="004334D2" w:rsidRPr="004C6225" w:rsidRDefault="004334D2" w:rsidP="00E06D0C">
            <w:pPr>
              <w:pStyle w:val="ParaTickBox"/>
              <w:tabs>
                <w:tab w:val="clear" w:pos="510"/>
              </w:tabs>
              <w:ind w:left="0" w:right="57" w:firstLine="0"/>
              <w:jc w:val="both"/>
              <w:rPr>
                <w:szCs w:val="20"/>
              </w:rPr>
            </w:pPr>
            <w:r w:rsidRPr="000C5FD6">
              <w:t xml:space="preserve">Efficiency of the heat generation equipment </w:t>
            </w:r>
            <w:r w:rsidR="00EA7F8D">
              <w:t>unit</w:t>
            </w:r>
            <w:r w:rsidR="003C2D11">
              <w:t> </w:t>
            </w:r>
            <w:r w:rsidR="00EA7F8D" w:rsidRPr="00EA7F8D">
              <w:rPr>
                <w:i/>
                <w:iCs/>
              </w:rPr>
              <w:t>n</w:t>
            </w:r>
            <w:r w:rsidR="00EA7F8D">
              <w:t xml:space="preserve"> </w:t>
            </w:r>
            <w:r w:rsidR="00D47264">
              <w:t>of</w:t>
            </w:r>
            <w:r w:rsidR="00EA7F8D">
              <w:t xml:space="preserve"> </w:t>
            </w:r>
            <w:r w:rsidRPr="000C5FD6">
              <w:t>type</w:t>
            </w:r>
            <w:r w:rsidR="003C2D11">
              <w:t> </w:t>
            </w:r>
            <w:r w:rsidRPr="000C5FD6">
              <w:rPr>
                <w:i/>
              </w:rPr>
              <w:t>j</w:t>
            </w:r>
            <w:r w:rsidRPr="000C5FD6">
              <w:t xml:space="preserve"> used in the baseline</w:t>
            </w:r>
          </w:p>
        </w:tc>
      </w:tr>
      <w:tr w:rsidR="004334D2" w:rsidRPr="00AE7BE8" w14:paraId="0A726960" w14:textId="77777777" w:rsidTr="00A672F6">
        <w:tc>
          <w:tcPr>
            <w:tcW w:w="2405" w:type="dxa"/>
            <w:shd w:val="clear" w:color="auto" w:fill="E6E6E6"/>
          </w:tcPr>
          <w:p w14:paraId="05F2271E"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46" w:type="dxa"/>
            <w:gridSpan w:val="4"/>
          </w:tcPr>
          <w:p w14:paraId="35D36910" w14:textId="77777777" w:rsidR="004334D2" w:rsidRPr="004C6225" w:rsidRDefault="004334D2" w:rsidP="00E06D0C">
            <w:pPr>
              <w:pStyle w:val="ParaTickBox"/>
              <w:tabs>
                <w:tab w:val="clear" w:pos="510"/>
              </w:tabs>
              <w:ind w:left="0" w:right="57" w:firstLine="0"/>
              <w:jc w:val="both"/>
              <w:rPr>
                <w:szCs w:val="20"/>
              </w:rPr>
            </w:pPr>
            <w:r>
              <w:rPr>
                <w:iCs/>
              </w:rPr>
              <w:t>%</w:t>
            </w:r>
          </w:p>
        </w:tc>
      </w:tr>
      <w:tr w:rsidR="004334D2" w:rsidRPr="00AE7BE8" w14:paraId="027867A4" w14:textId="77777777" w:rsidTr="00A672F6">
        <w:tc>
          <w:tcPr>
            <w:tcW w:w="2405" w:type="dxa"/>
            <w:shd w:val="clear" w:color="auto" w:fill="E6E6E6"/>
          </w:tcPr>
          <w:p w14:paraId="62414431"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7CE1EE1A" w14:textId="147BE7CB" w:rsidR="004334D2" w:rsidRPr="004C6225" w:rsidRDefault="006A3515" w:rsidP="00E06D0C">
            <w:pPr>
              <w:pStyle w:val="ParaTickBox"/>
              <w:tabs>
                <w:tab w:val="clear" w:pos="510"/>
              </w:tabs>
              <w:ind w:left="0" w:right="57" w:firstLine="0"/>
              <w:jc w:val="both"/>
              <w:rPr>
                <w:szCs w:val="20"/>
              </w:rPr>
            </w:pPr>
            <w:r>
              <w:rPr>
                <w:szCs w:val="20"/>
              </w:rPr>
              <w:t>(18)</w:t>
            </w:r>
          </w:p>
        </w:tc>
      </w:tr>
      <w:tr w:rsidR="004334D2" w:rsidRPr="00AE7BE8" w14:paraId="7FE65A84" w14:textId="77777777" w:rsidTr="00A672F6">
        <w:tc>
          <w:tcPr>
            <w:tcW w:w="2405" w:type="dxa"/>
            <w:shd w:val="clear" w:color="auto" w:fill="E6E6E6"/>
          </w:tcPr>
          <w:p w14:paraId="602CAC5C"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343" w:type="dxa"/>
          </w:tcPr>
          <w:p w14:paraId="2CDD1E97"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Check2"/>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39EB572E" w14:textId="228D7B58"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260" w:type="dxa"/>
          </w:tcPr>
          <w:p w14:paraId="147C4EC3"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578AE08C" w14:textId="77777777" w:rsidTr="00A672F6">
        <w:tc>
          <w:tcPr>
            <w:tcW w:w="2405" w:type="dxa"/>
            <w:shd w:val="clear" w:color="auto" w:fill="E6E6E6"/>
          </w:tcPr>
          <w:p w14:paraId="432B6553"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72DB063A" w14:textId="77777777" w:rsidR="004334D2" w:rsidRPr="00931023" w:rsidRDefault="004334D2" w:rsidP="00E06D0C">
            <w:pPr>
              <w:pStyle w:val="ParaTickBox"/>
              <w:tabs>
                <w:tab w:val="clear" w:pos="510"/>
              </w:tabs>
              <w:ind w:left="0" w:right="57" w:firstLine="0"/>
              <w:jc w:val="both"/>
            </w:pPr>
            <w:r>
              <w:t>90%</w:t>
            </w:r>
          </w:p>
        </w:tc>
      </w:tr>
      <w:tr w:rsidR="004334D2" w:rsidRPr="00AE7BE8" w14:paraId="04F80E20" w14:textId="77777777" w:rsidTr="00A672F6">
        <w:tc>
          <w:tcPr>
            <w:tcW w:w="2405" w:type="dxa"/>
            <w:shd w:val="clear" w:color="auto" w:fill="E6E6E6"/>
          </w:tcPr>
          <w:p w14:paraId="05D52FE8"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522" w:type="dxa"/>
            <w:gridSpan w:val="2"/>
            <w:vAlign w:val="center"/>
          </w:tcPr>
          <w:p w14:paraId="5E9B90F9" w14:textId="77777777" w:rsidR="004334D2" w:rsidRPr="004C6225" w:rsidRDefault="004334D2" w:rsidP="00E06D0C">
            <w:pPr>
              <w:pStyle w:val="ParaTickBox"/>
              <w:ind w:left="0" w:firstLine="0"/>
              <w:rPr>
                <w:szCs w:val="20"/>
              </w:rPr>
            </w:pPr>
            <w:r w:rsidRPr="004C6225">
              <w:rPr>
                <w:rFonts w:asciiTheme="minorBidi" w:hAnsiTheme="minorBidi" w:cstheme="minorBidi"/>
                <w:szCs w:val="20"/>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szCs w:val="20"/>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sidRPr="004C6225">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424" w:type="dxa"/>
            <w:gridSpan w:val="2"/>
            <w:vAlign w:val="center"/>
          </w:tcPr>
          <w:p w14:paraId="11159B6B"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384593D7" w14:textId="77777777" w:rsidTr="00A672F6">
        <w:tc>
          <w:tcPr>
            <w:tcW w:w="2405" w:type="dxa"/>
            <w:shd w:val="clear" w:color="auto" w:fill="E6E6E6"/>
          </w:tcPr>
          <w:p w14:paraId="3B428238"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018A78B6" w14:textId="7B115DCE" w:rsidR="004334D2" w:rsidRPr="004C6225" w:rsidRDefault="004334D2" w:rsidP="00E06D0C">
            <w:pPr>
              <w:pStyle w:val="ParaTickBox"/>
              <w:tabs>
                <w:tab w:val="clear" w:pos="510"/>
              </w:tabs>
              <w:ind w:left="0" w:right="57" w:firstLine="0"/>
              <w:jc w:val="both"/>
              <w:rPr>
                <w:szCs w:val="20"/>
              </w:rPr>
            </w:pPr>
            <w:r>
              <w:t>Value from new boilers running on natural gas, sourced from Vatopoulos</w:t>
            </w:r>
            <w:r w:rsidR="00C43B01">
              <w:t xml:space="preserve"> et al (2012)</w:t>
            </w:r>
          </w:p>
        </w:tc>
      </w:tr>
      <w:tr w:rsidR="004334D2" w:rsidRPr="00AE7BE8" w14:paraId="4E3905DD" w14:textId="77777777" w:rsidTr="00A672F6">
        <w:tc>
          <w:tcPr>
            <w:tcW w:w="2405" w:type="dxa"/>
            <w:shd w:val="clear" w:color="auto" w:fill="E6E6E6"/>
          </w:tcPr>
          <w:p w14:paraId="60458203" w14:textId="77777777" w:rsidR="004334D2" w:rsidRPr="00AE7BE8" w:rsidRDefault="004334D2" w:rsidP="00E06D0C">
            <w:pPr>
              <w:pStyle w:val="ParaTickBox"/>
              <w:tabs>
                <w:tab w:val="clear" w:pos="510"/>
              </w:tabs>
              <w:ind w:left="0" w:right="57" w:firstLine="0"/>
              <w:rPr>
                <w:szCs w:val="20"/>
              </w:rPr>
            </w:pPr>
            <w:r>
              <w:rPr>
                <w:szCs w:val="20"/>
              </w:rPr>
              <w:t>Treatment of uncertainties</w:t>
            </w:r>
          </w:p>
        </w:tc>
        <w:tc>
          <w:tcPr>
            <w:tcW w:w="6946" w:type="dxa"/>
            <w:gridSpan w:val="4"/>
          </w:tcPr>
          <w:p w14:paraId="65998966" w14:textId="77777777" w:rsidR="004334D2" w:rsidRDefault="004334D2" w:rsidP="00E06D0C">
            <w:pPr>
              <w:pStyle w:val="ParaTickBox"/>
              <w:tabs>
                <w:tab w:val="clear" w:pos="510"/>
              </w:tabs>
              <w:ind w:left="0" w:right="57" w:firstLine="0"/>
              <w:jc w:val="both"/>
              <w:rPr>
                <w:szCs w:val="20"/>
              </w:rPr>
            </w:pPr>
            <w:r>
              <w:rPr>
                <w:szCs w:val="20"/>
              </w:rPr>
              <w:t>N/A</w:t>
            </w:r>
          </w:p>
        </w:tc>
      </w:tr>
      <w:tr w:rsidR="004334D2" w:rsidRPr="00AE7BE8" w14:paraId="5770FC41" w14:textId="77777777" w:rsidTr="00A672F6">
        <w:tc>
          <w:tcPr>
            <w:tcW w:w="2405" w:type="dxa"/>
            <w:shd w:val="clear" w:color="auto" w:fill="E6E6E6"/>
          </w:tcPr>
          <w:p w14:paraId="7CA2DA21"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0E9724F1" w14:textId="77777777" w:rsidR="004334D2" w:rsidRPr="004C6225" w:rsidRDefault="004334D2" w:rsidP="00E06D0C">
            <w:pPr>
              <w:pStyle w:val="ParaTickBox"/>
              <w:tabs>
                <w:tab w:val="clear" w:pos="510"/>
              </w:tabs>
              <w:ind w:left="0" w:right="57" w:firstLine="0"/>
              <w:jc w:val="both"/>
              <w:rPr>
                <w:i/>
                <w:iCs/>
                <w:szCs w:val="20"/>
              </w:rPr>
            </w:pPr>
            <w:r>
              <w:rPr>
                <w:szCs w:val="20"/>
              </w:rPr>
              <w:t>-</w:t>
            </w:r>
          </w:p>
        </w:tc>
      </w:tr>
    </w:tbl>
    <w:p w14:paraId="248A2720" w14:textId="7548C750"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9</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3"/>
        <w:gridCol w:w="1179"/>
        <w:gridCol w:w="1164"/>
        <w:gridCol w:w="2260"/>
      </w:tblGrid>
      <w:tr w:rsidR="004334D2" w:rsidRPr="00AE7BE8" w14:paraId="42C9E6CD" w14:textId="77777777" w:rsidTr="00A672F6">
        <w:tc>
          <w:tcPr>
            <w:tcW w:w="2405" w:type="dxa"/>
            <w:shd w:val="clear" w:color="auto" w:fill="E6E6E6"/>
          </w:tcPr>
          <w:p w14:paraId="630BC479" w14:textId="77777777" w:rsidR="004334D2" w:rsidRPr="00AE7BE8" w:rsidRDefault="004334D2" w:rsidP="009532CC">
            <w:pPr>
              <w:pStyle w:val="ParaTickBox"/>
              <w:keepNext/>
              <w:tabs>
                <w:tab w:val="clear" w:pos="510"/>
              </w:tabs>
              <w:ind w:left="0" w:right="57" w:firstLine="0"/>
              <w:jc w:val="both"/>
              <w:rPr>
                <w:b/>
                <w:bCs/>
                <w:szCs w:val="20"/>
              </w:rPr>
            </w:pPr>
            <w:r w:rsidRPr="00AE7BE8">
              <w:rPr>
                <w:b/>
                <w:bCs/>
                <w:szCs w:val="20"/>
              </w:rPr>
              <w:t>Data/parameter</w:t>
            </w:r>
          </w:p>
        </w:tc>
        <w:tc>
          <w:tcPr>
            <w:tcW w:w="6946" w:type="dxa"/>
            <w:gridSpan w:val="4"/>
          </w:tcPr>
          <w:p w14:paraId="557D4B98" w14:textId="77777777" w:rsidR="004334D2" w:rsidRPr="00B1555B" w:rsidRDefault="00302468" w:rsidP="009532CC">
            <w:pPr>
              <w:pStyle w:val="ParaTickBox"/>
              <w:keepNext/>
              <w:tabs>
                <w:tab w:val="clear" w:pos="510"/>
              </w:tabs>
              <w:ind w:left="0" w:right="57" w:firstLine="0"/>
              <w:rPr>
                <w:b/>
                <w:bCs/>
                <w:i/>
                <w:szCs w:val="20"/>
              </w:rPr>
            </w:pPr>
            <m:oMathPara>
              <m:oMathParaPr>
                <m:jc m:val="left"/>
              </m:oMathParaPr>
              <m:oMath>
                <m:sSub>
                  <m:sSubPr>
                    <m:ctrlPr>
                      <w:rPr>
                        <w:rFonts w:ascii="Cambria Math" w:hAnsi="Cambria Math"/>
                        <w:b/>
                        <w:bCs/>
                        <w:i/>
                      </w:rPr>
                    </m:ctrlPr>
                  </m:sSubPr>
                  <m:e>
                    <m:r>
                      <m:rPr>
                        <m:sty m:val="bi"/>
                      </m:rPr>
                      <w:rPr>
                        <w:rFonts w:ascii="Cambria Math" w:hAnsi="Cambria Math"/>
                      </w:rPr>
                      <m:t>fd</m:t>
                    </m:r>
                  </m:e>
                  <m:sub>
                    <m:r>
                      <m:rPr>
                        <m:sty m:val="bi"/>
                      </m:rPr>
                      <w:rPr>
                        <w:rFonts w:ascii="Cambria Math" w:hAnsi="Cambria Math"/>
                      </w:rPr>
                      <m:t>CH</m:t>
                    </m:r>
                    <m:r>
                      <m:rPr>
                        <m:sty m:val="bi"/>
                      </m:rPr>
                      <w:rPr>
                        <w:rFonts w:ascii="Cambria Math" w:hAnsi="Cambria Math"/>
                      </w:rPr>
                      <m:t>4, HG, j, default</m:t>
                    </m:r>
                  </m:sub>
                </m:sSub>
              </m:oMath>
            </m:oMathPara>
          </w:p>
        </w:tc>
      </w:tr>
      <w:tr w:rsidR="004334D2" w:rsidRPr="00AE7BE8" w14:paraId="645B8624" w14:textId="77777777" w:rsidTr="00A672F6">
        <w:tc>
          <w:tcPr>
            <w:tcW w:w="2405" w:type="dxa"/>
            <w:shd w:val="clear" w:color="auto" w:fill="E6E6E6"/>
          </w:tcPr>
          <w:p w14:paraId="56A8257B" w14:textId="77777777" w:rsidR="004334D2" w:rsidRPr="00AE7BE8" w:rsidRDefault="004334D2" w:rsidP="009532CC">
            <w:pPr>
              <w:pStyle w:val="ParaTickBox"/>
              <w:keepNext/>
              <w:tabs>
                <w:tab w:val="clear" w:pos="510"/>
              </w:tabs>
              <w:ind w:left="0" w:right="57" w:firstLine="0"/>
              <w:jc w:val="both"/>
              <w:rPr>
                <w:szCs w:val="20"/>
              </w:rPr>
            </w:pPr>
            <w:r w:rsidRPr="00AE7BE8">
              <w:rPr>
                <w:szCs w:val="20"/>
              </w:rPr>
              <w:t>Description</w:t>
            </w:r>
          </w:p>
        </w:tc>
        <w:tc>
          <w:tcPr>
            <w:tcW w:w="6946" w:type="dxa"/>
            <w:gridSpan w:val="4"/>
          </w:tcPr>
          <w:p w14:paraId="0BB2C5D0" w14:textId="4F08ABB8" w:rsidR="004334D2" w:rsidRPr="004C6225" w:rsidRDefault="004334D2" w:rsidP="009532CC">
            <w:pPr>
              <w:pStyle w:val="ParaTickBox"/>
              <w:keepNext/>
              <w:tabs>
                <w:tab w:val="clear" w:pos="510"/>
              </w:tabs>
              <w:ind w:left="0" w:right="57" w:firstLine="0"/>
              <w:jc w:val="both"/>
              <w:rPr>
                <w:szCs w:val="20"/>
              </w:rPr>
            </w:pPr>
            <w:r w:rsidRPr="000C5FD6">
              <w:rPr>
                <w:snapToGrid w:val="0"/>
                <w:color w:val="000000"/>
                <w:lang w:eastAsia="pt-BR"/>
              </w:rPr>
              <w:t>Default value for the fraction of methane destroyed when used for heat generation equipment type</w:t>
            </w:r>
            <w:r w:rsidR="003C2D11">
              <w:rPr>
                <w:snapToGrid w:val="0"/>
                <w:color w:val="000000"/>
                <w:lang w:eastAsia="pt-BR"/>
              </w:rPr>
              <w:t> </w:t>
            </w:r>
            <w:r w:rsidRPr="000C5FD6">
              <w:rPr>
                <w:i/>
                <w:snapToGrid w:val="0"/>
                <w:color w:val="000000"/>
                <w:lang w:eastAsia="pt-BR"/>
              </w:rPr>
              <w:t>j</w:t>
            </w:r>
          </w:p>
        </w:tc>
      </w:tr>
      <w:tr w:rsidR="004334D2" w:rsidRPr="00AE7BE8" w14:paraId="58ACA79C" w14:textId="77777777" w:rsidTr="00A672F6">
        <w:tc>
          <w:tcPr>
            <w:tcW w:w="2405" w:type="dxa"/>
            <w:shd w:val="clear" w:color="auto" w:fill="E6E6E6"/>
          </w:tcPr>
          <w:p w14:paraId="2635FB28" w14:textId="77777777" w:rsidR="004334D2" w:rsidRPr="00AE7BE8" w:rsidRDefault="004334D2" w:rsidP="009532CC">
            <w:pPr>
              <w:pStyle w:val="ParaTickBox"/>
              <w:keepNext/>
              <w:tabs>
                <w:tab w:val="clear" w:pos="510"/>
              </w:tabs>
              <w:ind w:left="0" w:right="57" w:firstLine="0"/>
              <w:jc w:val="both"/>
              <w:rPr>
                <w:szCs w:val="20"/>
              </w:rPr>
            </w:pPr>
            <w:r w:rsidRPr="00AE7BE8">
              <w:rPr>
                <w:szCs w:val="20"/>
              </w:rPr>
              <w:t>Data unit</w:t>
            </w:r>
          </w:p>
        </w:tc>
        <w:tc>
          <w:tcPr>
            <w:tcW w:w="6946" w:type="dxa"/>
            <w:gridSpan w:val="4"/>
          </w:tcPr>
          <w:p w14:paraId="7FF0EC78" w14:textId="77777777" w:rsidR="004334D2" w:rsidRPr="004C6225" w:rsidRDefault="004334D2" w:rsidP="009532CC">
            <w:pPr>
              <w:pStyle w:val="ParaTickBox"/>
              <w:keepNext/>
              <w:tabs>
                <w:tab w:val="clear" w:pos="510"/>
              </w:tabs>
              <w:ind w:left="0" w:right="57" w:firstLine="0"/>
              <w:jc w:val="both"/>
              <w:rPr>
                <w:szCs w:val="20"/>
              </w:rPr>
            </w:pPr>
            <w:r>
              <w:rPr>
                <w:iCs/>
              </w:rPr>
              <w:t>%</w:t>
            </w:r>
          </w:p>
        </w:tc>
      </w:tr>
      <w:tr w:rsidR="004334D2" w:rsidRPr="00AE7BE8" w14:paraId="342AF0D4" w14:textId="77777777" w:rsidTr="00A672F6">
        <w:tc>
          <w:tcPr>
            <w:tcW w:w="2405" w:type="dxa"/>
            <w:shd w:val="clear" w:color="auto" w:fill="E6E6E6"/>
          </w:tcPr>
          <w:p w14:paraId="72A6FACA"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0AEFFF89" w14:textId="78199BD4" w:rsidR="004334D2" w:rsidRPr="004C6225" w:rsidRDefault="00961A54" w:rsidP="00E06D0C">
            <w:pPr>
              <w:pStyle w:val="ParaTickBox"/>
              <w:tabs>
                <w:tab w:val="clear" w:pos="510"/>
              </w:tabs>
              <w:ind w:left="0" w:right="57" w:firstLine="0"/>
              <w:jc w:val="both"/>
              <w:rPr>
                <w:szCs w:val="20"/>
              </w:rPr>
            </w:pPr>
            <w:r>
              <w:rPr>
                <w:szCs w:val="20"/>
              </w:rPr>
              <w:t>(</w:t>
            </w:r>
            <w:r w:rsidR="00604F77">
              <w:rPr>
                <w:szCs w:val="20"/>
              </w:rPr>
              <w:t>2</w:t>
            </w:r>
            <w:r>
              <w:rPr>
                <w:szCs w:val="20"/>
              </w:rPr>
              <w:t xml:space="preserve">), </w:t>
            </w:r>
            <w:r w:rsidR="006A3515">
              <w:rPr>
                <w:szCs w:val="20"/>
              </w:rPr>
              <w:t>(</w:t>
            </w:r>
            <w:r w:rsidR="00604F77">
              <w:rPr>
                <w:szCs w:val="20"/>
              </w:rPr>
              <w:t>20</w:t>
            </w:r>
            <w:r w:rsidR="006A3515">
              <w:rPr>
                <w:szCs w:val="20"/>
              </w:rPr>
              <w:t>)</w:t>
            </w:r>
          </w:p>
        </w:tc>
      </w:tr>
      <w:tr w:rsidR="004334D2" w:rsidRPr="00AE7BE8" w14:paraId="436B3404" w14:textId="77777777" w:rsidTr="00A672F6">
        <w:tc>
          <w:tcPr>
            <w:tcW w:w="2405" w:type="dxa"/>
            <w:shd w:val="clear" w:color="auto" w:fill="E6E6E6"/>
          </w:tcPr>
          <w:p w14:paraId="6E65C87C"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343" w:type="dxa"/>
          </w:tcPr>
          <w:p w14:paraId="51C92439"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Check2"/>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2C7F7D31" w14:textId="28C1B5AA"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260" w:type="dxa"/>
          </w:tcPr>
          <w:p w14:paraId="31F29C84"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78D4A81A" w14:textId="77777777" w:rsidTr="00A672F6">
        <w:tc>
          <w:tcPr>
            <w:tcW w:w="2405" w:type="dxa"/>
            <w:shd w:val="clear" w:color="auto" w:fill="E6E6E6"/>
          </w:tcPr>
          <w:p w14:paraId="02B762E9"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505A35DF" w14:textId="77777777" w:rsidR="004334D2" w:rsidRDefault="004334D2" w:rsidP="00DA05CE">
            <w:pPr>
              <w:pStyle w:val="ParaTickBox"/>
              <w:keepNext/>
              <w:tabs>
                <w:tab w:val="clear" w:pos="510"/>
              </w:tabs>
              <w:ind w:left="0" w:right="57" w:firstLine="0"/>
              <w:jc w:val="both"/>
            </w:pPr>
            <w:r>
              <w:t>Use the values below for the different types of heat generation equipment:</w:t>
            </w:r>
          </w:p>
          <w:tbl>
            <w:tblPr>
              <w:tblStyle w:val="SDMTable"/>
              <w:tblW w:w="0" w:type="auto"/>
              <w:tblLook w:val="04A0" w:firstRow="1" w:lastRow="0" w:firstColumn="1" w:lastColumn="0" w:noHBand="0" w:noVBand="1"/>
            </w:tblPr>
            <w:tblGrid>
              <w:gridCol w:w="1704"/>
              <w:gridCol w:w="2409"/>
            </w:tblGrid>
            <w:tr w:rsidR="004334D2" w14:paraId="39D69E6C" w14:textId="77777777" w:rsidTr="007E5A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4" w:type="dxa"/>
                  <w:tcBorders>
                    <w:bottom w:val="single" w:sz="4" w:space="0" w:color="auto"/>
                    <w:right w:val="single" w:sz="4" w:space="0" w:color="auto"/>
                  </w:tcBorders>
                </w:tcPr>
                <w:p w14:paraId="2FD192D1" w14:textId="77777777" w:rsidR="004334D2" w:rsidRDefault="004334D2" w:rsidP="003C2D11">
                  <w:pPr>
                    <w:pStyle w:val="ParaTickBox"/>
                    <w:tabs>
                      <w:tab w:val="clear" w:pos="510"/>
                    </w:tabs>
                    <w:ind w:left="0" w:right="57" w:firstLine="0"/>
                  </w:pPr>
                  <w:r>
                    <w:t>Fraction of CH</w:t>
                  </w:r>
                  <w:r w:rsidRPr="002C6F55">
                    <w:rPr>
                      <w:vertAlign w:val="subscript"/>
                    </w:rPr>
                    <w:t>4</w:t>
                  </w:r>
                  <w:r>
                    <w:t xml:space="preserve"> destroyed</w:t>
                  </w:r>
                </w:p>
              </w:tc>
              <w:tc>
                <w:tcPr>
                  <w:tcW w:w="2409" w:type="dxa"/>
                  <w:tcBorders>
                    <w:left w:val="single" w:sz="4" w:space="0" w:color="auto"/>
                    <w:bottom w:val="single" w:sz="4" w:space="0" w:color="auto"/>
                  </w:tcBorders>
                </w:tcPr>
                <w:p w14:paraId="15FA2E80" w14:textId="77777777" w:rsidR="004334D2" w:rsidRDefault="004334D2" w:rsidP="003C2D11">
                  <w:pPr>
                    <w:pStyle w:val="ParaTickBox"/>
                    <w:tabs>
                      <w:tab w:val="clear" w:pos="510"/>
                    </w:tabs>
                    <w:ind w:left="0" w:right="57" w:firstLine="0"/>
                    <w:cnfStyle w:val="100000000000" w:firstRow="1" w:lastRow="0" w:firstColumn="0" w:lastColumn="0" w:oddVBand="0" w:evenVBand="0" w:oddHBand="0" w:evenHBand="0" w:firstRowFirstColumn="0" w:firstRowLastColumn="0" w:lastRowFirstColumn="0" w:lastRowLastColumn="0"/>
                  </w:pPr>
                  <w:r>
                    <w:t xml:space="preserve">Equipment type </w:t>
                  </w:r>
                  <w:r w:rsidRPr="000D78E2">
                    <w:rPr>
                      <w:i/>
                      <w:iCs/>
                    </w:rPr>
                    <w:t>j</w:t>
                  </w:r>
                </w:p>
              </w:tc>
            </w:tr>
            <w:tr w:rsidR="004334D2" w14:paraId="34CA74FF" w14:textId="77777777" w:rsidTr="007E5A9B">
              <w:tc>
                <w:tcPr>
                  <w:cnfStyle w:val="001000000000" w:firstRow="0" w:lastRow="0" w:firstColumn="1" w:lastColumn="0" w:oddVBand="0" w:evenVBand="0" w:oddHBand="0" w:evenHBand="0" w:firstRowFirstColumn="0" w:firstRowLastColumn="0" w:lastRowFirstColumn="0" w:lastRowLastColumn="0"/>
                  <w:tcW w:w="1704" w:type="dxa"/>
                  <w:tcBorders>
                    <w:top w:val="single" w:sz="4" w:space="0" w:color="auto"/>
                  </w:tcBorders>
                </w:tcPr>
                <w:p w14:paraId="7988585E" w14:textId="77777777" w:rsidR="004334D2" w:rsidRPr="000D78E2" w:rsidRDefault="004334D2" w:rsidP="003C2D11">
                  <w:pPr>
                    <w:pStyle w:val="ParaTickBox"/>
                    <w:tabs>
                      <w:tab w:val="clear" w:pos="510"/>
                    </w:tabs>
                    <w:ind w:left="0" w:right="57" w:firstLine="0"/>
                    <w:rPr>
                      <w:b w:val="0"/>
                      <w:bCs/>
                    </w:rPr>
                  </w:pPr>
                  <w:r w:rsidRPr="000D78E2">
                    <w:rPr>
                      <w:b w:val="0"/>
                      <w:bCs/>
                    </w:rPr>
                    <w:t>1</w:t>
                  </w:r>
                </w:p>
              </w:tc>
              <w:tc>
                <w:tcPr>
                  <w:tcW w:w="2409" w:type="dxa"/>
                  <w:tcBorders>
                    <w:top w:val="single" w:sz="4" w:space="0" w:color="auto"/>
                  </w:tcBorders>
                </w:tcPr>
                <w:p w14:paraId="7EB304C2" w14:textId="77777777" w:rsidR="004334D2" w:rsidRDefault="004334D2" w:rsidP="003C2D11">
                  <w:pPr>
                    <w:pStyle w:val="ParaTickBox"/>
                    <w:tabs>
                      <w:tab w:val="clear" w:pos="510"/>
                    </w:tabs>
                    <w:ind w:left="0" w:right="57" w:firstLine="0"/>
                    <w:cnfStyle w:val="000000000000" w:firstRow="0" w:lastRow="0" w:firstColumn="0" w:lastColumn="0" w:oddVBand="0" w:evenVBand="0" w:oddHBand="0" w:evenHBand="0" w:firstRowFirstColumn="0" w:firstRowLastColumn="0" w:lastRowFirstColumn="0" w:lastRowLastColumn="0"/>
                  </w:pPr>
                  <w:r>
                    <w:t>Boilers</w:t>
                  </w:r>
                </w:p>
              </w:tc>
            </w:tr>
            <w:tr w:rsidR="004334D2" w14:paraId="24B0470A" w14:textId="77777777" w:rsidTr="007E5A9B">
              <w:tc>
                <w:tcPr>
                  <w:cnfStyle w:val="001000000000" w:firstRow="0" w:lastRow="0" w:firstColumn="1" w:lastColumn="0" w:oddVBand="0" w:evenVBand="0" w:oddHBand="0" w:evenHBand="0" w:firstRowFirstColumn="0" w:firstRowLastColumn="0" w:lastRowFirstColumn="0" w:lastRowLastColumn="0"/>
                  <w:tcW w:w="1704" w:type="dxa"/>
                </w:tcPr>
                <w:p w14:paraId="55F7317A" w14:textId="77777777" w:rsidR="004334D2" w:rsidRPr="000D78E2" w:rsidRDefault="004334D2" w:rsidP="003C2D11">
                  <w:pPr>
                    <w:pStyle w:val="ParaTickBox"/>
                    <w:tabs>
                      <w:tab w:val="clear" w:pos="510"/>
                    </w:tabs>
                    <w:ind w:left="0" w:right="57" w:firstLine="0"/>
                    <w:rPr>
                      <w:b w:val="0"/>
                      <w:bCs/>
                    </w:rPr>
                  </w:pPr>
                  <w:r w:rsidRPr="000D78E2">
                    <w:rPr>
                      <w:b w:val="0"/>
                      <w:bCs/>
                    </w:rPr>
                    <w:t>1</w:t>
                  </w:r>
                </w:p>
              </w:tc>
              <w:tc>
                <w:tcPr>
                  <w:tcW w:w="2409" w:type="dxa"/>
                </w:tcPr>
                <w:p w14:paraId="0732032B" w14:textId="77777777" w:rsidR="004334D2" w:rsidRDefault="004334D2" w:rsidP="003C2D11">
                  <w:pPr>
                    <w:pStyle w:val="ParaTickBox"/>
                    <w:tabs>
                      <w:tab w:val="clear" w:pos="510"/>
                    </w:tabs>
                    <w:ind w:left="0" w:right="57" w:firstLine="0"/>
                    <w:cnfStyle w:val="000000000000" w:firstRow="0" w:lastRow="0" w:firstColumn="0" w:lastColumn="0" w:oddVBand="0" w:evenVBand="0" w:oddHBand="0" w:evenHBand="0" w:firstRowFirstColumn="0" w:firstRowLastColumn="0" w:lastRowFirstColumn="0" w:lastRowLastColumn="0"/>
                  </w:pPr>
                  <w:r>
                    <w:t>Air heaters</w:t>
                  </w:r>
                </w:p>
              </w:tc>
            </w:tr>
            <w:tr w:rsidR="004334D2" w14:paraId="52B2ADB1" w14:textId="77777777" w:rsidTr="007E5A9B">
              <w:tc>
                <w:tcPr>
                  <w:cnfStyle w:val="001000000000" w:firstRow="0" w:lastRow="0" w:firstColumn="1" w:lastColumn="0" w:oddVBand="0" w:evenVBand="0" w:oddHBand="0" w:evenHBand="0" w:firstRowFirstColumn="0" w:firstRowLastColumn="0" w:lastRowFirstColumn="0" w:lastRowLastColumn="0"/>
                  <w:tcW w:w="1704" w:type="dxa"/>
                </w:tcPr>
                <w:p w14:paraId="19A209E0" w14:textId="77777777" w:rsidR="004334D2" w:rsidRPr="000D78E2" w:rsidRDefault="004334D2" w:rsidP="003C2D11">
                  <w:pPr>
                    <w:pStyle w:val="ParaTickBox"/>
                    <w:tabs>
                      <w:tab w:val="clear" w:pos="510"/>
                    </w:tabs>
                    <w:ind w:left="0" w:right="57" w:firstLine="0"/>
                    <w:rPr>
                      <w:b w:val="0"/>
                      <w:bCs/>
                    </w:rPr>
                  </w:pPr>
                  <w:r w:rsidRPr="000D78E2">
                    <w:rPr>
                      <w:b w:val="0"/>
                      <w:bCs/>
                    </w:rPr>
                    <w:t>1</w:t>
                  </w:r>
                </w:p>
              </w:tc>
              <w:tc>
                <w:tcPr>
                  <w:tcW w:w="2409" w:type="dxa"/>
                </w:tcPr>
                <w:p w14:paraId="78619589" w14:textId="77777777" w:rsidR="004334D2" w:rsidRDefault="004334D2" w:rsidP="003C2D11">
                  <w:pPr>
                    <w:pStyle w:val="ParaTickBox"/>
                    <w:tabs>
                      <w:tab w:val="clear" w:pos="510"/>
                    </w:tabs>
                    <w:ind w:left="0" w:right="57" w:firstLine="0"/>
                    <w:cnfStyle w:val="000000000000" w:firstRow="0" w:lastRow="0" w:firstColumn="0" w:lastColumn="0" w:oddVBand="0" w:evenVBand="0" w:oddHBand="0" w:evenHBand="0" w:firstRowFirstColumn="0" w:firstRowLastColumn="0" w:lastRowFirstColumn="0" w:lastRowLastColumn="0"/>
                  </w:pPr>
                  <w:r>
                    <w:t>Glass melting furnaces</w:t>
                  </w:r>
                </w:p>
              </w:tc>
            </w:tr>
            <w:tr w:rsidR="004334D2" w14:paraId="253CA105" w14:textId="77777777" w:rsidTr="007E5A9B">
              <w:tc>
                <w:tcPr>
                  <w:cnfStyle w:val="001000000000" w:firstRow="0" w:lastRow="0" w:firstColumn="1" w:lastColumn="0" w:oddVBand="0" w:evenVBand="0" w:oddHBand="0" w:evenHBand="0" w:firstRowFirstColumn="0" w:firstRowLastColumn="0" w:lastRowFirstColumn="0" w:lastRowLastColumn="0"/>
                  <w:tcW w:w="1704" w:type="dxa"/>
                </w:tcPr>
                <w:p w14:paraId="2BBE4222" w14:textId="77777777" w:rsidR="004334D2" w:rsidRPr="000D78E2" w:rsidRDefault="004334D2" w:rsidP="003C2D11">
                  <w:pPr>
                    <w:pStyle w:val="ParaTickBox"/>
                    <w:tabs>
                      <w:tab w:val="clear" w:pos="510"/>
                    </w:tabs>
                    <w:ind w:left="0" w:right="57" w:firstLine="0"/>
                    <w:rPr>
                      <w:b w:val="0"/>
                      <w:bCs/>
                    </w:rPr>
                  </w:pPr>
                  <w:r w:rsidRPr="000D78E2">
                    <w:rPr>
                      <w:b w:val="0"/>
                      <w:bCs/>
                    </w:rPr>
                    <w:t>0.9</w:t>
                  </w:r>
                </w:p>
              </w:tc>
              <w:tc>
                <w:tcPr>
                  <w:tcW w:w="2409" w:type="dxa"/>
                </w:tcPr>
                <w:p w14:paraId="3CFBDC3B" w14:textId="77777777" w:rsidR="004334D2" w:rsidRDefault="004334D2" w:rsidP="003C2D11">
                  <w:pPr>
                    <w:pStyle w:val="ParaTickBox"/>
                    <w:tabs>
                      <w:tab w:val="clear" w:pos="510"/>
                    </w:tabs>
                    <w:ind w:left="0" w:right="57" w:firstLine="0"/>
                    <w:cnfStyle w:val="000000000000" w:firstRow="0" w:lastRow="0" w:firstColumn="0" w:lastColumn="0" w:oddVBand="0" w:evenVBand="0" w:oddHBand="0" w:evenHBand="0" w:firstRowFirstColumn="0" w:firstRowLastColumn="0" w:lastRowFirstColumn="0" w:lastRowLastColumn="0"/>
                  </w:pPr>
                  <w:r>
                    <w:t>Intermittent brick kiln</w:t>
                  </w:r>
                </w:p>
              </w:tc>
            </w:tr>
          </w:tbl>
          <w:p w14:paraId="1183655F" w14:textId="77777777" w:rsidR="004334D2" w:rsidRPr="00931023" w:rsidRDefault="004334D2" w:rsidP="00E06D0C">
            <w:pPr>
              <w:pStyle w:val="ParaTickBox"/>
              <w:tabs>
                <w:tab w:val="clear" w:pos="510"/>
              </w:tabs>
              <w:ind w:left="0" w:right="57" w:firstLine="0"/>
              <w:jc w:val="both"/>
            </w:pPr>
          </w:p>
        </w:tc>
      </w:tr>
      <w:tr w:rsidR="004334D2" w:rsidRPr="00AE7BE8" w14:paraId="0CC7DE33" w14:textId="77777777" w:rsidTr="00A672F6">
        <w:tc>
          <w:tcPr>
            <w:tcW w:w="2405" w:type="dxa"/>
            <w:shd w:val="clear" w:color="auto" w:fill="E6E6E6"/>
          </w:tcPr>
          <w:p w14:paraId="1141EF4D"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522" w:type="dxa"/>
            <w:gridSpan w:val="2"/>
            <w:vAlign w:val="center"/>
          </w:tcPr>
          <w:p w14:paraId="29860835" w14:textId="77777777" w:rsidR="004334D2" w:rsidRPr="004C6225" w:rsidRDefault="004334D2" w:rsidP="00E06D0C">
            <w:pPr>
              <w:pStyle w:val="ParaTickBox"/>
              <w:ind w:left="0" w:firstLine="0"/>
              <w:rPr>
                <w:szCs w:val="20"/>
              </w:rPr>
            </w:pPr>
            <w:r w:rsidRPr="004C6225">
              <w:rPr>
                <w:rFonts w:asciiTheme="minorBidi" w:hAnsiTheme="minorBidi" w:cstheme="minorBidi"/>
                <w:szCs w:val="20"/>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szCs w:val="20"/>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sidRPr="004C6225">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424" w:type="dxa"/>
            <w:gridSpan w:val="2"/>
            <w:vAlign w:val="center"/>
          </w:tcPr>
          <w:p w14:paraId="15F5ABAE"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741C827C" w14:textId="77777777" w:rsidTr="00A672F6">
        <w:tc>
          <w:tcPr>
            <w:tcW w:w="2405" w:type="dxa"/>
            <w:shd w:val="clear" w:color="auto" w:fill="E6E6E6"/>
          </w:tcPr>
          <w:p w14:paraId="6AA3EF8A"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2E2976FF" w14:textId="62A633E8" w:rsidR="004334D2" w:rsidRDefault="004334D2" w:rsidP="00E06D0C">
            <w:pPr>
              <w:pStyle w:val="ParaTickBox"/>
              <w:tabs>
                <w:tab w:val="clear" w:pos="510"/>
              </w:tabs>
              <w:ind w:left="0" w:right="57" w:firstLine="0"/>
              <w:jc w:val="both"/>
            </w:pPr>
            <w:r>
              <w:t xml:space="preserve">The values for boilers and air heaters are based on default values provided in </w:t>
            </w:r>
            <w:r w:rsidR="00BB5E17">
              <w:t xml:space="preserve">Tier 3 approach from Volume 2, Chapter 2 </w:t>
            </w:r>
            <w:r w:rsidR="00162550">
              <w:t>of the IPCC (</w:t>
            </w:r>
            <w:r>
              <w:t>2006).</w:t>
            </w:r>
          </w:p>
          <w:p w14:paraId="07C6E3C4" w14:textId="0C5C9C48" w:rsidR="004334D2" w:rsidRPr="004C6225" w:rsidRDefault="004334D2" w:rsidP="00E06D0C">
            <w:pPr>
              <w:pStyle w:val="ParaTickBox"/>
              <w:tabs>
                <w:tab w:val="clear" w:pos="510"/>
              </w:tabs>
              <w:ind w:left="0" w:right="57" w:firstLine="0"/>
              <w:jc w:val="both"/>
              <w:rPr>
                <w:szCs w:val="20"/>
              </w:rPr>
            </w:pPr>
            <w:r>
              <w:t>The value for intermittent brick kilns is based on the assumption that combustion temperatures in the kiln will exceed 600</w:t>
            </w:r>
            <w:r w:rsidR="00BB5E17">
              <w:t>º</w:t>
            </w:r>
            <w:r>
              <w:t>C and that the time of exposure is sufficiently long to support 90 per cent combustion</w:t>
            </w:r>
          </w:p>
        </w:tc>
      </w:tr>
      <w:tr w:rsidR="004334D2" w:rsidRPr="00AE7BE8" w14:paraId="4C1D8846" w14:textId="77777777" w:rsidTr="00A672F6">
        <w:tc>
          <w:tcPr>
            <w:tcW w:w="2405" w:type="dxa"/>
            <w:shd w:val="clear" w:color="auto" w:fill="E6E6E6"/>
          </w:tcPr>
          <w:p w14:paraId="04C6B64D" w14:textId="77777777" w:rsidR="004334D2" w:rsidRPr="00AE7BE8" w:rsidRDefault="004334D2" w:rsidP="00E06D0C">
            <w:pPr>
              <w:pStyle w:val="ParaTickBox"/>
              <w:tabs>
                <w:tab w:val="clear" w:pos="510"/>
              </w:tabs>
              <w:ind w:left="0" w:right="57" w:firstLine="0"/>
              <w:rPr>
                <w:szCs w:val="20"/>
              </w:rPr>
            </w:pPr>
            <w:r>
              <w:rPr>
                <w:szCs w:val="20"/>
              </w:rPr>
              <w:t>Treatment of uncertainties</w:t>
            </w:r>
          </w:p>
        </w:tc>
        <w:tc>
          <w:tcPr>
            <w:tcW w:w="6946" w:type="dxa"/>
            <w:gridSpan w:val="4"/>
          </w:tcPr>
          <w:p w14:paraId="564C6723" w14:textId="77777777" w:rsidR="004334D2" w:rsidRDefault="004334D2" w:rsidP="00E06D0C">
            <w:pPr>
              <w:pStyle w:val="ParaTickBox"/>
              <w:tabs>
                <w:tab w:val="clear" w:pos="510"/>
              </w:tabs>
              <w:ind w:left="0" w:right="57" w:firstLine="0"/>
              <w:jc w:val="both"/>
              <w:rPr>
                <w:szCs w:val="20"/>
              </w:rPr>
            </w:pPr>
            <w:r>
              <w:rPr>
                <w:szCs w:val="20"/>
              </w:rPr>
              <w:t>N/A</w:t>
            </w:r>
          </w:p>
        </w:tc>
      </w:tr>
      <w:tr w:rsidR="004334D2" w:rsidRPr="00AE7BE8" w14:paraId="47597A26" w14:textId="77777777" w:rsidTr="00A672F6">
        <w:tc>
          <w:tcPr>
            <w:tcW w:w="2405" w:type="dxa"/>
            <w:shd w:val="clear" w:color="auto" w:fill="E6E6E6"/>
          </w:tcPr>
          <w:p w14:paraId="2401C81D"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7366BC7A" w14:textId="77777777" w:rsidR="004334D2" w:rsidRPr="004C6225" w:rsidRDefault="004334D2" w:rsidP="00E06D0C">
            <w:pPr>
              <w:pStyle w:val="ParaTickBox"/>
              <w:tabs>
                <w:tab w:val="clear" w:pos="510"/>
              </w:tabs>
              <w:ind w:left="0" w:right="57" w:firstLine="0"/>
              <w:jc w:val="both"/>
              <w:rPr>
                <w:i/>
                <w:iCs/>
                <w:szCs w:val="20"/>
              </w:rPr>
            </w:pPr>
            <w:r>
              <w:rPr>
                <w:szCs w:val="20"/>
              </w:rPr>
              <w:t>-</w:t>
            </w:r>
          </w:p>
        </w:tc>
      </w:tr>
    </w:tbl>
    <w:p w14:paraId="7B178664" w14:textId="4F78DE34" w:rsidR="00961A54" w:rsidRDefault="00961A54" w:rsidP="00961A54">
      <w:pPr>
        <w:pStyle w:val="Caption"/>
        <w:ind w:hanging="1956"/>
      </w:pPr>
      <w:r>
        <w:t>Data / Parameter table </w:t>
      </w:r>
      <w:r>
        <w:fldChar w:fldCharType="begin"/>
      </w:r>
      <w:r>
        <w:instrText>SEQ Data_/_Parameter_table \* ARABIC</w:instrText>
      </w:r>
      <w:r>
        <w:fldChar w:fldCharType="separate"/>
      </w:r>
      <w:r w:rsidR="00302468">
        <w:rPr>
          <w:noProof/>
        </w:rPr>
        <w:t>10</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3"/>
        <w:gridCol w:w="1179"/>
        <w:gridCol w:w="1164"/>
        <w:gridCol w:w="2260"/>
      </w:tblGrid>
      <w:tr w:rsidR="00961A54" w:rsidRPr="00AE7BE8" w14:paraId="2FF48FB4" w14:textId="77777777" w:rsidTr="00073748">
        <w:tc>
          <w:tcPr>
            <w:tcW w:w="2405" w:type="dxa"/>
            <w:shd w:val="clear" w:color="auto" w:fill="E6E6E6"/>
          </w:tcPr>
          <w:p w14:paraId="508B95D9" w14:textId="77777777" w:rsidR="00961A54" w:rsidRPr="00AE7BE8" w:rsidRDefault="00961A54" w:rsidP="0029358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160098DA" w14:textId="2D1A7543" w:rsidR="00961A54" w:rsidRPr="00955501" w:rsidRDefault="00302468" w:rsidP="0029358C">
            <w:pPr>
              <w:pStyle w:val="ParaTickBox"/>
              <w:tabs>
                <w:tab w:val="clear" w:pos="510"/>
              </w:tabs>
              <w:ind w:left="0" w:right="57" w:firstLine="0"/>
              <w:rPr>
                <w:b/>
                <w:bCs/>
                <w:szCs w:val="20"/>
              </w:rPr>
            </w:pPr>
            <m:oMathPara>
              <m:oMathParaPr>
                <m:jc m:val="left"/>
              </m:oMathParaPr>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CO2, HG,BAT</m:t>
                    </m:r>
                  </m:sub>
                </m:sSub>
              </m:oMath>
            </m:oMathPara>
          </w:p>
        </w:tc>
      </w:tr>
      <w:tr w:rsidR="00961A54" w:rsidRPr="00AE1482" w14:paraId="68B56A1A" w14:textId="77777777" w:rsidTr="00073748">
        <w:tc>
          <w:tcPr>
            <w:tcW w:w="2405" w:type="dxa"/>
            <w:shd w:val="clear" w:color="auto" w:fill="E6E6E6"/>
          </w:tcPr>
          <w:p w14:paraId="5439C22F" w14:textId="77777777" w:rsidR="00961A54" w:rsidRPr="00AE7BE8" w:rsidRDefault="00961A54" w:rsidP="0029358C">
            <w:pPr>
              <w:pStyle w:val="ParaTickBox"/>
              <w:tabs>
                <w:tab w:val="clear" w:pos="510"/>
              </w:tabs>
              <w:ind w:left="0" w:right="57" w:firstLine="0"/>
              <w:jc w:val="both"/>
              <w:rPr>
                <w:szCs w:val="20"/>
              </w:rPr>
            </w:pPr>
            <w:r w:rsidRPr="00AE7BE8">
              <w:rPr>
                <w:szCs w:val="20"/>
              </w:rPr>
              <w:t>Description</w:t>
            </w:r>
          </w:p>
        </w:tc>
        <w:tc>
          <w:tcPr>
            <w:tcW w:w="6946" w:type="dxa"/>
            <w:gridSpan w:val="4"/>
          </w:tcPr>
          <w:p w14:paraId="46DB5E17" w14:textId="45066287" w:rsidR="00961A54" w:rsidRPr="00AE1482" w:rsidRDefault="00B13E78" w:rsidP="0029358C">
            <w:pPr>
              <w:pStyle w:val="ParaTickBox"/>
              <w:tabs>
                <w:tab w:val="clear" w:pos="510"/>
              </w:tabs>
              <w:ind w:left="0" w:right="57" w:firstLine="0"/>
              <w:jc w:val="both"/>
              <w:rPr>
                <w:szCs w:val="20"/>
              </w:rPr>
            </w:pPr>
            <w:r>
              <w:t>CO</w:t>
            </w:r>
            <w:r w:rsidRPr="005F2718">
              <w:rPr>
                <w:vertAlign w:val="subscript"/>
              </w:rPr>
              <w:t>2</w:t>
            </w:r>
            <w:r>
              <w:t xml:space="preserve"> emissions intensity of the best-available technology (tCO</w:t>
            </w:r>
            <w:r w:rsidRPr="00781492">
              <w:rPr>
                <w:vertAlign w:val="subscript"/>
              </w:rPr>
              <w:t>2</w:t>
            </w:r>
            <w:r>
              <w:t xml:space="preserve">e/unit of output) identified in section </w:t>
            </w:r>
            <w:r>
              <w:fldChar w:fldCharType="begin"/>
            </w:r>
            <w:r>
              <w:instrText xml:space="preserve"> REF _Ref207823260 \w \p \h </w:instrText>
            </w:r>
            <w:r>
              <w:fldChar w:fldCharType="separate"/>
            </w:r>
            <w:r w:rsidR="00302468">
              <w:rPr>
                <w:cs/>
              </w:rPr>
              <w:t>‎</w:t>
            </w:r>
            <w:r w:rsidR="00302468">
              <w:t>7.3.1.4 above</w:t>
            </w:r>
            <w:r>
              <w:fldChar w:fldCharType="end"/>
            </w:r>
          </w:p>
        </w:tc>
      </w:tr>
      <w:tr w:rsidR="00961A54" w:rsidRPr="00AE7BE8" w14:paraId="35F3B0AE" w14:textId="77777777" w:rsidTr="00073748">
        <w:tc>
          <w:tcPr>
            <w:tcW w:w="2405" w:type="dxa"/>
            <w:shd w:val="clear" w:color="auto" w:fill="E6E6E6"/>
          </w:tcPr>
          <w:p w14:paraId="12B447CE" w14:textId="77777777" w:rsidR="00961A54" w:rsidRPr="00AE7BE8" w:rsidRDefault="00961A54" w:rsidP="0029358C">
            <w:pPr>
              <w:pStyle w:val="ParaTickBox"/>
              <w:tabs>
                <w:tab w:val="clear" w:pos="510"/>
              </w:tabs>
              <w:ind w:left="0" w:right="57" w:firstLine="0"/>
              <w:jc w:val="both"/>
              <w:rPr>
                <w:szCs w:val="20"/>
              </w:rPr>
            </w:pPr>
            <w:r w:rsidRPr="00AE7BE8">
              <w:rPr>
                <w:szCs w:val="20"/>
              </w:rPr>
              <w:t>Data unit</w:t>
            </w:r>
          </w:p>
        </w:tc>
        <w:tc>
          <w:tcPr>
            <w:tcW w:w="6946" w:type="dxa"/>
            <w:gridSpan w:val="4"/>
          </w:tcPr>
          <w:p w14:paraId="293373F1" w14:textId="2614DFA9" w:rsidR="00961A54" w:rsidRPr="004C6225" w:rsidRDefault="00961A54" w:rsidP="0029358C">
            <w:pPr>
              <w:pStyle w:val="ParaTickBox"/>
              <w:tabs>
                <w:tab w:val="clear" w:pos="510"/>
              </w:tabs>
              <w:ind w:left="0" w:right="57" w:firstLine="0"/>
              <w:jc w:val="both"/>
              <w:rPr>
                <w:szCs w:val="20"/>
              </w:rPr>
            </w:pPr>
            <w:r>
              <w:t>tCO</w:t>
            </w:r>
            <w:r w:rsidRPr="001A6322">
              <w:rPr>
                <w:vertAlign w:val="subscript"/>
              </w:rPr>
              <w:t>2</w:t>
            </w:r>
            <w:r>
              <w:t>e/</w:t>
            </w:r>
            <w:r w:rsidR="002259BB">
              <w:t>unit of output</w:t>
            </w:r>
          </w:p>
        </w:tc>
      </w:tr>
      <w:tr w:rsidR="00961A54" w:rsidRPr="00184973" w14:paraId="118CBE73" w14:textId="77777777" w:rsidTr="00073748">
        <w:tc>
          <w:tcPr>
            <w:tcW w:w="2405" w:type="dxa"/>
            <w:shd w:val="clear" w:color="auto" w:fill="E6E6E6"/>
          </w:tcPr>
          <w:p w14:paraId="60CDCBAA" w14:textId="77777777" w:rsidR="00961A54" w:rsidRPr="00AE7BE8" w:rsidRDefault="00961A54" w:rsidP="0029358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520B2B66" w14:textId="700E37A2" w:rsidR="00961A54" w:rsidRPr="00AE1482" w:rsidRDefault="002259BB" w:rsidP="0029358C">
            <w:pPr>
              <w:pStyle w:val="ParaTickBox"/>
              <w:tabs>
                <w:tab w:val="clear" w:pos="510"/>
              </w:tabs>
              <w:ind w:left="0" w:right="57" w:firstLine="0"/>
              <w:jc w:val="both"/>
              <w:rPr>
                <w:szCs w:val="20"/>
                <w:lang w:val="fr-FR"/>
              </w:rPr>
            </w:pPr>
            <w:r>
              <w:rPr>
                <w:szCs w:val="20"/>
                <w:lang w:val="fr-FR"/>
              </w:rPr>
              <w:t>(2</w:t>
            </w:r>
            <w:r w:rsidR="005C5D33">
              <w:rPr>
                <w:szCs w:val="20"/>
                <w:lang w:val="fr-FR"/>
              </w:rPr>
              <w:t>2</w:t>
            </w:r>
            <w:r>
              <w:rPr>
                <w:szCs w:val="20"/>
                <w:lang w:val="fr-FR"/>
              </w:rPr>
              <w:t>)</w:t>
            </w:r>
          </w:p>
        </w:tc>
      </w:tr>
      <w:tr w:rsidR="00961A54" w:rsidRPr="00AE7BE8" w14:paraId="67559C4F" w14:textId="77777777" w:rsidTr="00073748">
        <w:tc>
          <w:tcPr>
            <w:tcW w:w="2405" w:type="dxa"/>
            <w:shd w:val="clear" w:color="auto" w:fill="E6E6E6"/>
          </w:tcPr>
          <w:p w14:paraId="5F7305D0" w14:textId="77777777" w:rsidR="00961A54" w:rsidRPr="00AE7BE8" w:rsidRDefault="00961A54" w:rsidP="0029358C">
            <w:pPr>
              <w:pStyle w:val="ParaTickBox"/>
              <w:tabs>
                <w:tab w:val="clear" w:pos="510"/>
              </w:tabs>
              <w:ind w:left="0" w:right="57" w:firstLine="0"/>
              <w:jc w:val="both"/>
              <w:rPr>
                <w:szCs w:val="20"/>
              </w:rPr>
            </w:pPr>
            <w:r w:rsidRPr="00AE7BE8">
              <w:rPr>
                <w:szCs w:val="20"/>
              </w:rPr>
              <w:t>Purpose of data</w:t>
            </w:r>
          </w:p>
        </w:tc>
        <w:tc>
          <w:tcPr>
            <w:tcW w:w="2343" w:type="dxa"/>
          </w:tcPr>
          <w:p w14:paraId="5AB2D3B4" w14:textId="77777777" w:rsidR="00961A54" w:rsidRPr="004C6225" w:rsidRDefault="00961A54" w:rsidP="0029358C">
            <w:pPr>
              <w:pStyle w:val="ParaTickBox"/>
              <w:tabs>
                <w:tab w:val="clear" w:pos="510"/>
              </w:tabs>
              <w:ind w:left="0" w:right="57" w:firstLine="0"/>
            </w:pPr>
            <w:r>
              <w:rPr>
                <w:rFonts w:asciiTheme="minorBidi" w:hAnsiTheme="minorBidi" w:cstheme="minorBidi"/>
                <w:shd w:val="clear" w:color="auto" w:fill="E6E6E6"/>
              </w:rPr>
              <w:fldChar w:fldCharType="begin">
                <w:ffData>
                  <w:name w:val="Check2"/>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197083C0" w14:textId="2A62F44E" w:rsidR="00961A54" w:rsidRPr="004C6225" w:rsidRDefault="00961A54" w:rsidP="0029358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260" w:type="dxa"/>
          </w:tcPr>
          <w:p w14:paraId="0C7B0AAF" w14:textId="77777777" w:rsidR="00961A54" w:rsidRPr="004C6225" w:rsidRDefault="00961A54" w:rsidP="0029358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961A54" w:rsidRPr="00931023" w14:paraId="7E15A2BE" w14:textId="77777777" w:rsidTr="00073748">
        <w:tc>
          <w:tcPr>
            <w:tcW w:w="2405" w:type="dxa"/>
            <w:shd w:val="clear" w:color="auto" w:fill="E6E6E6"/>
          </w:tcPr>
          <w:p w14:paraId="5A5A8081" w14:textId="77777777" w:rsidR="00961A54" w:rsidRPr="00AE7BE8" w:rsidRDefault="00961A54" w:rsidP="0029358C">
            <w:pPr>
              <w:pStyle w:val="ParaTickBox"/>
              <w:tabs>
                <w:tab w:val="clear" w:pos="510"/>
              </w:tabs>
              <w:ind w:left="0" w:right="57" w:firstLine="0"/>
              <w:jc w:val="both"/>
              <w:rPr>
                <w:szCs w:val="20"/>
              </w:rPr>
            </w:pPr>
            <w:r w:rsidRPr="00AE7BE8">
              <w:rPr>
                <w:szCs w:val="20"/>
              </w:rPr>
              <w:t>Value(s) applied</w:t>
            </w:r>
          </w:p>
        </w:tc>
        <w:tc>
          <w:tcPr>
            <w:tcW w:w="6946" w:type="dxa"/>
            <w:gridSpan w:val="4"/>
          </w:tcPr>
          <w:p w14:paraId="5D00ADBA" w14:textId="67D80B21" w:rsidR="00961A54" w:rsidRPr="00931023" w:rsidRDefault="00961A54" w:rsidP="0029358C">
            <w:pPr>
              <w:pStyle w:val="ParaTickBox"/>
              <w:tabs>
                <w:tab w:val="clear" w:pos="510"/>
              </w:tabs>
              <w:ind w:left="0" w:right="57" w:firstLine="0"/>
              <w:jc w:val="both"/>
            </w:pPr>
            <w:r>
              <w:t xml:space="preserve">Determined based on procedure to identify </w:t>
            </w:r>
            <w:r w:rsidRPr="00881266">
              <w:t xml:space="preserve">the baseline scenario for </w:t>
            </w:r>
            <w:r w:rsidR="002259BB">
              <w:t>heat</w:t>
            </w:r>
            <w:r w:rsidRPr="00881266">
              <w:t xml:space="preserve"> generation replacing </w:t>
            </w:r>
            <w:r w:rsidR="002259BB">
              <w:t xml:space="preserve">heat </w:t>
            </w:r>
            <w:r w:rsidRPr="00881266">
              <w:t xml:space="preserve">generated </w:t>
            </w:r>
            <w:r w:rsidR="002259BB">
              <w:t xml:space="preserve">by existing equipment </w:t>
            </w:r>
            <w:r>
              <w:t xml:space="preserve">contained in section </w:t>
            </w:r>
            <w:r>
              <w:fldChar w:fldCharType="begin"/>
            </w:r>
            <w:r>
              <w:instrText xml:space="preserve"> REF _Ref207404259 \w \p \h </w:instrText>
            </w:r>
            <w:r>
              <w:fldChar w:fldCharType="separate"/>
            </w:r>
            <w:r w:rsidR="00302468">
              <w:rPr>
                <w:cs/>
              </w:rPr>
              <w:t>‎</w:t>
            </w:r>
            <w:r w:rsidR="00302468">
              <w:t>7.3.1.3 above</w:t>
            </w:r>
            <w:r>
              <w:fldChar w:fldCharType="end"/>
            </w:r>
          </w:p>
        </w:tc>
      </w:tr>
      <w:tr w:rsidR="00961A54" w:rsidRPr="00AE7BE8" w14:paraId="3C707C03" w14:textId="77777777" w:rsidTr="00073748">
        <w:tc>
          <w:tcPr>
            <w:tcW w:w="2405" w:type="dxa"/>
            <w:shd w:val="clear" w:color="auto" w:fill="E6E6E6"/>
          </w:tcPr>
          <w:p w14:paraId="1F113BA0" w14:textId="77777777" w:rsidR="00961A54" w:rsidRPr="00AE7BE8" w:rsidRDefault="00961A54" w:rsidP="0029358C">
            <w:pPr>
              <w:pStyle w:val="ParaTickBox"/>
              <w:tabs>
                <w:tab w:val="clear" w:pos="510"/>
              </w:tabs>
              <w:ind w:left="0" w:right="57" w:firstLine="0"/>
              <w:jc w:val="both"/>
              <w:rPr>
                <w:szCs w:val="20"/>
              </w:rPr>
            </w:pPr>
            <w:r w:rsidRPr="00AE7BE8">
              <w:rPr>
                <w:szCs w:val="20"/>
              </w:rPr>
              <w:t>Source of data</w:t>
            </w:r>
          </w:p>
        </w:tc>
        <w:tc>
          <w:tcPr>
            <w:tcW w:w="3522" w:type="dxa"/>
            <w:gridSpan w:val="2"/>
            <w:vAlign w:val="center"/>
          </w:tcPr>
          <w:p w14:paraId="7329327A" w14:textId="77777777" w:rsidR="00961A54" w:rsidRPr="004C6225" w:rsidRDefault="00961A54" w:rsidP="0029358C">
            <w:pPr>
              <w:pStyle w:val="ParaTickBox"/>
              <w:ind w:left="0" w:firstLine="0"/>
              <w:rPr>
                <w:szCs w:val="20"/>
              </w:rPr>
            </w:pPr>
            <w:r w:rsidRPr="004C6225">
              <w:rPr>
                <w:rFonts w:asciiTheme="minorBidi" w:hAnsiTheme="minorBidi" w:cstheme="minorBidi"/>
                <w:szCs w:val="20"/>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szCs w:val="20"/>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sidRPr="004C6225">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424" w:type="dxa"/>
            <w:gridSpan w:val="2"/>
            <w:vAlign w:val="center"/>
          </w:tcPr>
          <w:p w14:paraId="0E826BDB" w14:textId="77777777" w:rsidR="00961A54" w:rsidRPr="004C6225" w:rsidRDefault="00961A54" w:rsidP="0029358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961A54" w:rsidRPr="00AE7BE8" w14:paraId="515578A9" w14:textId="77777777" w:rsidTr="00073748">
        <w:tc>
          <w:tcPr>
            <w:tcW w:w="2405" w:type="dxa"/>
            <w:shd w:val="clear" w:color="auto" w:fill="E6E6E6"/>
          </w:tcPr>
          <w:p w14:paraId="4252558F" w14:textId="77777777" w:rsidR="00961A54" w:rsidRPr="00AE7BE8" w:rsidRDefault="00961A54" w:rsidP="0029358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6BA919F3" w14:textId="5775BFC8" w:rsidR="00961A54" w:rsidRPr="004C6225" w:rsidRDefault="00961A54" w:rsidP="0029358C">
            <w:pPr>
              <w:pStyle w:val="ParaTickBox"/>
              <w:tabs>
                <w:tab w:val="clear" w:pos="510"/>
              </w:tabs>
              <w:ind w:left="0" w:right="57" w:firstLine="0"/>
              <w:jc w:val="both"/>
              <w:rPr>
                <w:szCs w:val="20"/>
              </w:rPr>
            </w:pPr>
            <w:r>
              <w:rPr>
                <w:szCs w:val="20"/>
              </w:rPr>
              <w:t xml:space="preserve">As per the procedure </w:t>
            </w:r>
            <w:r>
              <w:t xml:space="preserve">contained in </w:t>
            </w:r>
            <w:r w:rsidR="005C5D33">
              <w:t xml:space="preserve">section </w:t>
            </w:r>
            <w:r w:rsidR="005C5D33">
              <w:fldChar w:fldCharType="begin"/>
            </w:r>
            <w:r w:rsidR="005C5D33">
              <w:instrText xml:space="preserve"> REF _Ref207404259 \w \p \h </w:instrText>
            </w:r>
            <w:r w:rsidR="005C5D33">
              <w:fldChar w:fldCharType="separate"/>
            </w:r>
            <w:r w:rsidR="00302468">
              <w:rPr>
                <w:cs/>
              </w:rPr>
              <w:t>‎</w:t>
            </w:r>
            <w:r w:rsidR="00302468">
              <w:t>7.3.1.3 above</w:t>
            </w:r>
            <w:r w:rsidR="005C5D33">
              <w:fldChar w:fldCharType="end"/>
            </w:r>
          </w:p>
        </w:tc>
      </w:tr>
      <w:tr w:rsidR="00961A54" w:rsidRPr="00AE7BE8" w14:paraId="62B14E8D" w14:textId="77777777" w:rsidTr="00073748">
        <w:tc>
          <w:tcPr>
            <w:tcW w:w="2405" w:type="dxa"/>
            <w:shd w:val="clear" w:color="auto" w:fill="E6E6E6"/>
          </w:tcPr>
          <w:p w14:paraId="5702CF1F" w14:textId="77777777" w:rsidR="00961A54" w:rsidRPr="00AE7BE8" w:rsidRDefault="00961A54" w:rsidP="0029358C">
            <w:pPr>
              <w:pStyle w:val="ParaTickBox"/>
              <w:tabs>
                <w:tab w:val="clear" w:pos="510"/>
              </w:tabs>
              <w:ind w:left="0" w:right="57" w:firstLine="0"/>
              <w:rPr>
                <w:szCs w:val="20"/>
              </w:rPr>
            </w:pPr>
            <w:r>
              <w:rPr>
                <w:szCs w:val="20"/>
              </w:rPr>
              <w:t>Treatment of uncertainties</w:t>
            </w:r>
          </w:p>
        </w:tc>
        <w:tc>
          <w:tcPr>
            <w:tcW w:w="6946" w:type="dxa"/>
            <w:gridSpan w:val="4"/>
          </w:tcPr>
          <w:p w14:paraId="21D0CF66" w14:textId="2814E459" w:rsidR="00961A54" w:rsidRDefault="00961A54" w:rsidP="0029358C">
            <w:pPr>
              <w:pStyle w:val="ParaTickBox"/>
              <w:tabs>
                <w:tab w:val="clear" w:pos="510"/>
              </w:tabs>
              <w:ind w:left="0" w:right="57" w:firstLine="0"/>
              <w:jc w:val="both"/>
            </w:pPr>
            <w:r>
              <w:t xml:space="preserve">Apply uncertainties based on the </w:t>
            </w:r>
            <w:r w:rsidR="00737BAE">
              <w:t>UPCC (</w:t>
            </w:r>
            <w:r w:rsidRPr="00317362">
              <w:t>2019 Refinement</w:t>
            </w:r>
            <w:r w:rsidR="00737BAE">
              <w:t>)</w:t>
            </w:r>
          </w:p>
        </w:tc>
      </w:tr>
      <w:tr w:rsidR="00961A54" w:rsidRPr="00AE7BE8" w14:paraId="13471D34" w14:textId="77777777" w:rsidTr="00073748">
        <w:tc>
          <w:tcPr>
            <w:tcW w:w="2405" w:type="dxa"/>
            <w:shd w:val="clear" w:color="auto" w:fill="E6E6E6"/>
          </w:tcPr>
          <w:p w14:paraId="471F5089" w14:textId="77777777" w:rsidR="00961A54" w:rsidRPr="00AE7BE8" w:rsidRDefault="00961A54" w:rsidP="0029358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17618564" w14:textId="77777777" w:rsidR="00961A54" w:rsidRPr="004C6225" w:rsidRDefault="00961A54" w:rsidP="0029358C">
            <w:pPr>
              <w:pStyle w:val="ParaTickBox"/>
              <w:tabs>
                <w:tab w:val="clear" w:pos="510"/>
              </w:tabs>
              <w:ind w:left="0" w:right="57" w:firstLine="0"/>
              <w:jc w:val="both"/>
              <w:rPr>
                <w:i/>
                <w:iCs/>
                <w:szCs w:val="20"/>
              </w:rPr>
            </w:pPr>
            <w:r>
              <w:rPr>
                <w:szCs w:val="20"/>
              </w:rPr>
              <w:t>-</w:t>
            </w:r>
          </w:p>
        </w:tc>
      </w:tr>
    </w:tbl>
    <w:p w14:paraId="4EAFD7F3" w14:textId="30696A2E"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11</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343"/>
        <w:gridCol w:w="1179"/>
        <w:gridCol w:w="1164"/>
        <w:gridCol w:w="2260"/>
      </w:tblGrid>
      <w:tr w:rsidR="004334D2" w:rsidRPr="00AE7BE8" w14:paraId="351CA86A" w14:textId="77777777" w:rsidTr="00073748">
        <w:tc>
          <w:tcPr>
            <w:tcW w:w="2405" w:type="dxa"/>
            <w:shd w:val="clear" w:color="auto" w:fill="E6E6E6"/>
          </w:tcPr>
          <w:p w14:paraId="4AFC5E71"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4EBFF4BC" w14:textId="77777777" w:rsidR="004334D2" w:rsidRPr="00EB3EE0" w:rsidRDefault="00302468" w:rsidP="00E06D0C">
            <w:pPr>
              <w:pStyle w:val="ParaTickBox"/>
              <w:tabs>
                <w:tab w:val="clear" w:pos="510"/>
              </w:tabs>
              <w:ind w:left="0" w:right="57" w:firstLine="0"/>
              <w:rPr>
                <w:b/>
                <w:bCs/>
                <w:i/>
                <w:szCs w:val="20"/>
              </w:rPr>
            </w:pPr>
            <m:oMathPara>
              <m:oMathParaPr>
                <m:jc m:val="left"/>
              </m:oMathParaPr>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CO</m:t>
                    </m:r>
                    <m:r>
                      <m:rPr>
                        <m:sty m:val="bi"/>
                      </m:rPr>
                      <w:rPr>
                        <w:rFonts w:ascii="Cambria Math" w:hAnsi="Cambria Math"/>
                      </w:rPr>
                      <m:t>2,f</m:t>
                    </m:r>
                  </m:sub>
                </m:sSub>
              </m:oMath>
            </m:oMathPara>
          </w:p>
        </w:tc>
      </w:tr>
      <w:tr w:rsidR="004334D2" w:rsidRPr="00AE7BE8" w14:paraId="57A5B19E" w14:textId="77777777" w:rsidTr="00073748">
        <w:tc>
          <w:tcPr>
            <w:tcW w:w="2405" w:type="dxa"/>
            <w:shd w:val="clear" w:color="auto" w:fill="E6E6E6"/>
          </w:tcPr>
          <w:p w14:paraId="2775B55D"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46" w:type="dxa"/>
            <w:gridSpan w:val="4"/>
          </w:tcPr>
          <w:p w14:paraId="69BB75DE" w14:textId="57B3AF34" w:rsidR="004334D2" w:rsidRPr="004C6225" w:rsidRDefault="004334D2" w:rsidP="00E06D0C">
            <w:pPr>
              <w:pStyle w:val="ParaTickBox"/>
              <w:tabs>
                <w:tab w:val="clear" w:pos="510"/>
              </w:tabs>
              <w:ind w:left="0" w:right="57" w:firstLine="0"/>
              <w:jc w:val="both"/>
              <w:rPr>
                <w:szCs w:val="20"/>
              </w:rPr>
            </w:pPr>
            <w:r>
              <w:t>Default CO</w:t>
            </w:r>
            <w:r w:rsidRPr="00134437">
              <w:rPr>
                <w:vertAlign w:val="subscript"/>
              </w:rPr>
              <w:t>2</w:t>
            </w:r>
            <w:r>
              <w:t xml:space="preserve"> emission factor for freight transportation activity</w:t>
            </w:r>
            <w:r w:rsidR="003C2D11">
              <w:t> </w:t>
            </w:r>
            <w:r w:rsidRPr="00F22F95">
              <w:rPr>
                <w:i/>
                <w:iCs/>
              </w:rPr>
              <w:t>f</w:t>
            </w:r>
          </w:p>
        </w:tc>
      </w:tr>
      <w:tr w:rsidR="004334D2" w:rsidRPr="00AE7BE8" w14:paraId="5F2DD21C" w14:textId="77777777" w:rsidTr="00073748">
        <w:tc>
          <w:tcPr>
            <w:tcW w:w="2405" w:type="dxa"/>
            <w:shd w:val="clear" w:color="auto" w:fill="E6E6E6"/>
          </w:tcPr>
          <w:p w14:paraId="0A9BF0CA"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46" w:type="dxa"/>
            <w:gridSpan w:val="4"/>
          </w:tcPr>
          <w:p w14:paraId="1B712890" w14:textId="77777777" w:rsidR="004334D2" w:rsidRPr="004C6225" w:rsidRDefault="004334D2" w:rsidP="00E06D0C">
            <w:pPr>
              <w:pStyle w:val="ParaTickBox"/>
              <w:tabs>
                <w:tab w:val="clear" w:pos="510"/>
              </w:tabs>
              <w:ind w:left="0" w:right="57" w:firstLine="0"/>
              <w:jc w:val="both"/>
              <w:rPr>
                <w:szCs w:val="20"/>
              </w:rPr>
            </w:pPr>
            <w:r>
              <w:t>gCO</w:t>
            </w:r>
            <w:r w:rsidRPr="00134437">
              <w:rPr>
                <w:vertAlign w:val="subscript"/>
              </w:rPr>
              <w:t>2</w:t>
            </w:r>
            <w:r>
              <w:t>/tkm</w:t>
            </w:r>
          </w:p>
        </w:tc>
      </w:tr>
      <w:tr w:rsidR="004334D2" w:rsidRPr="00AE7BE8" w14:paraId="1E23D0D5" w14:textId="77777777" w:rsidTr="00073748">
        <w:tc>
          <w:tcPr>
            <w:tcW w:w="2405" w:type="dxa"/>
            <w:shd w:val="clear" w:color="auto" w:fill="E6E6E6"/>
          </w:tcPr>
          <w:p w14:paraId="7BE2660B"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3771A716" w14:textId="40E3D92B" w:rsidR="004334D2" w:rsidRPr="004C6225" w:rsidRDefault="00474881" w:rsidP="00E06D0C">
            <w:pPr>
              <w:pStyle w:val="ParaTickBox"/>
              <w:tabs>
                <w:tab w:val="clear" w:pos="510"/>
              </w:tabs>
              <w:ind w:left="0" w:right="57" w:firstLine="0"/>
              <w:jc w:val="both"/>
              <w:rPr>
                <w:szCs w:val="20"/>
              </w:rPr>
            </w:pPr>
            <w:r>
              <w:rPr>
                <w:szCs w:val="20"/>
              </w:rPr>
              <w:t>(</w:t>
            </w:r>
            <w:r w:rsidR="00737BAE">
              <w:rPr>
                <w:szCs w:val="20"/>
              </w:rPr>
              <w:t>52</w:t>
            </w:r>
            <w:r>
              <w:rPr>
                <w:szCs w:val="20"/>
              </w:rPr>
              <w:t>)</w:t>
            </w:r>
          </w:p>
        </w:tc>
      </w:tr>
      <w:tr w:rsidR="004334D2" w:rsidRPr="00AE7BE8" w14:paraId="17A6B633" w14:textId="77777777" w:rsidTr="00073748">
        <w:tc>
          <w:tcPr>
            <w:tcW w:w="2405" w:type="dxa"/>
            <w:shd w:val="clear" w:color="auto" w:fill="E6E6E6"/>
          </w:tcPr>
          <w:p w14:paraId="5F0F4D0D"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343" w:type="dxa"/>
          </w:tcPr>
          <w:p w14:paraId="690BC51C"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0"/>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0395B7C4" w14:textId="31431AFF"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260" w:type="dxa"/>
          </w:tcPr>
          <w:p w14:paraId="21B77F98"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2F80C4AE" w14:textId="77777777" w:rsidTr="00073748">
        <w:tc>
          <w:tcPr>
            <w:tcW w:w="2405" w:type="dxa"/>
            <w:shd w:val="clear" w:color="auto" w:fill="E6E6E6"/>
          </w:tcPr>
          <w:p w14:paraId="71A87D0B"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67D209E0" w14:textId="77777777" w:rsidR="004334D2" w:rsidRDefault="004334D2" w:rsidP="00247E9F">
            <w:pPr>
              <w:pStyle w:val="ParaTickBox"/>
              <w:numPr>
                <w:ilvl w:val="0"/>
                <w:numId w:val="12"/>
              </w:numPr>
              <w:tabs>
                <w:tab w:val="clear" w:pos="510"/>
              </w:tabs>
              <w:ind w:left="121" w:right="57" w:hanging="142"/>
              <w:jc w:val="both"/>
            </w:pPr>
            <w:r>
              <w:rPr>
                <w:szCs w:val="20"/>
                <w:u w:val="single"/>
              </w:rPr>
              <w:t>Light vehicles</w:t>
            </w:r>
            <w:r w:rsidRPr="00AB67A2">
              <w:rPr>
                <w:szCs w:val="20"/>
                <w:u w:val="single"/>
              </w:rPr>
              <w:t>:</w:t>
            </w:r>
            <w:r>
              <w:rPr>
                <w:szCs w:val="20"/>
              </w:rPr>
              <w:t xml:space="preserve"> 245 </w:t>
            </w:r>
            <w:r>
              <w:t>gCO</w:t>
            </w:r>
            <w:r w:rsidRPr="00134437">
              <w:rPr>
                <w:vertAlign w:val="subscript"/>
              </w:rPr>
              <w:t>2</w:t>
            </w:r>
            <w:r>
              <w:t>/tkm;</w:t>
            </w:r>
          </w:p>
          <w:p w14:paraId="7FD1D261" w14:textId="77777777" w:rsidR="004334D2" w:rsidRPr="00931023" w:rsidRDefault="004334D2" w:rsidP="00247E9F">
            <w:pPr>
              <w:pStyle w:val="ParaTickBox"/>
              <w:numPr>
                <w:ilvl w:val="0"/>
                <w:numId w:val="12"/>
              </w:numPr>
              <w:tabs>
                <w:tab w:val="clear" w:pos="510"/>
              </w:tabs>
              <w:ind w:left="121" w:right="57" w:hanging="142"/>
              <w:jc w:val="both"/>
            </w:pPr>
            <w:r>
              <w:rPr>
                <w:szCs w:val="20"/>
                <w:u w:val="single"/>
              </w:rPr>
              <w:t>Heavy vehicles</w:t>
            </w:r>
            <w:r w:rsidRPr="00AB67A2">
              <w:rPr>
                <w:szCs w:val="20"/>
                <w:u w:val="single"/>
              </w:rPr>
              <w:t>:</w:t>
            </w:r>
            <w:r>
              <w:rPr>
                <w:szCs w:val="20"/>
              </w:rPr>
              <w:t xml:space="preserve"> 129 </w:t>
            </w:r>
            <w:r>
              <w:t>gCO</w:t>
            </w:r>
            <w:r w:rsidRPr="00134437">
              <w:rPr>
                <w:vertAlign w:val="subscript"/>
              </w:rPr>
              <w:t>2</w:t>
            </w:r>
            <w:r>
              <w:t>/tkm;</w:t>
            </w:r>
          </w:p>
        </w:tc>
      </w:tr>
      <w:tr w:rsidR="004334D2" w:rsidRPr="00AE7BE8" w14:paraId="690C0967" w14:textId="77777777" w:rsidTr="00073748">
        <w:tc>
          <w:tcPr>
            <w:tcW w:w="2405" w:type="dxa"/>
            <w:shd w:val="clear" w:color="auto" w:fill="E6E6E6"/>
          </w:tcPr>
          <w:p w14:paraId="7A062159"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522" w:type="dxa"/>
            <w:gridSpan w:val="2"/>
            <w:vAlign w:val="center"/>
          </w:tcPr>
          <w:p w14:paraId="583A40E0" w14:textId="77777777" w:rsidR="004334D2" w:rsidRPr="004C6225" w:rsidRDefault="004334D2" w:rsidP="00E06D0C">
            <w:pPr>
              <w:pStyle w:val="ParaTickBox"/>
              <w:ind w:left="0" w:firstLine="0"/>
              <w:rPr>
                <w:szCs w:val="20"/>
              </w:rPr>
            </w:pPr>
            <w:r>
              <w:rPr>
                <w:rFonts w:asciiTheme="minorBidi" w:hAnsiTheme="minorBidi" w:cstheme="minorBidi"/>
                <w:szCs w:val="20"/>
                <w:shd w:val="clear" w:color="auto" w:fill="E6E6E6"/>
              </w:rPr>
              <w:fldChar w:fldCharType="begin">
                <w:ffData>
                  <w:name w:val=""/>
                  <w:enabled/>
                  <w:calcOnExit w:val="0"/>
                  <w:checkBox>
                    <w:size w:val="20"/>
                    <w:default w:val="0"/>
                  </w:checkBox>
                </w:ffData>
              </w:fldChar>
            </w:r>
            <w:r>
              <w:rPr>
                <w:rFonts w:asciiTheme="minorBidi" w:hAnsiTheme="minorBidi" w:cstheme="minorBidi"/>
                <w:szCs w:val="20"/>
                <w:shd w:val="clear" w:color="auto" w:fill="E6E6E6"/>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424" w:type="dxa"/>
            <w:gridSpan w:val="2"/>
            <w:vAlign w:val="center"/>
          </w:tcPr>
          <w:p w14:paraId="4DD7C0CB"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3FEA9D1A" w14:textId="77777777" w:rsidTr="00073748">
        <w:tc>
          <w:tcPr>
            <w:tcW w:w="2405" w:type="dxa"/>
            <w:shd w:val="clear" w:color="auto" w:fill="E6E6E6"/>
          </w:tcPr>
          <w:p w14:paraId="0DD1B692"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4155C612" w14:textId="77777777" w:rsidR="004334D2" w:rsidRDefault="004334D2" w:rsidP="00DA05CE">
            <w:pPr>
              <w:pStyle w:val="ParaTickBox"/>
              <w:keepNext/>
              <w:tabs>
                <w:tab w:val="clear" w:pos="510"/>
              </w:tabs>
              <w:ind w:left="0" w:right="57" w:firstLine="0"/>
              <w:jc w:val="both"/>
            </w:pPr>
            <w:r>
              <w:t>The default CO</w:t>
            </w:r>
            <w:r w:rsidRPr="00250A11">
              <w:rPr>
                <w:vertAlign w:val="subscript"/>
              </w:rPr>
              <w:t>2</w:t>
            </w:r>
            <w:r>
              <w:t xml:space="preserve"> emission factors take into account emissions generated by loaded outbound trips and empty return trips and were from two sources:</w:t>
            </w:r>
          </w:p>
          <w:p w14:paraId="129C81E0" w14:textId="77777777" w:rsidR="004334D2" w:rsidRPr="00AF6641" w:rsidRDefault="004334D2" w:rsidP="003630AA">
            <w:pPr>
              <w:pStyle w:val="ParaTickBox"/>
              <w:numPr>
                <w:ilvl w:val="0"/>
                <w:numId w:val="26"/>
              </w:numPr>
              <w:tabs>
                <w:tab w:val="clear" w:pos="510"/>
              </w:tabs>
              <w:ind w:right="57"/>
              <w:jc w:val="both"/>
              <w:rPr>
                <w:szCs w:val="20"/>
              </w:rPr>
            </w:pPr>
            <w:r w:rsidRPr="00250A11">
              <w:rPr>
                <w:u w:val="single"/>
              </w:rPr>
              <w:t>For light vehicles</w:t>
            </w:r>
            <w:r>
              <w:t>: empirical data from European vehicles;</w:t>
            </w:r>
          </w:p>
          <w:p w14:paraId="192F1FFB" w14:textId="1A47F3A3" w:rsidR="004334D2" w:rsidRPr="004C6225" w:rsidRDefault="004334D2" w:rsidP="003630AA">
            <w:pPr>
              <w:pStyle w:val="ParaTickBox"/>
              <w:numPr>
                <w:ilvl w:val="0"/>
                <w:numId w:val="26"/>
              </w:numPr>
              <w:tabs>
                <w:tab w:val="clear" w:pos="510"/>
              </w:tabs>
              <w:ind w:right="57"/>
              <w:jc w:val="both"/>
              <w:rPr>
                <w:szCs w:val="20"/>
              </w:rPr>
            </w:pPr>
            <w:r w:rsidRPr="00167782">
              <w:rPr>
                <w:u w:val="single"/>
              </w:rPr>
              <w:t>For heavy vehicles:</w:t>
            </w:r>
            <w:r>
              <w:t xml:space="preserve"> derived based on custom design transient speed-time-</w:t>
            </w:r>
            <w:r w:rsidRPr="00A61492">
              <w:rPr>
                <w:szCs w:val="20"/>
              </w:rPr>
              <w:t>gradient</w:t>
            </w:r>
            <w:r>
              <w:t xml:space="preserve"> drive cycle (adapted from the international FIGE cycle), vehicle dimensional data, mathematical analysis of loading scenarios, and dynamic modelling based on engine power profiles, which, in turn, are a function of gross vehicle mass (GVM), load factor, speed/acceleration profiles and road gradient. The following assumptions on key parameters have been made: an average driving speed of 30 km/h, an average gradient of 1</w:t>
            </w:r>
            <w:r w:rsidR="003F7966">
              <w:t xml:space="preserve"> per cent</w:t>
            </w:r>
            <w:r>
              <w:t>, and a load factor attained when biomass5 is transported were assumed</w:t>
            </w:r>
          </w:p>
        </w:tc>
      </w:tr>
      <w:tr w:rsidR="004334D2" w:rsidRPr="00AE7BE8" w14:paraId="18F89F74" w14:textId="77777777" w:rsidTr="00073748">
        <w:tc>
          <w:tcPr>
            <w:tcW w:w="2405" w:type="dxa"/>
            <w:shd w:val="clear" w:color="auto" w:fill="E6E6E6"/>
          </w:tcPr>
          <w:p w14:paraId="2699BBC6"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72C55FC9" w14:textId="77777777" w:rsidR="004334D2" w:rsidRPr="004C6225" w:rsidRDefault="004334D2" w:rsidP="00E06D0C">
            <w:pPr>
              <w:pStyle w:val="ParaTickBox"/>
              <w:tabs>
                <w:tab w:val="clear" w:pos="510"/>
              </w:tabs>
              <w:ind w:left="0" w:right="57" w:firstLine="0"/>
              <w:jc w:val="both"/>
              <w:rPr>
                <w:i/>
                <w:iCs/>
                <w:szCs w:val="20"/>
              </w:rPr>
            </w:pPr>
            <w:r>
              <w:t>-</w:t>
            </w:r>
          </w:p>
        </w:tc>
      </w:tr>
    </w:tbl>
    <w:p w14:paraId="1509DB51" w14:textId="266686BE"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12</w:t>
      </w:r>
      <w:r>
        <w:fldChar w:fldCharType="end"/>
      </w:r>
      <w:r>
        <w:t>.</w:t>
      </w:r>
      <w: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302"/>
        <w:gridCol w:w="1164"/>
        <w:gridCol w:w="1138"/>
        <w:gridCol w:w="2302"/>
      </w:tblGrid>
      <w:tr w:rsidR="004334D2" w:rsidRPr="00AE7BE8" w14:paraId="598F2DFC" w14:textId="77777777" w:rsidTr="00073748">
        <w:tc>
          <w:tcPr>
            <w:tcW w:w="2439" w:type="dxa"/>
            <w:shd w:val="clear" w:color="auto" w:fill="E6E6E6"/>
          </w:tcPr>
          <w:p w14:paraId="362F726A"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06" w:type="dxa"/>
            <w:gridSpan w:val="4"/>
          </w:tcPr>
          <w:p w14:paraId="55452AFE" w14:textId="77777777" w:rsidR="004334D2" w:rsidRPr="00EB3EE0" w:rsidRDefault="00302468" w:rsidP="00E06D0C">
            <w:pPr>
              <w:pStyle w:val="ParaTickBox"/>
              <w:tabs>
                <w:tab w:val="clear" w:pos="510"/>
              </w:tabs>
              <w:ind w:left="0" w:right="57" w:firstLine="0"/>
              <w:rPr>
                <w:b/>
                <w:bCs/>
                <w:i/>
                <w:szCs w:val="20"/>
              </w:rPr>
            </w:pPr>
            <m:oMathPara>
              <m:oMathParaPr>
                <m:jc m:val="left"/>
              </m:oMathParaPr>
              <m:oMath>
                <m:sSub>
                  <m:sSubPr>
                    <m:ctrlPr>
                      <w:rPr>
                        <w:rFonts w:ascii="Cambria Math" w:hAnsi="Cambria Math"/>
                        <w:b/>
                        <w:bCs/>
                        <w:i/>
                      </w:rPr>
                    </m:ctrlPr>
                  </m:sSubPr>
                  <m:e>
                    <m:r>
                      <m:rPr>
                        <m:sty m:val="bi"/>
                      </m:rPr>
                      <w:rPr>
                        <w:rFonts w:ascii="Cambria Math" w:hAnsi="Cambria Math"/>
                      </w:rPr>
                      <m:t>DEFT</m:t>
                    </m:r>
                  </m:e>
                  <m:sub>
                    <m:r>
                      <m:rPr>
                        <m:sty m:val="bi"/>
                      </m:rPr>
                      <w:rPr>
                        <w:rFonts w:ascii="Cambria Math" w:hAnsi="Cambria Math"/>
                      </w:rPr>
                      <m:t>SP</m:t>
                    </m:r>
                  </m:sub>
                </m:sSub>
              </m:oMath>
            </m:oMathPara>
          </w:p>
        </w:tc>
      </w:tr>
      <w:tr w:rsidR="004334D2" w:rsidRPr="00AE7BE8" w14:paraId="7ACA953C" w14:textId="77777777" w:rsidTr="00073748">
        <w:tc>
          <w:tcPr>
            <w:tcW w:w="2439" w:type="dxa"/>
            <w:shd w:val="clear" w:color="auto" w:fill="E6E6E6"/>
          </w:tcPr>
          <w:p w14:paraId="64E402F9"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06" w:type="dxa"/>
            <w:gridSpan w:val="4"/>
          </w:tcPr>
          <w:p w14:paraId="1A52EFEA" w14:textId="77777777" w:rsidR="004334D2" w:rsidRPr="004C6225" w:rsidRDefault="004334D2" w:rsidP="00E06D0C">
            <w:pPr>
              <w:pStyle w:val="ParaTickBox"/>
              <w:tabs>
                <w:tab w:val="clear" w:pos="510"/>
              </w:tabs>
              <w:ind w:left="0" w:right="57" w:firstLine="0"/>
              <w:jc w:val="both"/>
              <w:rPr>
                <w:szCs w:val="20"/>
              </w:rPr>
            </w:pPr>
            <w:r w:rsidRPr="000C5FD6">
              <w:t>Default emission factor for the supply of LFG to consumers due to physical leakage through the dedicated pipeline</w:t>
            </w:r>
          </w:p>
        </w:tc>
      </w:tr>
      <w:tr w:rsidR="004334D2" w:rsidRPr="00AE7BE8" w14:paraId="4ABDAAF0" w14:textId="77777777" w:rsidTr="00073748">
        <w:tc>
          <w:tcPr>
            <w:tcW w:w="2439" w:type="dxa"/>
            <w:shd w:val="clear" w:color="auto" w:fill="E6E6E6"/>
          </w:tcPr>
          <w:p w14:paraId="48CC0599"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06" w:type="dxa"/>
            <w:gridSpan w:val="4"/>
          </w:tcPr>
          <w:p w14:paraId="55FFA083" w14:textId="77777777" w:rsidR="004334D2" w:rsidRPr="004C6225" w:rsidRDefault="004334D2" w:rsidP="00E06D0C">
            <w:pPr>
              <w:pStyle w:val="ParaTickBox"/>
              <w:tabs>
                <w:tab w:val="clear" w:pos="510"/>
              </w:tabs>
              <w:ind w:left="0" w:right="57" w:firstLine="0"/>
              <w:jc w:val="both"/>
              <w:rPr>
                <w:szCs w:val="20"/>
              </w:rPr>
            </w:pPr>
            <w:r w:rsidRPr="000C5FD6">
              <w:t>tCO</w:t>
            </w:r>
            <w:r w:rsidRPr="000C5FD6">
              <w:rPr>
                <w:vertAlign w:val="subscript"/>
              </w:rPr>
              <w:t>2</w:t>
            </w:r>
            <w:r w:rsidRPr="000C5FD6">
              <w:t>e/TJ</w:t>
            </w:r>
          </w:p>
        </w:tc>
      </w:tr>
      <w:tr w:rsidR="004334D2" w:rsidRPr="00AE7BE8" w14:paraId="5BAE0EB8" w14:textId="77777777" w:rsidTr="00073748">
        <w:tc>
          <w:tcPr>
            <w:tcW w:w="2439" w:type="dxa"/>
            <w:shd w:val="clear" w:color="auto" w:fill="E6E6E6"/>
          </w:tcPr>
          <w:p w14:paraId="6953A1DC"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06" w:type="dxa"/>
            <w:gridSpan w:val="4"/>
          </w:tcPr>
          <w:p w14:paraId="48756B9C" w14:textId="2A957747" w:rsidR="004334D2" w:rsidRPr="004C6225" w:rsidRDefault="00E67B87" w:rsidP="00E06D0C">
            <w:pPr>
              <w:pStyle w:val="ParaTickBox"/>
              <w:tabs>
                <w:tab w:val="clear" w:pos="510"/>
              </w:tabs>
              <w:ind w:left="0" w:right="57" w:firstLine="0"/>
              <w:jc w:val="both"/>
              <w:rPr>
                <w:szCs w:val="20"/>
              </w:rPr>
            </w:pPr>
            <w:r>
              <w:rPr>
                <w:szCs w:val="20"/>
              </w:rPr>
              <w:t>(</w:t>
            </w:r>
            <w:r w:rsidR="008C2BA9">
              <w:rPr>
                <w:szCs w:val="20"/>
              </w:rPr>
              <w:t>54</w:t>
            </w:r>
            <w:r>
              <w:rPr>
                <w:szCs w:val="20"/>
              </w:rPr>
              <w:t>)</w:t>
            </w:r>
          </w:p>
        </w:tc>
      </w:tr>
      <w:tr w:rsidR="004334D2" w:rsidRPr="00AE7BE8" w14:paraId="78CA24D4" w14:textId="77777777" w:rsidTr="00073748">
        <w:tc>
          <w:tcPr>
            <w:tcW w:w="2439" w:type="dxa"/>
            <w:shd w:val="clear" w:color="auto" w:fill="E6E6E6"/>
          </w:tcPr>
          <w:p w14:paraId="3F779AE3"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302" w:type="dxa"/>
          </w:tcPr>
          <w:p w14:paraId="6A7DBB79"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0"/>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02" w:type="dxa"/>
            <w:gridSpan w:val="2"/>
          </w:tcPr>
          <w:p w14:paraId="748DF5F5" w14:textId="766F6720"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302" w:type="dxa"/>
          </w:tcPr>
          <w:p w14:paraId="0521B284"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06AB24F2" w14:textId="77777777" w:rsidTr="00073748">
        <w:tc>
          <w:tcPr>
            <w:tcW w:w="2439" w:type="dxa"/>
            <w:shd w:val="clear" w:color="auto" w:fill="E6E6E6"/>
          </w:tcPr>
          <w:p w14:paraId="7DF3BFAA"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06" w:type="dxa"/>
            <w:gridSpan w:val="4"/>
          </w:tcPr>
          <w:p w14:paraId="0B0CD745" w14:textId="77777777" w:rsidR="004334D2" w:rsidRPr="00D47B9A" w:rsidRDefault="004334D2" w:rsidP="00E06D0C">
            <w:pPr>
              <w:pStyle w:val="ParaTickBox"/>
              <w:tabs>
                <w:tab w:val="clear" w:pos="510"/>
              </w:tabs>
              <w:ind w:left="0" w:right="57" w:firstLine="0"/>
              <w:jc w:val="both"/>
            </w:pPr>
            <w:r w:rsidRPr="00D47B9A">
              <w:rPr>
                <w:szCs w:val="20"/>
              </w:rPr>
              <w:t>2.2</w:t>
            </w:r>
          </w:p>
        </w:tc>
      </w:tr>
      <w:tr w:rsidR="004334D2" w:rsidRPr="00AE7BE8" w14:paraId="38050719" w14:textId="77777777" w:rsidTr="00073748">
        <w:tc>
          <w:tcPr>
            <w:tcW w:w="2439" w:type="dxa"/>
            <w:shd w:val="clear" w:color="auto" w:fill="E6E6E6"/>
          </w:tcPr>
          <w:p w14:paraId="6EB51833"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466" w:type="dxa"/>
            <w:gridSpan w:val="2"/>
            <w:vAlign w:val="center"/>
          </w:tcPr>
          <w:p w14:paraId="346E56E3" w14:textId="77777777" w:rsidR="004334D2" w:rsidRPr="004C6225" w:rsidRDefault="004334D2" w:rsidP="00E06D0C">
            <w:pPr>
              <w:pStyle w:val="ParaTickBox"/>
              <w:ind w:left="0" w:firstLine="0"/>
              <w:rPr>
                <w:szCs w:val="20"/>
              </w:rPr>
            </w:pPr>
            <w:r>
              <w:rPr>
                <w:rFonts w:asciiTheme="minorBidi" w:hAnsiTheme="minorBidi" w:cstheme="minorBidi"/>
                <w:szCs w:val="20"/>
                <w:shd w:val="clear" w:color="auto" w:fill="E6E6E6"/>
              </w:rPr>
              <w:fldChar w:fldCharType="begin">
                <w:ffData>
                  <w:name w:val=""/>
                  <w:enabled/>
                  <w:calcOnExit w:val="0"/>
                  <w:checkBox>
                    <w:size w:val="20"/>
                    <w:default w:val="0"/>
                  </w:checkBox>
                </w:ffData>
              </w:fldChar>
            </w:r>
            <w:r>
              <w:rPr>
                <w:rFonts w:asciiTheme="minorBidi" w:hAnsiTheme="minorBidi" w:cstheme="minorBidi"/>
                <w:szCs w:val="20"/>
                <w:shd w:val="clear" w:color="auto" w:fill="E6E6E6"/>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440" w:type="dxa"/>
            <w:gridSpan w:val="2"/>
            <w:vAlign w:val="center"/>
          </w:tcPr>
          <w:p w14:paraId="08080DC6"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6D3396CA" w14:textId="77777777" w:rsidTr="00073748">
        <w:tc>
          <w:tcPr>
            <w:tcW w:w="2439" w:type="dxa"/>
            <w:shd w:val="clear" w:color="auto" w:fill="E6E6E6"/>
          </w:tcPr>
          <w:p w14:paraId="33EE1D54"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06" w:type="dxa"/>
            <w:gridSpan w:val="4"/>
          </w:tcPr>
          <w:p w14:paraId="50E7F1C9" w14:textId="78D5DB01" w:rsidR="009C38FB" w:rsidRPr="004C6225" w:rsidRDefault="004334D2" w:rsidP="004D184D">
            <w:pPr>
              <w:pStyle w:val="ParaTickBox"/>
              <w:ind w:left="57" w:right="57" w:firstLine="0"/>
              <w:rPr>
                <w:szCs w:val="20"/>
              </w:rPr>
            </w:pPr>
            <w:r>
              <w:t xml:space="preserve">Value determined based on </w:t>
            </w:r>
            <w:r w:rsidRPr="00325DC8">
              <w:t>Natural gas distribution</w:t>
            </w:r>
            <w:r w:rsidR="004417B3">
              <w:t xml:space="preserve">, sourced </w:t>
            </w:r>
            <w:r w:rsidR="008C2BA9">
              <w:t xml:space="preserve">from the </w:t>
            </w:r>
            <w:r w:rsidR="001A056E">
              <w:t>the report “</w:t>
            </w:r>
            <w:r w:rsidR="004D184D">
              <w:t>Detailed California-Modified GREET Pathway for Liquefied Natural Gas (LNG) from North American and Remote Natural Gas Sources</w:t>
            </w:r>
            <w:r w:rsidR="001A056E">
              <w:t>”</w:t>
            </w:r>
          </w:p>
        </w:tc>
      </w:tr>
      <w:tr w:rsidR="004334D2" w:rsidRPr="00AE7BE8" w14:paraId="467586CC" w14:textId="77777777" w:rsidTr="00073748">
        <w:tc>
          <w:tcPr>
            <w:tcW w:w="2439" w:type="dxa"/>
            <w:shd w:val="clear" w:color="auto" w:fill="E6E6E6"/>
          </w:tcPr>
          <w:p w14:paraId="6F2CBD5D"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06" w:type="dxa"/>
            <w:gridSpan w:val="4"/>
          </w:tcPr>
          <w:p w14:paraId="22698DE6" w14:textId="64BA0E2C" w:rsidR="004334D2" w:rsidRPr="004C6225" w:rsidRDefault="004334D2" w:rsidP="00E06D0C">
            <w:pPr>
              <w:pStyle w:val="ParaTickBox"/>
              <w:tabs>
                <w:tab w:val="clear" w:pos="510"/>
              </w:tabs>
              <w:ind w:left="0" w:right="57" w:firstLine="0"/>
              <w:jc w:val="both"/>
              <w:rPr>
                <w:i/>
                <w:iCs/>
                <w:szCs w:val="20"/>
              </w:rPr>
            </w:pPr>
            <w:r>
              <w:t xml:space="preserve">Value sourced from the GREET Model for NG distribution, </w:t>
            </w:r>
            <w:r w:rsidRPr="00BE08E4">
              <w:t xml:space="preserve">Pressure let down from the transmission system and transport in medium and </w:t>
            </w:r>
            <w:r w:rsidR="00F87302" w:rsidRPr="00BE08E4">
              <w:t>low-pressure</w:t>
            </w:r>
            <w:r w:rsidRPr="00BE08E4">
              <w:t xml:space="preserve"> pipelines to the end users</w:t>
            </w:r>
          </w:p>
        </w:tc>
      </w:tr>
    </w:tbl>
    <w:p w14:paraId="7C71EC6B" w14:textId="1111655D" w:rsidR="004334D2" w:rsidRDefault="004334D2" w:rsidP="007A2EAF">
      <w:pPr>
        <w:pStyle w:val="SDMHead1"/>
      </w:pPr>
      <w:bookmarkStart w:id="424" w:name="_Toc211555334"/>
      <w:bookmarkStart w:id="425" w:name="_Toc211598986"/>
      <w:bookmarkStart w:id="426" w:name="_Toc211599488"/>
      <w:bookmarkStart w:id="427" w:name="_Toc211612284"/>
      <w:bookmarkStart w:id="428" w:name="_Toc211614731"/>
      <w:bookmarkStart w:id="429" w:name="_Toc211614774"/>
      <w:r w:rsidRPr="007A2EAF">
        <w:t>Data</w:t>
      </w:r>
      <w:r>
        <w:t xml:space="preserve"> and parameters monitored</w:t>
      </w:r>
      <w:bookmarkEnd w:id="424"/>
      <w:bookmarkEnd w:id="425"/>
      <w:bookmarkEnd w:id="426"/>
      <w:bookmarkEnd w:id="427"/>
      <w:bookmarkEnd w:id="428"/>
      <w:bookmarkEnd w:id="429"/>
    </w:p>
    <w:p w14:paraId="3987CDD7" w14:textId="2FE0F8E5"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13</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41"/>
        <w:gridCol w:w="913"/>
        <w:gridCol w:w="2336"/>
        <w:gridCol w:w="2256"/>
      </w:tblGrid>
      <w:tr w:rsidR="004334D2" w:rsidRPr="00131981" w14:paraId="5C5494B2" w14:textId="77777777" w:rsidTr="00073748">
        <w:tc>
          <w:tcPr>
            <w:tcW w:w="2405" w:type="dxa"/>
            <w:shd w:val="clear" w:color="auto" w:fill="E6E6E6"/>
          </w:tcPr>
          <w:p w14:paraId="29F08C72" w14:textId="77777777" w:rsidR="004334D2" w:rsidRPr="00131981" w:rsidRDefault="004334D2" w:rsidP="00E06D0C">
            <w:pPr>
              <w:spacing w:before="60" w:after="60"/>
              <w:ind w:right="57"/>
              <w:rPr>
                <w:rFonts w:cs="Arial"/>
                <w:b/>
                <w:bCs/>
                <w:sz w:val="20"/>
              </w:rPr>
            </w:pPr>
            <w:r w:rsidRPr="00131981">
              <w:rPr>
                <w:rFonts w:cs="Arial"/>
                <w:b/>
                <w:bCs/>
                <w:sz w:val="20"/>
              </w:rPr>
              <w:t>Data/parameter</w:t>
            </w:r>
          </w:p>
        </w:tc>
        <w:tc>
          <w:tcPr>
            <w:tcW w:w="6946" w:type="dxa"/>
            <w:gridSpan w:val="4"/>
          </w:tcPr>
          <w:p w14:paraId="0C48B501" w14:textId="77777777" w:rsidR="004334D2" w:rsidRPr="00965EF3" w:rsidRDefault="004334D2" w:rsidP="00E06D0C">
            <w:pPr>
              <w:spacing w:before="60" w:after="60"/>
              <w:ind w:right="57"/>
              <w:rPr>
                <w:rFonts w:cs="Arial"/>
                <w:b/>
                <w:bCs/>
                <w:i/>
                <w:iCs/>
                <w:sz w:val="20"/>
              </w:rPr>
            </w:pPr>
            <w:r w:rsidRPr="00965EF3">
              <w:rPr>
                <w:rFonts w:cs="Arial"/>
                <w:b/>
                <w:bCs/>
                <w:i/>
                <w:iCs/>
                <w:sz w:val="20"/>
              </w:rPr>
              <w:t>Management of the SWDS</w:t>
            </w:r>
          </w:p>
        </w:tc>
      </w:tr>
      <w:tr w:rsidR="004334D2" w:rsidRPr="00131981" w14:paraId="618F892C" w14:textId="77777777" w:rsidTr="00073748">
        <w:tc>
          <w:tcPr>
            <w:tcW w:w="2405" w:type="dxa"/>
            <w:shd w:val="clear" w:color="auto" w:fill="E6E6E6"/>
          </w:tcPr>
          <w:p w14:paraId="33D94662" w14:textId="77777777" w:rsidR="004334D2" w:rsidRPr="00131981" w:rsidRDefault="004334D2" w:rsidP="00E06D0C">
            <w:pPr>
              <w:spacing w:before="60" w:after="60"/>
              <w:ind w:right="57"/>
              <w:rPr>
                <w:rFonts w:cs="Arial"/>
                <w:sz w:val="20"/>
              </w:rPr>
            </w:pPr>
            <w:r w:rsidRPr="00131981">
              <w:rPr>
                <w:rFonts w:cs="Arial"/>
                <w:sz w:val="20"/>
              </w:rPr>
              <w:t>Description</w:t>
            </w:r>
          </w:p>
        </w:tc>
        <w:tc>
          <w:tcPr>
            <w:tcW w:w="6946" w:type="dxa"/>
            <w:gridSpan w:val="4"/>
          </w:tcPr>
          <w:p w14:paraId="316DEFA6" w14:textId="77777777" w:rsidR="004334D2" w:rsidRPr="00131981" w:rsidRDefault="004334D2" w:rsidP="00E06D0C">
            <w:pPr>
              <w:spacing w:before="60" w:after="60"/>
              <w:ind w:right="57"/>
              <w:rPr>
                <w:rFonts w:cs="Arial"/>
                <w:sz w:val="20"/>
              </w:rPr>
            </w:pPr>
            <w:r>
              <w:rPr>
                <w:rFonts w:cs="Arial"/>
                <w:sz w:val="20"/>
              </w:rPr>
              <w:t>Management of the SWDS</w:t>
            </w:r>
          </w:p>
        </w:tc>
      </w:tr>
      <w:tr w:rsidR="004334D2" w:rsidRPr="00131981" w14:paraId="46F24A93" w14:textId="77777777" w:rsidTr="00073748">
        <w:tc>
          <w:tcPr>
            <w:tcW w:w="2405" w:type="dxa"/>
            <w:shd w:val="clear" w:color="auto" w:fill="E6E6E6"/>
          </w:tcPr>
          <w:p w14:paraId="5A8E3CF7"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1DC5C3B9" w14:textId="77777777" w:rsidR="004334D2" w:rsidRPr="00131981" w:rsidRDefault="004334D2" w:rsidP="00E06D0C">
            <w:pPr>
              <w:spacing w:before="60" w:after="60"/>
              <w:ind w:right="57"/>
              <w:rPr>
                <w:rFonts w:cs="Arial"/>
                <w:sz w:val="20"/>
              </w:rPr>
            </w:pPr>
            <w:r>
              <w:rPr>
                <w:rFonts w:cs="Arial"/>
                <w:sz w:val="20"/>
              </w:rPr>
              <w:t>-</w:t>
            </w:r>
          </w:p>
        </w:tc>
      </w:tr>
      <w:tr w:rsidR="004334D2" w:rsidRPr="00131981" w14:paraId="2A7318AD" w14:textId="77777777" w:rsidTr="00073748">
        <w:tc>
          <w:tcPr>
            <w:tcW w:w="2405" w:type="dxa"/>
            <w:shd w:val="clear" w:color="auto" w:fill="E6E6E6"/>
          </w:tcPr>
          <w:p w14:paraId="5823D659"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71E2F237" w14:textId="50BEA040" w:rsidR="004334D2" w:rsidRPr="00131981" w:rsidRDefault="004334D2" w:rsidP="00E06D0C">
            <w:pPr>
              <w:spacing w:before="60" w:after="60"/>
              <w:ind w:right="57"/>
              <w:rPr>
                <w:rFonts w:cs="Arial"/>
                <w:sz w:val="20"/>
              </w:rPr>
            </w:pPr>
            <w:r>
              <w:rPr>
                <w:rFonts w:cs="Arial"/>
                <w:sz w:val="20"/>
              </w:rPr>
              <w:t xml:space="preserve">N/A. This parameter is monitored to ensure compliance with the applicability condition that </w:t>
            </w:r>
            <w:r w:rsidRPr="006E3F67">
              <w:rPr>
                <w:rFonts w:cs="Arial"/>
                <w:sz w:val="20"/>
              </w:rPr>
              <w:t xml:space="preserve">the management of the SWDS in the </w:t>
            </w:r>
            <w:r w:rsidR="005704AC">
              <w:rPr>
                <w:rFonts w:cs="Arial"/>
                <w:sz w:val="20"/>
              </w:rPr>
              <w:t>Article 6.4 activity</w:t>
            </w:r>
            <w:r w:rsidRPr="006E3F67">
              <w:rPr>
                <w:rFonts w:cs="Arial"/>
                <w:sz w:val="20"/>
              </w:rPr>
              <w:t xml:space="preserve"> is </w:t>
            </w:r>
            <w:r>
              <w:rPr>
                <w:rFonts w:cs="Arial"/>
                <w:sz w:val="20"/>
              </w:rPr>
              <w:t xml:space="preserve">not </w:t>
            </w:r>
            <w:r w:rsidRPr="006E3F67">
              <w:rPr>
                <w:rFonts w:cs="Arial"/>
                <w:sz w:val="20"/>
              </w:rPr>
              <w:t xml:space="preserve">deliberately changed during the crediting in order to increase methane generation (for example by recirculating the leachate) compared to the situation prior to the implementation of the </w:t>
            </w:r>
            <w:r w:rsidR="005704AC">
              <w:rPr>
                <w:rFonts w:cs="Arial"/>
                <w:sz w:val="20"/>
              </w:rPr>
              <w:t>Article 6.4 activity</w:t>
            </w:r>
          </w:p>
        </w:tc>
      </w:tr>
      <w:tr w:rsidR="004334D2" w:rsidRPr="00131981" w14:paraId="6FBC92E1" w14:textId="77777777" w:rsidTr="00073748">
        <w:tc>
          <w:tcPr>
            <w:tcW w:w="2405" w:type="dxa"/>
            <w:shd w:val="clear" w:color="auto" w:fill="E6E6E6"/>
          </w:tcPr>
          <w:p w14:paraId="1C865F85"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354" w:type="dxa"/>
            <w:gridSpan w:val="2"/>
          </w:tcPr>
          <w:p w14:paraId="6A0B2D68" w14:textId="77777777" w:rsidR="004334D2" w:rsidRPr="00131981" w:rsidRDefault="004334D2" w:rsidP="00E06D0C">
            <w:pPr>
              <w:keepNext/>
              <w:spacing w:before="60" w:after="60"/>
              <w:ind w:right="57"/>
              <w:rPr>
                <w:rFonts w:cs="Arial"/>
                <w:sz w:val="20"/>
              </w:rPr>
            </w:pPr>
            <w:r>
              <w:rPr>
                <w:rFonts w:asciiTheme="minorBidi" w:hAnsiTheme="minorBidi" w:cstheme="minorBidi"/>
                <w:sz w:val="20"/>
                <w:shd w:val="clear" w:color="auto" w:fill="E6E6E6"/>
              </w:rPr>
              <w:fldChar w:fldCharType="begin">
                <w:ffData>
                  <w:name w:val=""/>
                  <w:enabled/>
                  <w:calcOnExit w:val="0"/>
                  <w:checkBox>
                    <w:size w:val="20"/>
                    <w:default w:val="1"/>
                  </w:checkBox>
                </w:ffData>
              </w:fldChar>
            </w:r>
            <w:r>
              <w:rPr>
                <w:rFonts w:asciiTheme="minorBidi" w:hAnsiTheme="minorBidi" w:cstheme="minorBidi"/>
                <w:sz w:val="20"/>
                <w:shd w:val="clear" w:color="auto" w:fill="E6E6E6"/>
              </w:rPr>
              <w:instrText xml:space="preserve"> FORMCHECKBOX </w:instrText>
            </w:r>
            <w:r w:rsidR="00302468">
              <w:rPr>
                <w:rFonts w:asciiTheme="minorBidi" w:hAnsiTheme="minorBidi" w:cstheme="minorBidi"/>
                <w:sz w:val="20"/>
                <w:shd w:val="clear" w:color="auto" w:fill="E6E6E6"/>
              </w:rPr>
            </w:r>
            <w:r w:rsidR="00302468">
              <w:rPr>
                <w:rFonts w:asciiTheme="minorBidi" w:hAnsiTheme="minorBidi" w:cstheme="minorBidi"/>
                <w:sz w:val="20"/>
                <w:shd w:val="clear" w:color="auto" w:fill="E6E6E6"/>
              </w:rPr>
              <w:fldChar w:fldCharType="separate"/>
            </w:r>
            <w:r>
              <w:rPr>
                <w:rFonts w:asciiTheme="minorBidi" w:hAnsiTheme="minorBidi" w:cstheme="minorBidi"/>
                <w:sz w:val="20"/>
                <w:shd w:val="clear" w:color="auto" w:fill="E6E6E6"/>
              </w:rPr>
              <w:fldChar w:fldCharType="end"/>
            </w:r>
            <w:r w:rsidRPr="00131981">
              <w:rPr>
                <w:rFonts w:asciiTheme="minorBidi" w:hAnsiTheme="minorBidi" w:cstheme="minorBidi"/>
                <w:sz w:val="20"/>
              </w:rPr>
              <w:t xml:space="preserve"> Baseline emissions</w:t>
            </w:r>
          </w:p>
        </w:tc>
        <w:tc>
          <w:tcPr>
            <w:tcW w:w="2336" w:type="dxa"/>
          </w:tcPr>
          <w:p w14:paraId="49D9E28C" w14:textId="42F08216" w:rsidR="004334D2" w:rsidRPr="00131981" w:rsidRDefault="004334D2" w:rsidP="00E06D0C">
            <w:pPr>
              <w:keepNext/>
              <w:spacing w:before="60" w:after="60"/>
              <w:ind w:right="57"/>
              <w:rPr>
                <w:rFonts w:cs="Arial"/>
                <w:sz w:val="20"/>
              </w:rPr>
            </w:pPr>
            <w:r w:rsidRPr="00A2328E">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00131981">
              <w:rPr>
                <w:rFonts w:asciiTheme="minorBidi" w:hAnsiTheme="minorBidi" w:cstheme="minorBidi"/>
                <w:sz w:val="20"/>
              </w:rPr>
              <w:instrText xml:space="preserve"> FORMCHECKBOX </w:instrText>
            </w:r>
            <w:r w:rsidR="00302468">
              <w:rPr>
                <w:rFonts w:asciiTheme="minorBidi" w:hAnsiTheme="minorBidi" w:cstheme="minorBidi"/>
                <w:sz w:val="20"/>
                <w:shd w:val="clear" w:color="auto" w:fill="E6E6E6"/>
              </w:rPr>
            </w:r>
            <w:r w:rsidR="00302468">
              <w:rPr>
                <w:rFonts w:asciiTheme="minorBidi" w:hAnsiTheme="minorBidi" w:cstheme="minorBidi"/>
                <w:sz w:val="20"/>
                <w:shd w:val="clear" w:color="auto" w:fill="E6E6E6"/>
              </w:rPr>
              <w:fldChar w:fldCharType="separate"/>
            </w:r>
            <w:r w:rsidRPr="00A2328E">
              <w:rPr>
                <w:rFonts w:asciiTheme="minorBidi" w:hAnsiTheme="minorBidi" w:cstheme="minorBidi"/>
                <w:sz w:val="20"/>
                <w:shd w:val="clear" w:color="auto" w:fill="E6E6E6"/>
              </w:rPr>
              <w:fldChar w:fldCharType="end"/>
            </w:r>
            <w:r w:rsidRPr="00131981">
              <w:rPr>
                <w:rFonts w:asciiTheme="minorBidi" w:hAnsiTheme="minorBidi" w:cstheme="minorBidi"/>
                <w:sz w:val="20"/>
              </w:rPr>
              <w:t xml:space="preserve"> </w:t>
            </w:r>
            <w:r w:rsidR="005704AC">
              <w:rPr>
                <w:rFonts w:asciiTheme="minorBidi" w:hAnsiTheme="minorBidi" w:cstheme="minorBidi"/>
                <w:sz w:val="20"/>
              </w:rPr>
              <w:t>Project emissions</w:t>
            </w:r>
          </w:p>
        </w:tc>
        <w:tc>
          <w:tcPr>
            <w:tcW w:w="2256" w:type="dxa"/>
          </w:tcPr>
          <w:p w14:paraId="46D4E0B0" w14:textId="77777777" w:rsidR="004334D2" w:rsidRPr="00131981" w:rsidRDefault="004334D2" w:rsidP="00E06D0C">
            <w:pPr>
              <w:keepNext/>
              <w:spacing w:before="60" w:after="60"/>
              <w:ind w:right="57"/>
              <w:rPr>
                <w:rFonts w:cs="Arial"/>
                <w:sz w:val="20"/>
              </w:rPr>
            </w:pPr>
            <w:r w:rsidRPr="00A2328E">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00131981">
              <w:rPr>
                <w:rFonts w:asciiTheme="minorBidi" w:hAnsiTheme="minorBidi" w:cstheme="minorBidi"/>
                <w:sz w:val="20"/>
              </w:rPr>
              <w:instrText xml:space="preserve"> FORMCHECKBOX </w:instrText>
            </w:r>
            <w:r w:rsidR="00302468">
              <w:rPr>
                <w:rFonts w:asciiTheme="minorBidi" w:hAnsiTheme="minorBidi" w:cstheme="minorBidi"/>
                <w:sz w:val="20"/>
                <w:shd w:val="clear" w:color="auto" w:fill="E6E6E6"/>
              </w:rPr>
            </w:r>
            <w:r w:rsidR="00302468">
              <w:rPr>
                <w:rFonts w:asciiTheme="minorBidi" w:hAnsiTheme="minorBidi" w:cstheme="minorBidi"/>
                <w:sz w:val="20"/>
                <w:shd w:val="clear" w:color="auto" w:fill="E6E6E6"/>
              </w:rPr>
              <w:fldChar w:fldCharType="separate"/>
            </w:r>
            <w:r w:rsidRPr="00A2328E">
              <w:rPr>
                <w:rFonts w:asciiTheme="minorBidi" w:hAnsiTheme="minorBidi" w:cstheme="minorBidi"/>
                <w:sz w:val="20"/>
                <w:shd w:val="clear" w:color="auto" w:fill="E6E6E6"/>
              </w:rPr>
              <w:fldChar w:fldCharType="end"/>
            </w:r>
            <w:r w:rsidRPr="00131981">
              <w:rPr>
                <w:rFonts w:asciiTheme="minorBidi" w:hAnsiTheme="minorBidi" w:cstheme="minorBidi"/>
                <w:sz w:val="20"/>
              </w:rPr>
              <w:t xml:space="preserve"> Leakage emissions</w:t>
            </w:r>
          </w:p>
        </w:tc>
      </w:tr>
      <w:tr w:rsidR="004334D2" w:rsidRPr="00131981" w14:paraId="1C5F5D36" w14:textId="77777777" w:rsidTr="00073748">
        <w:tc>
          <w:tcPr>
            <w:tcW w:w="2405" w:type="dxa"/>
            <w:shd w:val="clear" w:color="auto" w:fill="E6E6E6"/>
          </w:tcPr>
          <w:p w14:paraId="305BC4DD"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4B9C2754" w14:textId="77777777" w:rsidR="004334D2" w:rsidRPr="00D354FB" w:rsidRDefault="004334D2" w:rsidP="00DA05CE">
            <w:pPr>
              <w:keepNext/>
              <w:spacing w:before="60" w:after="60"/>
              <w:ind w:right="57"/>
              <w:rPr>
                <w:rFonts w:cs="Arial"/>
                <w:sz w:val="20"/>
              </w:rPr>
            </w:pPr>
            <w:r w:rsidRPr="00D354FB">
              <w:rPr>
                <w:rFonts w:cs="Arial"/>
                <w:sz w:val="20"/>
              </w:rPr>
              <w:t>Use different sources of data:</w:t>
            </w:r>
          </w:p>
          <w:p w14:paraId="409DA193" w14:textId="77777777" w:rsidR="004334D2" w:rsidRPr="00D354FB" w:rsidRDefault="004334D2" w:rsidP="00E06D0C">
            <w:pPr>
              <w:spacing w:before="60" w:after="60"/>
              <w:ind w:right="57"/>
              <w:rPr>
                <w:rFonts w:cs="Arial"/>
                <w:sz w:val="20"/>
              </w:rPr>
            </w:pPr>
            <w:r w:rsidRPr="00D354FB">
              <w:rPr>
                <w:rFonts w:cs="Arial"/>
                <w:sz w:val="20"/>
              </w:rPr>
              <w:t xml:space="preserve">(a) Original design of the </w:t>
            </w:r>
            <w:r>
              <w:rPr>
                <w:rFonts w:cs="Arial"/>
                <w:sz w:val="20"/>
              </w:rPr>
              <w:t>SWDS</w:t>
            </w:r>
            <w:r w:rsidRPr="00D354FB">
              <w:rPr>
                <w:rFonts w:cs="Arial"/>
                <w:sz w:val="20"/>
              </w:rPr>
              <w:t>;</w:t>
            </w:r>
          </w:p>
          <w:p w14:paraId="7A4C58FE" w14:textId="77777777" w:rsidR="004334D2" w:rsidRPr="00D354FB" w:rsidRDefault="004334D2" w:rsidP="00E06D0C">
            <w:pPr>
              <w:spacing w:before="60" w:after="60"/>
              <w:ind w:right="57"/>
              <w:rPr>
                <w:rFonts w:cs="Arial"/>
                <w:sz w:val="20"/>
              </w:rPr>
            </w:pPr>
            <w:r w:rsidRPr="00D354FB">
              <w:rPr>
                <w:rFonts w:cs="Arial"/>
                <w:sz w:val="20"/>
              </w:rPr>
              <w:t>(b) Technical specifications for the management of the SWDS;</w:t>
            </w:r>
          </w:p>
          <w:p w14:paraId="5DFF0B3F" w14:textId="77777777" w:rsidR="004334D2" w:rsidRPr="00131981" w:rsidRDefault="004334D2" w:rsidP="00E06D0C">
            <w:pPr>
              <w:spacing w:before="60" w:after="60"/>
              <w:ind w:right="57"/>
              <w:rPr>
                <w:rFonts w:cs="Arial"/>
                <w:sz w:val="20"/>
              </w:rPr>
            </w:pPr>
            <w:r w:rsidRPr="00D354FB">
              <w:rPr>
                <w:rFonts w:cs="Arial"/>
                <w:sz w:val="20"/>
              </w:rPr>
              <w:t>(c) Local or national regulations</w:t>
            </w:r>
          </w:p>
        </w:tc>
      </w:tr>
      <w:tr w:rsidR="004334D2" w:rsidRPr="00131981" w14:paraId="2B7270F4" w14:textId="77777777" w:rsidTr="00073748">
        <w:trPr>
          <w:trHeight w:val="107"/>
        </w:trPr>
        <w:tc>
          <w:tcPr>
            <w:tcW w:w="2405" w:type="dxa"/>
            <w:shd w:val="clear" w:color="auto" w:fill="E6E6E6"/>
          </w:tcPr>
          <w:p w14:paraId="1187949F"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195D4D7D" w14:textId="77777777" w:rsidR="004334D2" w:rsidRPr="00BA35A7" w:rsidRDefault="004334D2" w:rsidP="00E06D0C">
            <w:pPr>
              <w:pStyle w:val="ParaTickBox"/>
              <w:tabs>
                <w:tab w:val="clear" w:pos="510"/>
              </w:tabs>
              <w:ind w:left="0" w:right="57" w:firstLine="0"/>
              <w:jc w:val="both"/>
              <w:rPr>
                <w:szCs w:val="20"/>
              </w:rPr>
            </w:pPr>
            <w:r w:rsidRPr="00BA35A7">
              <w:rPr>
                <w:szCs w:val="20"/>
              </w:rPr>
              <w:t>Activity participants</w:t>
            </w:r>
          </w:p>
        </w:tc>
      </w:tr>
      <w:tr w:rsidR="004334D2" w:rsidRPr="00131981" w14:paraId="786D3FBE" w14:textId="77777777" w:rsidTr="00073748">
        <w:trPr>
          <w:trHeight w:val="107"/>
        </w:trPr>
        <w:tc>
          <w:tcPr>
            <w:tcW w:w="2405" w:type="dxa"/>
            <w:vMerge w:val="restart"/>
            <w:shd w:val="clear" w:color="auto" w:fill="E6E6E6"/>
          </w:tcPr>
          <w:p w14:paraId="6064117D"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441" w:type="dxa"/>
          </w:tcPr>
          <w:p w14:paraId="79FFC1DF" w14:textId="77777777" w:rsidR="004334D2" w:rsidRPr="00131981" w:rsidRDefault="004334D2" w:rsidP="00E06D0C">
            <w:pPr>
              <w:spacing w:before="60" w:after="60"/>
              <w:ind w:right="57"/>
              <w:jc w:val="right"/>
              <w:rPr>
                <w:rFonts w:cs="Arial"/>
                <w:i/>
                <w:iCs/>
                <w:sz w:val="20"/>
              </w:rPr>
            </w:pPr>
            <w:r w:rsidRPr="00131981">
              <w:rPr>
                <w:rFonts w:cs="Arial"/>
                <w:i/>
                <w:iCs/>
                <w:sz w:val="20"/>
              </w:rPr>
              <w:t>Type of instrument</w:t>
            </w:r>
          </w:p>
        </w:tc>
        <w:tc>
          <w:tcPr>
            <w:tcW w:w="5505" w:type="dxa"/>
            <w:gridSpan w:val="3"/>
          </w:tcPr>
          <w:p w14:paraId="63BD8391"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6E1A1717" w14:textId="77777777" w:rsidTr="00073748">
        <w:trPr>
          <w:trHeight w:val="104"/>
        </w:trPr>
        <w:tc>
          <w:tcPr>
            <w:tcW w:w="2405" w:type="dxa"/>
            <w:vMerge/>
          </w:tcPr>
          <w:p w14:paraId="123355B6" w14:textId="77777777" w:rsidR="004334D2" w:rsidRPr="00131981" w:rsidRDefault="004334D2" w:rsidP="00247E9F">
            <w:pPr>
              <w:numPr>
                <w:ilvl w:val="1"/>
                <w:numId w:val="3"/>
              </w:numPr>
              <w:spacing w:before="60" w:after="60"/>
              <w:ind w:right="57"/>
              <w:rPr>
                <w:rFonts w:cs="Arial"/>
                <w:sz w:val="20"/>
              </w:rPr>
            </w:pPr>
          </w:p>
        </w:tc>
        <w:tc>
          <w:tcPr>
            <w:tcW w:w="1441" w:type="dxa"/>
          </w:tcPr>
          <w:p w14:paraId="566BD9FE" w14:textId="77777777" w:rsidR="004334D2" w:rsidRPr="00131981" w:rsidRDefault="004334D2" w:rsidP="00E06D0C">
            <w:pPr>
              <w:spacing w:before="60" w:after="60"/>
              <w:ind w:right="57"/>
              <w:jc w:val="right"/>
              <w:rPr>
                <w:rFonts w:cs="Arial"/>
                <w:i/>
                <w:iCs/>
                <w:sz w:val="20"/>
              </w:rPr>
            </w:pPr>
            <w:r w:rsidRPr="00131981">
              <w:rPr>
                <w:rFonts w:cs="Arial"/>
                <w:i/>
                <w:iCs/>
                <w:sz w:val="20"/>
              </w:rPr>
              <w:t>Accuracy class</w:t>
            </w:r>
          </w:p>
        </w:tc>
        <w:tc>
          <w:tcPr>
            <w:tcW w:w="5505" w:type="dxa"/>
            <w:gridSpan w:val="3"/>
          </w:tcPr>
          <w:p w14:paraId="0296CBEE"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4303260C" w14:textId="77777777" w:rsidTr="00073748">
        <w:trPr>
          <w:trHeight w:val="104"/>
        </w:trPr>
        <w:tc>
          <w:tcPr>
            <w:tcW w:w="2405" w:type="dxa"/>
            <w:vMerge/>
          </w:tcPr>
          <w:p w14:paraId="79F4BEF2" w14:textId="77777777" w:rsidR="004334D2" w:rsidRPr="00131981" w:rsidRDefault="004334D2" w:rsidP="00247E9F">
            <w:pPr>
              <w:numPr>
                <w:ilvl w:val="1"/>
                <w:numId w:val="3"/>
              </w:numPr>
              <w:spacing w:before="60" w:after="60"/>
              <w:ind w:right="57"/>
              <w:rPr>
                <w:rFonts w:cs="Arial"/>
                <w:sz w:val="20"/>
              </w:rPr>
            </w:pPr>
          </w:p>
        </w:tc>
        <w:tc>
          <w:tcPr>
            <w:tcW w:w="1441" w:type="dxa"/>
          </w:tcPr>
          <w:p w14:paraId="3D4E48EB" w14:textId="77777777" w:rsidR="004334D2" w:rsidRPr="00131981" w:rsidRDefault="004334D2" w:rsidP="00E06D0C">
            <w:pPr>
              <w:spacing w:before="60" w:after="60"/>
              <w:ind w:right="57"/>
              <w:jc w:val="right"/>
              <w:rPr>
                <w:rFonts w:cs="Arial"/>
                <w:i/>
                <w:iCs/>
                <w:sz w:val="20"/>
              </w:rPr>
            </w:pPr>
            <w:r w:rsidRPr="00131981">
              <w:rPr>
                <w:rFonts w:cs="Arial"/>
                <w:i/>
                <w:iCs/>
                <w:sz w:val="20"/>
              </w:rPr>
              <w:t>Calibration requirements</w:t>
            </w:r>
          </w:p>
        </w:tc>
        <w:tc>
          <w:tcPr>
            <w:tcW w:w="5505" w:type="dxa"/>
            <w:gridSpan w:val="3"/>
          </w:tcPr>
          <w:p w14:paraId="7F5034B6" w14:textId="77777777" w:rsidR="004334D2" w:rsidRPr="00A2328E" w:rsidRDefault="004334D2" w:rsidP="00E06D0C">
            <w:pPr>
              <w:tabs>
                <w:tab w:val="left" w:pos="567"/>
              </w:tabs>
              <w:spacing w:before="20" w:after="20"/>
              <w:ind w:right="161"/>
              <w:rPr>
                <w:rFonts w:ascii="Calibri" w:hAnsi="Calibri" w:cs="Calibri"/>
                <w:i/>
                <w:iCs/>
                <w:szCs w:val="22"/>
              </w:rPr>
            </w:pPr>
            <w:r>
              <w:rPr>
                <w:rFonts w:cs="Arial"/>
                <w:sz w:val="20"/>
              </w:rPr>
              <w:t>N/A</w:t>
            </w:r>
          </w:p>
        </w:tc>
      </w:tr>
      <w:tr w:rsidR="004334D2" w:rsidRPr="00131981" w14:paraId="4BFF45C2" w14:textId="77777777" w:rsidTr="00073748">
        <w:trPr>
          <w:trHeight w:val="104"/>
        </w:trPr>
        <w:tc>
          <w:tcPr>
            <w:tcW w:w="2405" w:type="dxa"/>
            <w:vMerge/>
          </w:tcPr>
          <w:p w14:paraId="6AD784FB" w14:textId="77777777" w:rsidR="004334D2" w:rsidRPr="00131981" w:rsidRDefault="004334D2" w:rsidP="00247E9F">
            <w:pPr>
              <w:numPr>
                <w:ilvl w:val="1"/>
                <w:numId w:val="3"/>
              </w:numPr>
              <w:spacing w:before="60" w:after="60"/>
              <w:ind w:right="57"/>
              <w:rPr>
                <w:rFonts w:cs="Arial"/>
                <w:sz w:val="20"/>
              </w:rPr>
            </w:pPr>
          </w:p>
        </w:tc>
        <w:tc>
          <w:tcPr>
            <w:tcW w:w="1441" w:type="dxa"/>
          </w:tcPr>
          <w:p w14:paraId="69157D3A" w14:textId="77777777" w:rsidR="004334D2" w:rsidRPr="00131981" w:rsidRDefault="004334D2" w:rsidP="00E06D0C">
            <w:pPr>
              <w:spacing w:before="60" w:after="60"/>
              <w:ind w:right="57"/>
              <w:jc w:val="right"/>
              <w:rPr>
                <w:rFonts w:cs="Arial"/>
                <w:i/>
                <w:iCs/>
                <w:sz w:val="20"/>
              </w:rPr>
            </w:pPr>
            <w:r w:rsidRPr="00131981">
              <w:rPr>
                <w:rFonts w:cs="Arial"/>
                <w:i/>
                <w:iCs/>
                <w:sz w:val="20"/>
              </w:rPr>
              <w:t>Location</w:t>
            </w:r>
          </w:p>
        </w:tc>
        <w:tc>
          <w:tcPr>
            <w:tcW w:w="5505" w:type="dxa"/>
            <w:gridSpan w:val="3"/>
          </w:tcPr>
          <w:p w14:paraId="78721792"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47BC7658" w14:textId="77777777" w:rsidTr="00073748">
        <w:tc>
          <w:tcPr>
            <w:tcW w:w="2405" w:type="dxa"/>
            <w:shd w:val="clear" w:color="auto" w:fill="E6E6E6"/>
          </w:tcPr>
          <w:p w14:paraId="1B23F7EC"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4DEAE769" w14:textId="77777777" w:rsidR="004334D2" w:rsidRPr="00BA35A7" w:rsidRDefault="004334D2" w:rsidP="00E06D0C">
            <w:pPr>
              <w:pStyle w:val="ParaTickBox"/>
              <w:tabs>
                <w:tab w:val="clear" w:pos="510"/>
              </w:tabs>
              <w:ind w:left="0" w:right="57" w:firstLine="0"/>
              <w:jc w:val="both"/>
              <w:rPr>
                <w:szCs w:val="20"/>
              </w:rPr>
            </w:pPr>
            <w:r w:rsidRPr="00BA35A7">
              <w:rPr>
                <w:szCs w:val="20"/>
              </w:rPr>
              <w:t>Annually</w:t>
            </w:r>
          </w:p>
        </w:tc>
      </w:tr>
      <w:tr w:rsidR="004334D2" w:rsidRPr="00131981" w14:paraId="4D0023BB" w14:textId="77777777" w:rsidTr="00073748">
        <w:tc>
          <w:tcPr>
            <w:tcW w:w="2405" w:type="dxa"/>
            <w:shd w:val="clear" w:color="auto" w:fill="E6E6E6"/>
          </w:tcPr>
          <w:p w14:paraId="2414E796"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51052242" w14:textId="77777777" w:rsidR="004334D2" w:rsidRPr="00BA35A7" w:rsidRDefault="004334D2" w:rsidP="00E06D0C">
            <w:pPr>
              <w:pStyle w:val="ParaTickBox"/>
              <w:tabs>
                <w:tab w:val="clear" w:pos="510"/>
              </w:tabs>
              <w:ind w:left="0" w:right="57" w:firstLine="0"/>
              <w:jc w:val="both"/>
              <w:rPr>
                <w:szCs w:val="20"/>
              </w:rPr>
            </w:pPr>
            <w:r w:rsidRPr="00BA35A7">
              <w:rPr>
                <w:szCs w:val="20"/>
              </w:rPr>
              <w:t>-</w:t>
            </w:r>
          </w:p>
        </w:tc>
      </w:tr>
      <w:tr w:rsidR="004334D2" w:rsidRPr="00AE7BE8" w14:paraId="6371CAEC" w14:textId="77777777" w:rsidTr="00073748">
        <w:tc>
          <w:tcPr>
            <w:tcW w:w="2405" w:type="dxa"/>
            <w:shd w:val="clear" w:color="auto" w:fill="E6E6E6"/>
          </w:tcPr>
          <w:p w14:paraId="19678A0A" w14:textId="77777777" w:rsidR="004334D2" w:rsidRPr="00AE7BE8" w:rsidRDefault="004334D2" w:rsidP="00E06D0C">
            <w:pPr>
              <w:pStyle w:val="ParaTickBox"/>
              <w:tabs>
                <w:tab w:val="clear" w:pos="510"/>
              </w:tabs>
              <w:ind w:left="0" w:right="57" w:firstLine="0"/>
              <w:rPr>
                <w:szCs w:val="20"/>
              </w:rPr>
            </w:pPr>
            <w:r>
              <w:rPr>
                <w:szCs w:val="20"/>
              </w:rPr>
              <w:t>Treatment of uncertainties</w:t>
            </w:r>
          </w:p>
        </w:tc>
        <w:tc>
          <w:tcPr>
            <w:tcW w:w="6946" w:type="dxa"/>
            <w:gridSpan w:val="4"/>
          </w:tcPr>
          <w:p w14:paraId="34275197" w14:textId="77777777" w:rsidR="004334D2" w:rsidRDefault="004334D2" w:rsidP="00E06D0C">
            <w:pPr>
              <w:pStyle w:val="ParaTickBox"/>
              <w:tabs>
                <w:tab w:val="clear" w:pos="510"/>
              </w:tabs>
              <w:ind w:left="0" w:right="57" w:firstLine="0"/>
              <w:jc w:val="both"/>
              <w:rPr>
                <w:szCs w:val="20"/>
              </w:rPr>
            </w:pPr>
            <w:r>
              <w:rPr>
                <w:szCs w:val="20"/>
              </w:rPr>
              <w:t>N/A</w:t>
            </w:r>
          </w:p>
        </w:tc>
      </w:tr>
      <w:tr w:rsidR="004334D2" w:rsidRPr="00131981" w14:paraId="21A78437" w14:textId="77777777" w:rsidTr="00073748">
        <w:tc>
          <w:tcPr>
            <w:tcW w:w="2405" w:type="dxa"/>
            <w:shd w:val="clear" w:color="auto" w:fill="E6E6E6"/>
          </w:tcPr>
          <w:p w14:paraId="1F829B00"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70810B9D" w14:textId="4E19DCD3" w:rsidR="004334D2" w:rsidRPr="00BA35A7" w:rsidRDefault="004334D2" w:rsidP="00E06D0C">
            <w:pPr>
              <w:pStyle w:val="ParaTickBox"/>
              <w:tabs>
                <w:tab w:val="clear" w:pos="510"/>
              </w:tabs>
              <w:ind w:left="0" w:right="57" w:firstLine="0"/>
              <w:jc w:val="both"/>
              <w:rPr>
                <w:szCs w:val="20"/>
              </w:rPr>
            </w:pPr>
            <w:r>
              <w:rPr>
                <w:szCs w:val="20"/>
              </w:rPr>
              <w:t xml:space="preserve">For Article 6.4 activities that determine the </w:t>
            </w:r>
            <w:r w:rsidRPr="00446481">
              <w:rPr>
                <w:i/>
                <w:iCs/>
                <w:szCs w:val="20"/>
              </w:rPr>
              <w:t>OX</w:t>
            </w:r>
            <w:r w:rsidRPr="00446481">
              <w:rPr>
                <w:i/>
                <w:iCs/>
                <w:szCs w:val="20"/>
                <w:vertAlign w:val="subscript"/>
              </w:rPr>
              <w:t>y</w:t>
            </w:r>
            <w:r>
              <w:rPr>
                <w:szCs w:val="20"/>
              </w:rPr>
              <w:t xml:space="preserve"> based on Option</w:t>
            </w:r>
            <w:r w:rsidR="003C2D11">
              <w:rPr>
                <w:szCs w:val="20"/>
              </w:rPr>
              <w:t> </w:t>
            </w:r>
            <w:r>
              <w:rPr>
                <w:szCs w:val="20"/>
              </w:rPr>
              <w:t xml:space="preserve">1, the type of cover used under the activity scenario must be the same as the one used historically. </w:t>
            </w:r>
            <w:r w:rsidR="00B275A4">
              <w:rPr>
                <w:szCs w:val="20"/>
              </w:rPr>
              <w:t>Evidence</w:t>
            </w:r>
            <w:r>
              <w:rPr>
                <w:szCs w:val="20"/>
              </w:rPr>
              <w:t xml:space="preserve"> that the type of cover before and after the implementation of the Article 6.4 activity is the same must be provided to the DOE undertaking the verification</w:t>
            </w:r>
          </w:p>
        </w:tc>
      </w:tr>
    </w:tbl>
    <w:p w14:paraId="32880753" w14:textId="0992194E"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14</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41"/>
        <w:gridCol w:w="913"/>
        <w:gridCol w:w="2336"/>
        <w:gridCol w:w="2256"/>
      </w:tblGrid>
      <w:tr w:rsidR="004334D2" w:rsidRPr="00131981" w14:paraId="6C44BA89" w14:textId="77777777" w:rsidTr="00073748">
        <w:tc>
          <w:tcPr>
            <w:tcW w:w="2405" w:type="dxa"/>
            <w:shd w:val="clear" w:color="auto" w:fill="E6E6E6"/>
          </w:tcPr>
          <w:p w14:paraId="278DD0B9" w14:textId="77777777" w:rsidR="004334D2" w:rsidRPr="00131981" w:rsidRDefault="004334D2" w:rsidP="00E06D0C">
            <w:pPr>
              <w:spacing w:before="60" w:after="60"/>
              <w:ind w:right="57"/>
              <w:rPr>
                <w:rFonts w:cs="Arial"/>
                <w:b/>
                <w:bCs/>
                <w:sz w:val="20"/>
              </w:rPr>
            </w:pPr>
            <w:r w:rsidRPr="00131981">
              <w:rPr>
                <w:rFonts w:cs="Arial"/>
                <w:b/>
                <w:bCs/>
                <w:sz w:val="20"/>
              </w:rPr>
              <w:t>Data/parameter</w:t>
            </w:r>
          </w:p>
        </w:tc>
        <w:tc>
          <w:tcPr>
            <w:tcW w:w="6946" w:type="dxa"/>
            <w:gridSpan w:val="4"/>
          </w:tcPr>
          <w:p w14:paraId="068D0D52" w14:textId="77777777" w:rsidR="004334D2" w:rsidRPr="00965EF3" w:rsidRDefault="004334D2" w:rsidP="00E06D0C">
            <w:pPr>
              <w:spacing w:before="60" w:after="60"/>
              <w:ind w:right="57"/>
              <w:rPr>
                <w:rFonts w:cs="Arial"/>
                <w:b/>
                <w:bCs/>
                <w:i/>
                <w:iCs/>
                <w:sz w:val="20"/>
              </w:rPr>
            </w:pPr>
            <w:r>
              <w:rPr>
                <w:rFonts w:cs="Arial"/>
                <w:b/>
                <w:bCs/>
                <w:i/>
                <w:iCs/>
                <w:sz w:val="20"/>
              </w:rPr>
              <w:t xml:space="preserve">Amount of organic fraction </w:t>
            </w:r>
          </w:p>
        </w:tc>
      </w:tr>
      <w:tr w:rsidR="004334D2" w:rsidRPr="00131981" w14:paraId="47F6A65B" w14:textId="77777777" w:rsidTr="00073748">
        <w:tc>
          <w:tcPr>
            <w:tcW w:w="2405" w:type="dxa"/>
            <w:shd w:val="clear" w:color="auto" w:fill="E6E6E6"/>
          </w:tcPr>
          <w:p w14:paraId="23B4F901" w14:textId="77777777" w:rsidR="004334D2" w:rsidRPr="00131981" w:rsidRDefault="004334D2" w:rsidP="00E06D0C">
            <w:pPr>
              <w:spacing w:before="60" w:after="60"/>
              <w:ind w:right="57"/>
              <w:rPr>
                <w:rFonts w:cs="Arial"/>
                <w:sz w:val="20"/>
              </w:rPr>
            </w:pPr>
            <w:r w:rsidRPr="00131981">
              <w:rPr>
                <w:rFonts w:cs="Arial"/>
                <w:sz w:val="20"/>
              </w:rPr>
              <w:t>Description</w:t>
            </w:r>
          </w:p>
        </w:tc>
        <w:tc>
          <w:tcPr>
            <w:tcW w:w="6946" w:type="dxa"/>
            <w:gridSpan w:val="4"/>
          </w:tcPr>
          <w:p w14:paraId="70C1701B" w14:textId="77777777" w:rsidR="004334D2" w:rsidRPr="004576D8" w:rsidRDefault="004334D2" w:rsidP="00E06D0C">
            <w:pPr>
              <w:spacing w:before="60" w:after="60"/>
              <w:ind w:right="57"/>
              <w:rPr>
                <w:rFonts w:cs="Arial"/>
                <w:sz w:val="20"/>
                <w:szCs w:val="18"/>
              </w:rPr>
            </w:pPr>
            <w:r w:rsidRPr="004576D8">
              <w:rPr>
                <w:rFonts w:cs="Arial"/>
                <w:sz w:val="20"/>
                <w:szCs w:val="18"/>
              </w:rPr>
              <w:t xml:space="preserve">Amount of organic fraction recycled impacted by the </w:t>
            </w:r>
            <w:r>
              <w:rPr>
                <w:rFonts w:cs="Arial"/>
                <w:sz w:val="20"/>
                <w:szCs w:val="18"/>
              </w:rPr>
              <w:t>Article 6.4 activity</w:t>
            </w:r>
          </w:p>
        </w:tc>
      </w:tr>
      <w:tr w:rsidR="004334D2" w:rsidRPr="00131981" w14:paraId="3EC088D7" w14:textId="77777777" w:rsidTr="00073748">
        <w:tc>
          <w:tcPr>
            <w:tcW w:w="2405" w:type="dxa"/>
            <w:shd w:val="clear" w:color="auto" w:fill="E6E6E6"/>
          </w:tcPr>
          <w:p w14:paraId="5C58D649"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57219791" w14:textId="77777777" w:rsidR="004334D2" w:rsidRPr="004576D8" w:rsidRDefault="004334D2" w:rsidP="00E06D0C">
            <w:pPr>
              <w:spacing w:before="60" w:after="60"/>
              <w:ind w:right="57"/>
              <w:rPr>
                <w:rFonts w:cs="Arial"/>
                <w:sz w:val="20"/>
                <w:szCs w:val="18"/>
              </w:rPr>
            </w:pPr>
            <w:r w:rsidRPr="004576D8">
              <w:rPr>
                <w:rFonts w:cs="Arial"/>
                <w:sz w:val="20"/>
                <w:szCs w:val="18"/>
              </w:rPr>
              <w:t>tonnes or %</w:t>
            </w:r>
          </w:p>
        </w:tc>
      </w:tr>
      <w:tr w:rsidR="004334D2" w:rsidRPr="00131981" w14:paraId="5B9C6DC9" w14:textId="77777777" w:rsidTr="00073748">
        <w:tc>
          <w:tcPr>
            <w:tcW w:w="2405" w:type="dxa"/>
            <w:shd w:val="clear" w:color="auto" w:fill="E6E6E6"/>
          </w:tcPr>
          <w:p w14:paraId="7B4E80E9"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0DB45E90" w14:textId="51395940" w:rsidR="004334D2" w:rsidRPr="00131981" w:rsidRDefault="004334D2" w:rsidP="00E06D0C">
            <w:pPr>
              <w:spacing w:before="60" w:after="60"/>
              <w:ind w:right="57"/>
              <w:rPr>
                <w:rFonts w:cs="Arial"/>
                <w:sz w:val="20"/>
              </w:rPr>
            </w:pPr>
            <w:r>
              <w:rPr>
                <w:rFonts w:cs="Arial"/>
                <w:sz w:val="20"/>
              </w:rPr>
              <w:t xml:space="preserve">N/A. This parameter is monitored to ensure compliance with the applicability condition that </w:t>
            </w:r>
            <w:r w:rsidRPr="00842FDF">
              <w:rPr>
                <w:rFonts w:cs="Arial"/>
                <w:sz w:val="20"/>
              </w:rPr>
              <w:t xml:space="preserve">the project does not reduce the amount of organic waste that would be recycled in the absence of the </w:t>
            </w:r>
            <w:r>
              <w:rPr>
                <w:rFonts w:cs="Arial"/>
                <w:sz w:val="20"/>
              </w:rPr>
              <w:t>Article 6.4 activity</w:t>
            </w:r>
          </w:p>
        </w:tc>
      </w:tr>
      <w:tr w:rsidR="004334D2" w:rsidRPr="00131981" w14:paraId="7719F102" w14:textId="77777777" w:rsidTr="00073748">
        <w:tc>
          <w:tcPr>
            <w:tcW w:w="2405" w:type="dxa"/>
            <w:shd w:val="clear" w:color="auto" w:fill="E6E6E6"/>
          </w:tcPr>
          <w:p w14:paraId="1B2CB00F"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354" w:type="dxa"/>
            <w:gridSpan w:val="2"/>
          </w:tcPr>
          <w:p w14:paraId="1C6AE27A" w14:textId="77777777" w:rsidR="004334D2" w:rsidRPr="00131981" w:rsidRDefault="004334D2" w:rsidP="00E06D0C">
            <w:pPr>
              <w:keepNext/>
              <w:spacing w:before="60" w:after="60"/>
              <w:ind w:right="57"/>
              <w:rPr>
                <w:rFonts w:cs="Arial"/>
                <w:sz w:val="20"/>
              </w:rPr>
            </w:pPr>
            <w:r>
              <w:rPr>
                <w:rFonts w:asciiTheme="minorBidi" w:hAnsiTheme="minorBidi" w:cstheme="minorBidi"/>
                <w:sz w:val="20"/>
                <w:shd w:val="clear" w:color="auto" w:fill="E6E6E6"/>
              </w:rPr>
              <w:fldChar w:fldCharType="begin">
                <w:ffData>
                  <w:name w:val=""/>
                  <w:enabled/>
                  <w:calcOnExit w:val="0"/>
                  <w:checkBox>
                    <w:size w:val="20"/>
                    <w:default w:val="1"/>
                  </w:checkBox>
                </w:ffData>
              </w:fldChar>
            </w:r>
            <w:r>
              <w:rPr>
                <w:rFonts w:asciiTheme="minorBidi" w:hAnsiTheme="minorBidi" w:cstheme="minorBidi"/>
                <w:sz w:val="20"/>
                <w:shd w:val="clear" w:color="auto" w:fill="E6E6E6"/>
              </w:rPr>
              <w:instrText xml:space="preserve"> FORMCHECKBOX </w:instrText>
            </w:r>
            <w:r w:rsidR="00302468">
              <w:rPr>
                <w:rFonts w:asciiTheme="minorBidi" w:hAnsiTheme="minorBidi" w:cstheme="minorBidi"/>
                <w:sz w:val="20"/>
                <w:shd w:val="clear" w:color="auto" w:fill="E6E6E6"/>
              </w:rPr>
            </w:r>
            <w:r w:rsidR="00302468">
              <w:rPr>
                <w:rFonts w:asciiTheme="minorBidi" w:hAnsiTheme="minorBidi" w:cstheme="minorBidi"/>
                <w:sz w:val="20"/>
                <w:shd w:val="clear" w:color="auto" w:fill="E6E6E6"/>
              </w:rPr>
              <w:fldChar w:fldCharType="separate"/>
            </w:r>
            <w:r>
              <w:rPr>
                <w:rFonts w:asciiTheme="minorBidi" w:hAnsiTheme="minorBidi" w:cstheme="minorBidi"/>
                <w:sz w:val="20"/>
                <w:shd w:val="clear" w:color="auto" w:fill="E6E6E6"/>
              </w:rPr>
              <w:fldChar w:fldCharType="end"/>
            </w:r>
            <w:r w:rsidRPr="00131981">
              <w:rPr>
                <w:rFonts w:asciiTheme="minorBidi" w:hAnsiTheme="minorBidi" w:cstheme="minorBidi"/>
                <w:sz w:val="20"/>
              </w:rPr>
              <w:t xml:space="preserve"> Baseline emissions</w:t>
            </w:r>
          </w:p>
        </w:tc>
        <w:tc>
          <w:tcPr>
            <w:tcW w:w="2336" w:type="dxa"/>
          </w:tcPr>
          <w:p w14:paraId="4B7F308C" w14:textId="1FBB5D49" w:rsidR="004334D2" w:rsidRPr="00131981" w:rsidRDefault="004334D2" w:rsidP="00E06D0C">
            <w:pPr>
              <w:keepNext/>
              <w:spacing w:before="60" w:after="60"/>
              <w:ind w:right="57"/>
              <w:rPr>
                <w:rFonts w:cs="Arial"/>
                <w:sz w:val="20"/>
              </w:rPr>
            </w:pPr>
            <w:r w:rsidRPr="00A2328E">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00131981">
              <w:rPr>
                <w:rFonts w:asciiTheme="minorBidi" w:hAnsiTheme="minorBidi" w:cstheme="minorBidi"/>
                <w:sz w:val="20"/>
              </w:rPr>
              <w:instrText xml:space="preserve"> FORMCHECKBOX </w:instrText>
            </w:r>
            <w:r w:rsidR="00302468">
              <w:rPr>
                <w:rFonts w:asciiTheme="minorBidi" w:hAnsiTheme="minorBidi" w:cstheme="minorBidi"/>
                <w:sz w:val="20"/>
                <w:shd w:val="clear" w:color="auto" w:fill="E6E6E6"/>
              </w:rPr>
            </w:r>
            <w:r w:rsidR="00302468">
              <w:rPr>
                <w:rFonts w:asciiTheme="minorBidi" w:hAnsiTheme="minorBidi" w:cstheme="minorBidi"/>
                <w:sz w:val="20"/>
                <w:shd w:val="clear" w:color="auto" w:fill="E6E6E6"/>
              </w:rPr>
              <w:fldChar w:fldCharType="separate"/>
            </w:r>
            <w:r w:rsidRPr="00A2328E">
              <w:rPr>
                <w:rFonts w:asciiTheme="minorBidi" w:hAnsiTheme="minorBidi" w:cstheme="minorBidi"/>
                <w:sz w:val="20"/>
                <w:shd w:val="clear" w:color="auto" w:fill="E6E6E6"/>
              </w:rPr>
              <w:fldChar w:fldCharType="end"/>
            </w:r>
            <w:r w:rsidRPr="00131981">
              <w:rPr>
                <w:rFonts w:asciiTheme="minorBidi" w:hAnsiTheme="minorBidi" w:cstheme="minorBidi"/>
                <w:sz w:val="20"/>
              </w:rPr>
              <w:t xml:space="preserve"> </w:t>
            </w:r>
            <w:r w:rsidR="005704AC">
              <w:rPr>
                <w:rFonts w:asciiTheme="minorBidi" w:hAnsiTheme="minorBidi" w:cstheme="minorBidi"/>
                <w:sz w:val="20"/>
              </w:rPr>
              <w:t>Project emissions</w:t>
            </w:r>
          </w:p>
        </w:tc>
        <w:tc>
          <w:tcPr>
            <w:tcW w:w="2256" w:type="dxa"/>
          </w:tcPr>
          <w:p w14:paraId="6976369C" w14:textId="77777777" w:rsidR="004334D2" w:rsidRPr="00131981" w:rsidRDefault="004334D2" w:rsidP="00E06D0C">
            <w:pPr>
              <w:keepNext/>
              <w:spacing w:before="60" w:after="60"/>
              <w:ind w:right="57"/>
              <w:rPr>
                <w:rFonts w:cs="Arial"/>
                <w:sz w:val="20"/>
              </w:rPr>
            </w:pPr>
            <w:r w:rsidRPr="00A2328E">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00131981">
              <w:rPr>
                <w:rFonts w:asciiTheme="minorBidi" w:hAnsiTheme="minorBidi" w:cstheme="minorBidi"/>
                <w:sz w:val="20"/>
              </w:rPr>
              <w:instrText xml:space="preserve"> FORMCHECKBOX </w:instrText>
            </w:r>
            <w:r w:rsidR="00302468">
              <w:rPr>
                <w:rFonts w:asciiTheme="minorBidi" w:hAnsiTheme="minorBidi" w:cstheme="minorBidi"/>
                <w:sz w:val="20"/>
                <w:shd w:val="clear" w:color="auto" w:fill="E6E6E6"/>
              </w:rPr>
            </w:r>
            <w:r w:rsidR="00302468">
              <w:rPr>
                <w:rFonts w:asciiTheme="minorBidi" w:hAnsiTheme="minorBidi" w:cstheme="minorBidi"/>
                <w:sz w:val="20"/>
                <w:shd w:val="clear" w:color="auto" w:fill="E6E6E6"/>
              </w:rPr>
              <w:fldChar w:fldCharType="separate"/>
            </w:r>
            <w:r w:rsidRPr="00A2328E">
              <w:rPr>
                <w:rFonts w:asciiTheme="minorBidi" w:hAnsiTheme="minorBidi" w:cstheme="minorBidi"/>
                <w:sz w:val="20"/>
                <w:shd w:val="clear" w:color="auto" w:fill="E6E6E6"/>
              </w:rPr>
              <w:fldChar w:fldCharType="end"/>
            </w:r>
            <w:r w:rsidRPr="00131981">
              <w:rPr>
                <w:rFonts w:asciiTheme="minorBidi" w:hAnsiTheme="minorBidi" w:cstheme="minorBidi"/>
                <w:sz w:val="20"/>
              </w:rPr>
              <w:t xml:space="preserve"> Leakage emissions</w:t>
            </w:r>
          </w:p>
        </w:tc>
      </w:tr>
      <w:tr w:rsidR="004334D2" w:rsidRPr="00131981" w14:paraId="7ECB81E9" w14:textId="77777777" w:rsidTr="00073748">
        <w:tc>
          <w:tcPr>
            <w:tcW w:w="2405" w:type="dxa"/>
            <w:shd w:val="clear" w:color="auto" w:fill="E6E6E6"/>
          </w:tcPr>
          <w:p w14:paraId="393FE0F9"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62A6850D" w14:textId="77777777" w:rsidR="004334D2" w:rsidRPr="00617529" w:rsidRDefault="004334D2" w:rsidP="003630AA">
            <w:pPr>
              <w:pStyle w:val="ListParagraph"/>
              <w:numPr>
                <w:ilvl w:val="0"/>
                <w:numId w:val="27"/>
              </w:numPr>
              <w:tabs>
                <w:tab w:val="left" w:pos="353"/>
              </w:tabs>
              <w:spacing w:before="60" w:after="60"/>
              <w:ind w:right="57"/>
              <w:rPr>
                <w:rFonts w:cs="Arial"/>
                <w:sz w:val="20"/>
              </w:rPr>
            </w:pPr>
            <w:r w:rsidRPr="00617529">
              <w:rPr>
                <w:rFonts w:cs="Arial"/>
                <w:sz w:val="20"/>
              </w:rPr>
              <w:t>Determine the yearly amount of organic waste disposed in the SWDS by multiplying the amount of waste disposed in the SWDS (</w:t>
            </w:r>
            <w:r w:rsidRPr="00617529">
              <w:rPr>
                <w:rFonts w:cs="Arial"/>
                <w:i/>
                <w:iCs/>
                <w:sz w:val="20"/>
              </w:rPr>
              <w:t>W</w:t>
            </w:r>
            <w:r w:rsidRPr="00617529">
              <w:rPr>
                <w:rFonts w:cs="Arial"/>
                <w:i/>
                <w:iCs/>
                <w:sz w:val="20"/>
                <w:vertAlign w:val="subscript"/>
              </w:rPr>
              <w:t>x</w:t>
            </w:r>
            <w:r w:rsidRPr="00617529">
              <w:rPr>
                <w:rFonts w:cs="Arial"/>
                <w:sz w:val="20"/>
              </w:rPr>
              <w:t xml:space="preserve"> or </w:t>
            </w:r>
            <w:r w:rsidRPr="00617529">
              <w:rPr>
                <w:rFonts w:cs="Arial"/>
                <w:i/>
                <w:iCs/>
                <w:sz w:val="20"/>
              </w:rPr>
              <w:t>W</w:t>
            </w:r>
            <w:r w:rsidRPr="00617529">
              <w:rPr>
                <w:rFonts w:cs="Arial"/>
                <w:i/>
                <w:iCs/>
                <w:sz w:val="20"/>
                <w:vertAlign w:val="subscript"/>
              </w:rPr>
              <w:t>i</w:t>
            </w:r>
            <w:r w:rsidRPr="00617529">
              <w:rPr>
                <w:rFonts w:cs="Arial"/>
                <w:sz w:val="20"/>
              </w:rPr>
              <w:t>) by the organic fraction of the waste (</w:t>
            </w:r>
            <w:r w:rsidRPr="00617529">
              <w:rPr>
                <w:rFonts w:cs="Arial"/>
                <w:i/>
                <w:iCs/>
                <w:sz w:val="20"/>
              </w:rPr>
              <w:t>p</w:t>
            </w:r>
            <w:r w:rsidRPr="00617529">
              <w:rPr>
                <w:rFonts w:cs="Arial"/>
                <w:i/>
                <w:iCs/>
                <w:sz w:val="20"/>
                <w:vertAlign w:val="subscript"/>
              </w:rPr>
              <w:t>n,j,x</w:t>
            </w:r>
            <w:r w:rsidRPr="00617529">
              <w:rPr>
                <w:rFonts w:cs="Arial"/>
                <w:sz w:val="20"/>
              </w:rPr>
              <w:t xml:space="preserve"> or </w:t>
            </w:r>
            <w:r w:rsidRPr="00617529">
              <w:rPr>
                <w:rFonts w:cs="Arial"/>
                <w:i/>
                <w:iCs/>
                <w:sz w:val="20"/>
              </w:rPr>
              <w:t>p</w:t>
            </w:r>
            <w:r w:rsidRPr="00617529">
              <w:rPr>
                <w:rFonts w:cs="Arial"/>
                <w:i/>
                <w:iCs/>
                <w:sz w:val="20"/>
                <w:vertAlign w:val="subscript"/>
              </w:rPr>
              <w:t>n,j,i</w:t>
            </w:r>
            <w:r w:rsidRPr="00617529">
              <w:rPr>
                <w:rFonts w:cs="Arial"/>
                <w:sz w:val="20"/>
              </w:rPr>
              <w:t xml:space="preserve">), following the monitoring requirements of these parameters from </w:t>
            </w:r>
            <w:r>
              <w:rPr>
                <w:rFonts w:cs="Arial"/>
                <w:sz w:val="20"/>
              </w:rPr>
              <w:t>solid waste tool</w:t>
            </w:r>
            <w:r w:rsidRPr="00617529">
              <w:rPr>
                <w:rFonts w:cs="Arial"/>
                <w:sz w:val="20"/>
              </w:rPr>
              <w:t>, with samples of waste collected at least every year;</w:t>
            </w:r>
          </w:p>
          <w:p w14:paraId="294B2056" w14:textId="179FC3DA" w:rsidR="004334D2" w:rsidRPr="00617529" w:rsidRDefault="004334D2" w:rsidP="003630AA">
            <w:pPr>
              <w:pStyle w:val="ListParagraph"/>
              <w:numPr>
                <w:ilvl w:val="0"/>
                <w:numId w:val="27"/>
              </w:numPr>
              <w:tabs>
                <w:tab w:val="left" w:pos="353"/>
              </w:tabs>
              <w:spacing w:before="60" w:after="60"/>
              <w:ind w:right="57"/>
              <w:rPr>
                <w:rFonts w:cs="Arial"/>
                <w:sz w:val="20"/>
              </w:rPr>
            </w:pPr>
            <w:r w:rsidRPr="00617529">
              <w:rPr>
                <w:rFonts w:cs="Arial"/>
                <w:sz w:val="20"/>
              </w:rPr>
              <w:t xml:space="preserve">Describe the prevailing waste management practices pertinent to organic waste recycling in the area that is served by the SWDS identified during the validation of the PDD to comply with the requirements of paragraph </w:t>
            </w:r>
            <w:r>
              <w:rPr>
                <w:rFonts w:cs="Arial"/>
                <w:sz w:val="20"/>
              </w:rPr>
              <w:fldChar w:fldCharType="begin"/>
            </w:r>
            <w:r>
              <w:rPr>
                <w:rFonts w:cs="Arial"/>
                <w:sz w:val="20"/>
              </w:rPr>
              <w:instrText xml:space="preserve"> REF _Ref208231359 \w \p \h </w:instrText>
            </w:r>
            <w:r>
              <w:rPr>
                <w:rFonts w:cs="Arial"/>
                <w:sz w:val="20"/>
              </w:rPr>
            </w:r>
            <w:r>
              <w:rPr>
                <w:rFonts w:cs="Arial"/>
                <w:sz w:val="20"/>
              </w:rPr>
              <w:fldChar w:fldCharType="separate"/>
            </w:r>
            <w:r w:rsidR="00302468">
              <w:rPr>
                <w:rFonts w:cs="Arial"/>
                <w:sz w:val="20"/>
                <w:cs/>
              </w:rPr>
              <w:t>‎</w:t>
            </w:r>
            <w:r w:rsidR="00302468">
              <w:rPr>
                <w:rFonts w:cs="Arial"/>
                <w:sz w:val="20"/>
              </w:rPr>
              <w:t>13 above</w:t>
            </w:r>
            <w:r>
              <w:rPr>
                <w:rFonts w:cs="Arial"/>
                <w:sz w:val="20"/>
              </w:rPr>
              <w:fldChar w:fldCharType="end"/>
            </w:r>
            <w:r w:rsidRPr="00617529">
              <w:rPr>
                <w:rFonts w:cs="Arial"/>
                <w:sz w:val="20"/>
              </w:rPr>
              <w:t>;</w:t>
            </w:r>
          </w:p>
          <w:p w14:paraId="42244A33" w14:textId="77777777" w:rsidR="004334D2" w:rsidRPr="00617529" w:rsidRDefault="004334D2" w:rsidP="003630AA">
            <w:pPr>
              <w:pStyle w:val="ListParagraph"/>
              <w:numPr>
                <w:ilvl w:val="0"/>
                <w:numId w:val="27"/>
              </w:numPr>
              <w:tabs>
                <w:tab w:val="left" w:pos="353"/>
              </w:tabs>
              <w:spacing w:before="60" w:after="60"/>
              <w:ind w:right="57"/>
              <w:rPr>
                <w:rFonts w:cs="Arial"/>
                <w:sz w:val="20"/>
              </w:rPr>
            </w:pPr>
            <w:r w:rsidRPr="00617529">
              <w:rPr>
                <w:rFonts w:cs="Arial"/>
                <w:sz w:val="20"/>
              </w:rPr>
              <w:t>Identify the facility(ies) that recycle organic waste in the area identified in (a) above;</w:t>
            </w:r>
          </w:p>
          <w:p w14:paraId="053F60E5" w14:textId="77777777" w:rsidR="004334D2" w:rsidRPr="00617529" w:rsidRDefault="004334D2" w:rsidP="003630AA">
            <w:pPr>
              <w:pStyle w:val="ListParagraph"/>
              <w:numPr>
                <w:ilvl w:val="0"/>
                <w:numId w:val="27"/>
              </w:numPr>
              <w:tabs>
                <w:tab w:val="left" w:pos="353"/>
              </w:tabs>
              <w:spacing w:before="60" w:after="60"/>
              <w:ind w:right="57"/>
              <w:rPr>
                <w:rFonts w:cs="Arial"/>
                <w:sz w:val="20"/>
              </w:rPr>
            </w:pPr>
            <w:r w:rsidRPr="00617529">
              <w:rPr>
                <w:sz w:val="20"/>
              </w:rPr>
              <w:t xml:space="preserve">Activity participant may conduct interviews with authorities, refer to national/local statistics or studies related to solid waste management in the area, and obtain opinion from relevant local experts. If data is available for the historical amount of organic waste recycled and the annual amount of organic waste for the recycling facility during the implementation of the </w:t>
            </w:r>
            <w:r>
              <w:rPr>
                <w:sz w:val="20"/>
              </w:rPr>
              <w:t>Article 6.4 activity</w:t>
            </w:r>
            <w:r w:rsidRPr="00617529">
              <w:rPr>
                <w:sz w:val="20"/>
              </w:rPr>
              <w:t>, a comparison can be done to conclude that there is no change in the amount of recycled organic fraction of the waste</w:t>
            </w:r>
            <w:r>
              <w:rPr>
                <w:sz w:val="20"/>
              </w:rPr>
              <w:t xml:space="preserve"> by existing facilities</w:t>
            </w:r>
            <w:r w:rsidRPr="00617529">
              <w:rPr>
                <w:sz w:val="20"/>
              </w:rPr>
              <w:t>;</w:t>
            </w:r>
          </w:p>
          <w:p w14:paraId="6B74E6EA" w14:textId="4DD56E34" w:rsidR="004334D2" w:rsidRPr="00617529" w:rsidRDefault="004334D2" w:rsidP="003630AA">
            <w:pPr>
              <w:pStyle w:val="ListParagraph"/>
              <w:numPr>
                <w:ilvl w:val="0"/>
                <w:numId w:val="27"/>
              </w:numPr>
              <w:tabs>
                <w:tab w:val="left" w:pos="353"/>
              </w:tabs>
              <w:spacing w:before="60" w:after="60"/>
              <w:ind w:right="57"/>
              <w:rPr>
                <w:rFonts w:cs="Arial"/>
                <w:sz w:val="20"/>
              </w:rPr>
            </w:pPr>
            <w:r w:rsidRPr="00617529">
              <w:rPr>
                <w:rFonts w:cs="Arial"/>
                <w:sz w:val="20"/>
              </w:rPr>
              <w:t>In case there is extra capacity in the identified recycling facilities, activity participants may provide evidence that there is surplus organic waste available in the area. Activity participants may use other evidence to conclude that there is no diversion of the organic fraction of the solid waste that would have been processed by the recycling facility</w:t>
            </w:r>
          </w:p>
        </w:tc>
      </w:tr>
      <w:tr w:rsidR="004334D2" w:rsidRPr="00131981" w14:paraId="1C7FE83F" w14:textId="77777777" w:rsidTr="00073748">
        <w:trPr>
          <w:trHeight w:val="107"/>
        </w:trPr>
        <w:tc>
          <w:tcPr>
            <w:tcW w:w="2405" w:type="dxa"/>
            <w:shd w:val="clear" w:color="auto" w:fill="E6E6E6"/>
          </w:tcPr>
          <w:p w14:paraId="6043BEDB"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21FDB11A" w14:textId="77777777" w:rsidR="004334D2" w:rsidRPr="00BA35A7" w:rsidRDefault="004334D2" w:rsidP="00E06D0C">
            <w:pPr>
              <w:pStyle w:val="ParaTickBox"/>
              <w:tabs>
                <w:tab w:val="clear" w:pos="510"/>
              </w:tabs>
              <w:ind w:left="0" w:right="57" w:firstLine="0"/>
              <w:jc w:val="both"/>
              <w:rPr>
                <w:szCs w:val="20"/>
              </w:rPr>
            </w:pPr>
            <w:r w:rsidRPr="00BA35A7">
              <w:rPr>
                <w:szCs w:val="20"/>
              </w:rPr>
              <w:t>Activity participants</w:t>
            </w:r>
          </w:p>
        </w:tc>
      </w:tr>
      <w:tr w:rsidR="004334D2" w:rsidRPr="00131981" w14:paraId="7B3B0CCE" w14:textId="77777777" w:rsidTr="00073748">
        <w:trPr>
          <w:trHeight w:val="107"/>
        </w:trPr>
        <w:tc>
          <w:tcPr>
            <w:tcW w:w="2405" w:type="dxa"/>
            <w:vMerge w:val="restart"/>
            <w:shd w:val="clear" w:color="auto" w:fill="E6E6E6"/>
          </w:tcPr>
          <w:p w14:paraId="71FD7C65"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441" w:type="dxa"/>
          </w:tcPr>
          <w:p w14:paraId="249A21C9" w14:textId="77777777" w:rsidR="004334D2" w:rsidRPr="00131981" w:rsidRDefault="004334D2" w:rsidP="00E06D0C">
            <w:pPr>
              <w:spacing w:before="60" w:after="60"/>
              <w:ind w:right="57"/>
              <w:jc w:val="right"/>
              <w:rPr>
                <w:rFonts w:cs="Arial"/>
                <w:i/>
                <w:iCs/>
                <w:sz w:val="20"/>
              </w:rPr>
            </w:pPr>
            <w:r w:rsidRPr="00131981">
              <w:rPr>
                <w:rFonts w:cs="Arial"/>
                <w:i/>
                <w:iCs/>
                <w:sz w:val="20"/>
              </w:rPr>
              <w:t>Type of instrument</w:t>
            </w:r>
          </w:p>
        </w:tc>
        <w:tc>
          <w:tcPr>
            <w:tcW w:w="5505" w:type="dxa"/>
            <w:gridSpan w:val="3"/>
          </w:tcPr>
          <w:p w14:paraId="480ECF7F"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290BBB79" w14:textId="77777777" w:rsidTr="00073748">
        <w:trPr>
          <w:trHeight w:val="104"/>
        </w:trPr>
        <w:tc>
          <w:tcPr>
            <w:tcW w:w="2405" w:type="dxa"/>
            <w:vMerge/>
          </w:tcPr>
          <w:p w14:paraId="23673A97" w14:textId="77777777" w:rsidR="004334D2" w:rsidRPr="00131981" w:rsidRDefault="004334D2" w:rsidP="00247E9F">
            <w:pPr>
              <w:numPr>
                <w:ilvl w:val="1"/>
                <w:numId w:val="3"/>
              </w:numPr>
              <w:spacing w:before="60" w:after="60"/>
              <w:ind w:right="57"/>
              <w:rPr>
                <w:rFonts w:cs="Arial"/>
                <w:sz w:val="20"/>
              </w:rPr>
            </w:pPr>
          </w:p>
        </w:tc>
        <w:tc>
          <w:tcPr>
            <w:tcW w:w="1441" w:type="dxa"/>
          </w:tcPr>
          <w:p w14:paraId="4A3F8128" w14:textId="77777777" w:rsidR="004334D2" w:rsidRPr="00131981" w:rsidRDefault="004334D2" w:rsidP="00E06D0C">
            <w:pPr>
              <w:spacing w:before="60" w:after="60"/>
              <w:ind w:right="57"/>
              <w:jc w:val="right"/>
              <w:rPr>
                <w:rFonts w:cs="Arial"/>
                <w:i/>
                <w:iCs/>
                <w:sz w:val="20"/>
              </w:rPr>
            </w:pPr>
            <w:r w:rsidRPr="00131981">
              <w:rPr>
                <w:rFonts w:cs="Arial"/>
                <w:i/>
                <w:iCs/>
                <w:sz w:val="20"/>
              </w:rPr>
              <w:t>Accuracy class</w:t>
            </w:r>
          </w:p>
        </w:tc>
        <w:tc>
          <w:tcPr>
            <w:tcW w:w="5505" w:type="dxa"/>
            <w:gridSpan w:val="3"/>
          </w:tcPr>
          <w:p w14:paraId="014AAE42"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1390BBFF" w14:textId="77777777" w:rsidTr="00073748">
        <w:trPr>
          <w:trHeight w:val="104"/>
        </w:trPr>
        <w:tc>
          <w:tcPr>
            <w:tcW w:w="2405" w:type="dxa"/>
            <w:vMerge/>
          </w:tcPr>
          <w:p w14:paraId="4223CBDA" w14:textId="77777777" w:rsidR="004334D2" w:rsidRPr="00131981" w:rsidRDefault="004334D2" w:rsidP="00247E9F">
            <w:pPr>
              <w:numPr>
                <w:ilvl w:val="1"/>
                <w:numId w:val="3"/>
              </w:numPr>
              <w:spacing w:before="60" w:after="60"/>
              <w:ind w:right="57"/>
              <w:rPr>
                <w:rFonts w:cs="Arial"/>
                <w:sz w:val="20"/>
              </w:rPr>
            </w:pPr>
          </w:p>
        </w:tc>
        <w:tc>
          <w:tcPr>
            <w:tcW w:w="1441" w:type="dxa"/>
          </w:tcPr>
          <w:p w14:paraId="725046B1" w14:textId="77777777" w:rsidR="004334D2" w:rsidRPr="00131981" w:rsidRDefault="004334D2" w:rsidP="00E06D0C">
            <w:pPr>
              <w:spacing w:before="60" w:after="60"/>
              <w:ind w:right="57"/>
              <w:jc w:val="right"/>
              <w:rPr>
                <w:rFonts w:cs="Arial"/>
                <w:i/>
                <w:iCs/>
                <w:sz w:val="20"/>
              </w:rPr>
            </w:pPr>
            <w:r w:rsidRPr="00131981">
              <w:rPr>
                <w:rFonts w:cs="Arial"/>
                <w:i/>
                <w:iCs/>
                <w:sz w:val="20"/>
              </w:rPr>
              <w:t>Calibration requirements</w:t>
            </w:r>
          </w:p>
        </w:tc>
        <w:tc>
          <w:tcPr>
            <w:tcW w:w="5505" w:type="dxa"/>
            <w:gridSpan w:val="3"/>
          </w:tcPr>
          <w:p w14:paraId="0CB4EA64" w14:textId="77777777" w:rsidR="004334D2" w:rsidRPr="00A2328E" w:rsidRDefault="004334D2" w:rsidP="00E06D0C">
            <w:pPr>
              <w:tabs>
                <w:tab w:val="left" w:pos="567"/>
              </w:tabs>
              <w:spacing w:before="20" w:after="20"/>
              <w:ind w:right="161"/>
              <w:rPr>
                <w:rFonts w:ascii="Calibri" w:hAnsi="Calibri" w:cs="Calibri"/>
                <w:i/>
                <w:iCs/>
                <w:szCs w:val="22"/>
              </w:rPr>
            </w:pPr>
            <w:r>
              <w:rPr>
                <w:rFonts w:cs="Arial"/>
                <w:sz w:val="20"/>
              </w:rPr>
              <w:t>N/A</w:t>
            </w:r>
          </w:p>
        </w:tc>
      </w:tr>
      <w:tr w:rsidR="004334D2" w:rsidRPr="00131981" w14:paraId="4731C410" w14:textId="77777777" w:rsidTr="00073748">
        <w:trPr>
          <w:trHeight w:val="104"/>
        </w:trPr>
        <w:tc>
          <w:tcPr>
            <w:tcW w:w="2405" w:type="dxa"/>
            <w:vMerge/>
          </w:tcPr>
          <w:p w14:paraId="3288EBEC" w14:textId="77777777" w:rsidR="004334D2" w:rsidRPr="00131981" w:rsidRDefault="004334D2" w:rsidP="00247E9F">
            <w:pPr>
              <w:numPr>
                <w:ilvl w:val="1"/>
                <w:numId w:val="3"/>
              </w:numPr>
              <w:spacing w:before="60" w:after="60"/>
              <w:ind w:right="57"/>
              <w:rPr>
                <w:rFonts w:cs="Arial"/>
                <w:sz w:val="20"/>
              </w:rPr>
            </w:pPr>
          </w:p>
        </w:tc>
        <w:tc>
          <w:tcPr>
            <w:tcW w:w="1441" w:type="dxa"/>
          </w:tcPr>
          <w:p w14:paraId="49CF7EBF" w14:textId="77777777" w:rsidR="004334D2" w:rsidRPr="00131981" w:rsidRDefault="004334D2" w:rsidP="00E06D0C">
            <w:pPr>
              <w:spacing w:before="60" w:after="60"/>
              <w:ind w:right="57"/>
              <w:jc w:val="right"/>
              <w:rPr>
                <w:rFonts w:cs="Arial"/>
                <w:i/>
                <w:iCs/>
                <w:sz w:val="20"/>
              </w:rPr>
            </w:pPr>
            <w:r w:rsidRPr="00131981">
              <w:rPr>
                <w:rFonts w:cs="Arial"/>
                <w:i/>
                <w:iCs/>
                <w:sz w:val="20"/>
              </w:rPr>
              <w:t>Location</w:t>
            </w:r>
          </w:p>
        </w:tc>
        <w:tc>
          <w:tcPr>
            <w:tcW w:w="5505" w:type="dxa"/>
            <w:gridSpan w:val="3"/>
          </w:tcPr>
          <w:p w14:paraId="383E4033"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610132D8" w14:textId="77777777" w:rsidTr="00073748">
        <w:tc>
          <w:tcPr>
            <w:tcW w:w="2405" w:type="dxa"/>
            <w:shd w:val="clear" w:color="auto" w:fill="E6E6E6"/>
          </w:tcPr>
          <w:p w14:paraId="5B3B63FD"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1077DA5F" w14:textId="77777777" w:rsidR="004334D2" w:rsidRPr="00BA35A7" w:rsidRDefault="004334D2" w:rsidP="00E06D0C">
            <w:pPr>
              <w:pStyle w:val="ParaTickBox"/>
              <w:tabs>
                <w:tab w:val="clear" w:pos="510"/>
              </w:tabs>
              <w:ind w:left="0" w:right="57" w:firstLine="0"/>
              <w:jc w:val="both"/>
              <w:rPr>
                <w:szCs w:val="20"/>
              </w:rPr>
            </w:pPr>
            <w:r>
              <w:rPr>
                <w:szCs w:val="20"/>
              </w:rPr>
              <w:t>At least a</w:t>
            </w:r>
            <w:r w:rsidRPr="00BA35A7">
              <w:rPr>
                <w:szCs w:val="20"/>
              </w:rPr>
              <w:t>nnually</w:t>
            </w:r>
          </w:p>
        </w:tc>
      </w:tr>
      <w:tr w:rsidR="004334D2" w:rsidRPr="00131981" w14:paraId="635A0B2A" w14:textId="77777777" w:rsidTr="00073748">
        <w:tc>
          <w:tcPr>
            <w:tcW w:w="2405" w:type="dxa"/>
            <w:shd w:val="clear" w:color="auto" w:fill="E6E6E6"/>
          </w:tcPr>
          <w:p w14:paraId="06087B7D"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0E7616EC" w14:textId="77777777" w:rsidR="004334D2" w:rsidRPr="00BA35A7" w:rsidRDefault="004334D2" w:rsidP="00E06D0C">
            <w:pPr>
              <w:pStyle w:val="ParaTickBox"/>
              <w:tabs>
                <w:tab w:val="clear" w:pos="510"/>
              </w:tabs>
              <w:ind w:left="0" w:right="57" w:firstLine="0"/>
              <w:jc w:val="both"/>
              <w:rPr>
                <w:szCs w:val="20"/>
              </w:rPr>
            </w:pPr>
            <w:r w:rsidRPr="00BA35A7">
              <w:rPr>
                <w:szCs w:val="20"/>
              </w:rPr>
              <w:t>-</w:t>
            </w:r>
          </w:p>
        </w:tc>
      </w:tr>
      <w:tr w:rsidR="004334D2" w:rsidRPr="00AE7BE8" w14:paraId="023ACCB6" w14:textId="77777777" w:rsidTr="00073748">
        <w:tc>
          <w:tcPr>
            <w:tcW w:w="2405" w:type="dxa"/>
            <w:shd w:val="clear" w:color="auto" w:fill="E6E6E6"/>
          </w:tcPr>
          <w:p w14:paraId="106B2347" w14:textId="77777777" w:rsidR="004334D2" w:rsidRPr="00AE7BE8" w:rsidRDefault="004334D2" w:rsidP="00E06D0C">
            <w:pPr>
              <w:pStyle w:val="ParaTickBox"/>
              <w:tabs>
                <w:tab w:val="clear" w:pos="510"/>
              </w:tabs>
              <w:ind w:left="0" w:right="57" w:firstLine="0"/>
              <w:rPr>
                <w:szCs w:val="20"/>
              </w:rPr>
            </w:pPr>
            <w:r>
              <w:rPr>
                <w:szCs w:val="20"/>
              </w:rPr>
              <w:t>Treatment of uncertainties</w:t>
            </w:r>
          </w:p>
        </w:tc>
        <w:tc>
          <w:tcPr>
            <w:tcW w:w="6946" w:type="dxa"/>
            <w:gridSpan w:val="4"/>
          </w:tcPr>
          <w:p w14:paraId="7935062C" w14:textId="77777777" w:rsidR="004334D2" w:rsidRDefault="004334D2" w:rsidP="00E06D0C">
            <w:pPr>
              <w:pStyle w:val="ParaTickBox"/>
              <w:tabs>
                <w:tab w:val="clear" w:pos="510"/>
              </w:tabs>
              <w:ind w:left="0" w:right="57" w:firstLine="0"/>
              <w:jc w:val="both"/>
              <w:rPr>
                <w:szCs w:val="20"/>
              </w:rPr>
            </w:pPr>
            <w:r>
              <w:rPr>
                <w:szCs w:val="20"/>
              </w:rPr>
              <w:t>N/A</w:t>
            </w:r>
          </w:p>
        </w:tc>
      </w:tr>
      <w:tr w:rsidR="004334D2" w:rsidRPr="00131981" w14:paraId="6134C6F6" w14:textId="77777777" w:rsidTr="00073748">
        <w:tc>
          <w:tcPr>
            <w:tcW w:w="2405" w:type="dxa"/>
            <w:shd w:val="clear" w:color="auto" w:fill="E6E6E6"/>
          </w:tcPr>
          <w:p w14:paraId="24CC0603"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420F54CB" w14:textId="77777777" w:rsidR="004334D2" w:rsidRPr="00BA35A7" w:rsidRDefault="004334D2" w:rsidP="00E06D0C">
            <w:pPr>
              <w:pStyle w:val="ParaTickBox"/>
              <w:tabs>
                <w:tab w:val="clear" w:pos="510"/>
              </w:tabs>
              <w:ind w:left="0" w:right="57" w:firstLine="0"/>
              <w:jc w:val="both"/>
              <w:rPr>
                <w:szCs w:val="20"/>
              </w:rPr>
            </w:pPr>
            <w:r>
              <w:rPr>
                <w:szCs w:val="20"/>
              </w:rPr>
              <w:t>-</w:t>
            </w:r>
          </w:p>
        </w:tc>
      </w:tr>
    </w:tbl>
    <w:p w14:paraId="40C1B5B1" w14:textId="2F0E0524"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15</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41"/>
        <w:gridCol w:w="927"/>
        <w:gridCol w:w="2367"/>
        <w:gridCol w:w="2211"/>
      </w:tblGrid>
      <w:tr w:rsidR="004334D2" w:rsidRPr="00513E98" w14:paraId="5F4ACA3E" w14:textId="77777777" w:rsidTr="00073748">
        <w:tc>
          <w:tcPr>
            <w:tcW w:w="2405" w:type="dxa"/>
            <w:shd w:val="clear" w:color="auto" w:fill="E6E6E6"/>
          </w:tcPr>
          <w:p w14:paraId="62641779" w14:textId="77777777" w:rsidR="004334D2" w:rsidRPr="00131981" w:rsidRDefault="004334D2" w:rsidP="00E06D0C">
            <w:pPr>
              <w:spacing w:before="60" w:after="60"/>
              <w:ind w:right="57"/>
              <w:rPr>
                <w:rFonts w:cs="Arial"/>
                <w:b/>
                <w:bCs/>
                <w:sz w:val="20"/>
              </w:rPr>
            </w:pPr>
            <w:r w:rsidRPr="00131981">
              <w:rPr>
                <w:rFonts w:cs="Arial"/>
                <w:b/>
                <w:bCs/>
                <w:sz w:val="20"/>
              </w:rPr>
              <w:t>Data/parameter</w:t>
            </w:r>
          </w:p>
        </w:tc>
        <w:tc>
          <w:tcPr>
            <w:tcW w:w="6946" w:type="dxa"/>
            <w:gridSpan w:val="4"/>
          </w:tcPr>
          <w:p w14:paraId="34E5646F" w14:textId="5DC0747D" w:rsidR="004334D2" w:rsidRPr="00513E98" w:rsidRDefault="004334D2" w:rsidP="00E06D0C">
            <w:pPr>
              <w:spacing w:before="60" w:after="60"/>
              <w:ind w:right="57"/>
              <w:rPr>
                <w:rFonts w:cs="Arial"/>
                <w:b/>
                <w:bCs/>
                <w:sz w:val="20"/>
              </w:rPr>
            </w:pPr>
            <w:r w:rsidRPr="00BA1CA2">
              <w:rPr>
                <w:rFonts w:cs="Arial"/>
                <w:b/>
                <w:i/>
                <w:sz w:val="20"/>
              </w:rPr>
              <w:t>F</w:t>
            </w:r>
            <w:r w:rsidRPr="00BA1CA2">
              <w:rPr>
                <w:rFonts w:cs="Arial"/>
                <w:b/>
                <w:i/>
                <w:sz w:val="20"/>
                <w:vertAlign w:val="subscript"/>
              </w:rPr>
              <w:t>CH4,</w:t>
            </w:r>
            <w:r w:rsidR="003E59DC" w:rsidRPr="00BA1CA2">
              <w:rPr>
                <w:rFonts w:cs="Arial"/>
                <w:b/>
                <w:i/>
                <w:sz w:val="20"/>
                <w:vertAlign w:val="subscript"/>
              </w:rPr>
              <w:t>sent-</w:t>
            </w:r>
            <w:r w:rsidR="00006C0D" w:rsidRPr="00BA1CA2">
              <w:rPr>
                <w:rFonts w:cs="Arial"/>
                <w:b/>
                <w:bCs/>
                <w:i/>
                <w:iCs/>
                <w:sz w:val="20"/>
                <w:vertAlign w:val="subscript"/>
              </w:rPr>
              <w:t>PrimaryF</w:t>
            </w:r>
            <w:r w:rsidR="000C5395" w:rsidRPr="00BA1CA2">
              <w:rPr>
                <w:rFonts w:cs="Arial"/>
                <w:b/>
                <w:bCs/>
                <w:i/>
                <w:iCs/>
                <w:sz w:val="20"/>
                <w:vertAlign w:val="subscript"/>
              </w:rPr>
              <w:t>lare</w:t>
            </w:r>
            <w:r w:rsidR="000C5395" w:rsidRPr="00BA1CA2">
              <w:rPr>
                <w:rFonts w:cs="Arial"/>
                <w:b/>
                <w:i/>
                <w:sz w:val="20"/>
                <w:vertAlign w:val="subscript"/>
              </w:rPr>
              <w:t>,y</w:t>
            </w:r>
            <w:r w:rsidRPr="00BA1CA2">
              <w:rPr>
                <w:rFonts w:cs="Arial"/>
                <w:b/>
                <w:bCs/>
                <w:i/>
                <w:iCs/>
                <w:sz w:val="20"/>
              </w:rPr>
              <w:t xml:space="preserve"> </w:t>
            </w:r>
            <w:r w:rsidR="00006C0D" w:rsidRPr="00BA1CA2">
              <w:rPr>
                <w:rFonts w:cs="Arial"/>
                <w:b/>
                <w:bCs/>
                <w:i/>
                <w:iCs/>
                <w:sz w:val="20"/>
              </w:rPr>
              <w:t xml:space="preserve">; </w:t>
            </w:r>
            <w:r w:rsidRPr="00BA1CA2">
              <w:rPr>
                <w:rFonts w:cs="Arial"/>
                <w:b/>
                <w:i/>
                <w:sz w:val="20"/>
              </w:rPr>
              <w:t>F</w:t>
            </w:r>
            <w:r w:rsidRPr="00BA1CA2">
              <w:rPr>
                <w:rFonts w:cs="Arial"/>
                <w:b/>
                <w:i/>
                <w:sz w:val="20"/>
                <w:vertAlign w:val="subscript"/>
              </w:rPr>
              <w:t>CH4,</w:t>
            </w:r>
            <w:r w:rsidR="003E59DC" w:rsidRPr="00BA1CA2">
              <w:rPr>
                <w:rFonts w:cs="Arial"/>
                <w:b/>
                <w:i/>
                <w:sz w:val="20"/>
                <w:vertAlign w:val="subscript"/>
              </w:rPr>
              <w:t>sent-</w:t>
            </w:r>
            <w:r w:rsidR="00006C0D" w:rsidRPr="00BA1CA2">
              <w:rPr>
                <w:rFonts w:cs="Arial"/>
                <w:b/>
                <w:bCs/>
                <w:i/>
                <w:iCs/>
                <w:sz w:val="20"/>
                <w:vertAlign w:val="subscript"/>
              </w:rPr>
              <w:t>BackupFlare,y</w:t>
            </w:r>
            <w:r w:rsidR="00006C0D" w:rsidRPr="00BA1CA2">
              <w:rPr>
                <w:rFonts w:cs="Arial"/>
                <w:b/>
                <w:bCs/>
                <w:i/>
                <w:iCs/>
                <w:sz w:val="20"/>
              </w:rPr>
              <w:t xml:space="preserve"> ; </w:t>
            </w:r>
            <w:r w:rsidRPr="00BA1CA2">
              <w:rPr>
                <w:rFonts w:cs="Arial"/>
                <w:b/>
                <w:bCs/>
                <w:i/>
                <w:iCs/>
                <w:sz w:val="20"/>
              </w:rPr>
              <w:t>F</w:t>
            </w:r>
            <w:r w:rsidRPr="00BA1CA2">
              <w:rPr>
                <w:rFonts w:cs="Arial"/>
                <w:b/>
                <w:bCs/>
                <w:i/>
                <w:iCs/>
                <w:sz w:val="20"/>
                <w:vertAlign w:val="subscript"/>
              </w:rPr>
              <w:t>CH4,EL,y</w:t>
            </w:r>
            <w:r w:rsidRPr="00BA1CA2">
              <w:rPr>
                <w:rFonts w:cs="Arial"/>
                <w:b/>
                <w:bCs/>
                <w:i/>
                <w:iCs/>
                <w:sz w:val="20"/>
              </w:rPr>
              <w:t xml:space="preserve"> ; F</w:t>
            </w:r>
            <w:r w:rsidRPr="00BA1CA2">
              <w:rPr>
                <w:rFonts w:cs="Arial"/>
                <w:b/>
                <w:bCs/>
                <w:i/>
                <w:iCs/>
                <w:sz w:val="20"/>
                <w:vertAlign w:val="subscript"/>
              </w:rPr>
              <w:t>CH4,HG,y</w:t>
            </w:r>
            <w:r w:rsidRPr="00BA1CA2">
              <w:rPr>
                <w:rFonts w:cs="Arial"/>
                <w:b/>
                <w:bCs/>
                <w:i/>
                <w:iCs/>
                <w:sz w:val="20"/>
              </w:rPr>
              <w:t xml:space="preserve"> ; F</w:t>
            </w:r>
            <w:r w:rsidRPr="00BA1CA2">
              <w:rPr>
                <w:rFonts w:cs="Arial"/>
                <w:b/>
                <w:bCs/>
                <w:i/>
                <w:iCs/>
                <w:sz w:val="20"/>
                <w:vertAlign w:val="subscript"/>
              </w:rPr>
              <w:t>CH4,HG,kiln,h</w:t>
            </w:r>
            <w:r w:rsidRPr="00BA1CA2">
              <w:rPr>
                <w:rFonts w:cs="Arial"/>
                <w:b/>
                <w:bCs/>
                <w:i/>
                <w:iCs/>
                <w:sz w:val="20"/>
              </w:rPr>
              <w:t xml:space="preserve"> ; F</w:t>
            </w:r>
            <w:r w:rsidRPr="00BA1CA2">
              <w:rPr>
                <w:rFonts w:cs="Arial"/>
                <w:b/>
                <w:bCs/>
                <w:i/>
                <w:iCs/>
                <w:sz w:val="20"/>
                <w:vertAlign w:val="subscript"/>
              </w:rPr>
              <w:t>CH4,NG,y</w:t>
            </w:r>
            <w:r w:rsidRPr="00BA1CA2">
              <w:rPr>
                <w:rFonts w:cs="Arial"/>
                <w:b/>
                <w:bCs/>
                <w:i/>
                <w:iCs/>
                <w:sz w:val="20"/>
              </w:rPr>
              <w:t xml:space="preserve"> ; F</w:t>
            </w:r>
            <w:r w:rsidRPr="00BA1CA2">
              <w:rPr>
                <w:rFonts w:cs="Arial"/>
                <w:b/>
                <w:bCs/>
                <w:i/>
                <w:iCs/>
                <w:sz w:val="20"/>
                <w:vertAlign w:val="subscript"/>
              </w:rPr>
              <w:t>CH4,NG-cons,y</w:t>
            </w:r>
            <w:r w:rsidRPr="00BA1CA2">
              <w:rPr>
                <w:rFonts w:cs="Arial"/>
                <w:b/>
                <w:bCs/>
                <w:i/>
                <w:iCs/>
                <w:sz w:val="20"/>
              </w:rPr>
              <w:t xml:space="preserve"> ; F</w:t>
            </w:r>
            <w:r w:rsidRPr="00BA1CA2">
              <w:rPr>
                <w:rFonts w:cs="Arial"/>
                <w:b/>
                <w:bCs/>
                <w:i/>
                <w:iCs/>
                <w:sz w:val="20"/>
                <w:vertAlign w:val="subscript"/>
              </w:rPr>
              <w:t>CH4,NG-TR,y</w:t>
            </w:r>
          </w:p>
        </w:tc>
      </w:tr>
      <w:tr w:rsidR="004334D2" w:rsidRPr="00131981" w14:paraId="441F1288" w14:textId="77777777" w:rsidTr="00073748">
        <w:tc>
          <w:tcPr>
            <w:tcW w:w="2405" w:type="dxa"/>
            <w:shd w:val="clear" w:color="auto" w:fill="E6E6E6"/>
          </w:tcPr>
          <w:p w14:paraId="533D9725" w14:textId="77777777" w:rsidR="004334D2" w:rsidRPr="00131981" w:rsidRDefault="004334D2" w:rsidP="00E06D0C">
            <w:pPr>
              <w:spacing w:before="60" w:after="60"/>
              <w:ind w:right="57"/>
              <w:rPr>
                <w:rFonts w:cs="Arial"/>
                <w:sz w:val="20"/>
              </w:rPr>
            </w:pPr>
            <w:r w:rsidRPr="00131981">
              <w:rPr>
                <w:rFonts w:cs="Arial"/>
                <w:sz w:val="20"/>
              </w:rPr>
              <w:t>Description</w:t>
            </w:r>
          </w:p>
        </w:tc>
        <w:tc>
          <w:tcPr>
            <w:tcW w:w="6946" w:type="dxa"/>
            <w:gridSpan w:val="4"/>
          </w:tcPr>
          <w:p w14:paraId="13936B44" w14:textId="77777777" w:rsidR="00427E2F" w:rsidRPr="00080E54" w:rsidRDefault="00427E2F" w:rsidP="00427E2F">
            <w:pPr>
              <w:spacing w:before="60"/>
              <w:ind w:right="57"/>
              <w:rPr>
                <w:rFonts w:cs="Arial"/>
                <w:b/>
                <w:sz w:val="20"/>
              </w:rPr>
            </w:pPr>
            <w:r w:rsidRPr="00080E54">
              <w:rPr>
                <w:rFonts w:cs="Arial"/>
                <w:b/>
                <w:bCs/>
                <w:i/>
                <w:iCs/>
                <w:sz w:val="20"/>
              </w:rPr>
              <w:t>F</w:t>
            </w:r>
            <w:r w:rsidRPr="00080E54">
              <w:rPr>
                <w:rFonts w:cs="Arial"/>
                <w:b/>
                <w:bCs/>
                <w:i/>
                <w:iCs/>
                <w:sz w:val="20"/>
                <w:vertAlign w:val="subscript"/>
              </w:rPr>
              <w:t>CH4,sent-PrimaryFlare,y</w:t>
            </w:r>
            <w:r w:rsidRPr="00080E54">
              <w:rPr>
                <w:rFonts w:cs="Arial"/>
                <w:b/>
                <w:i/>
                <w:sz w:val="20"/>
              </w:rPr>
              <w:t>:</w:t>
            </w:r>
            <w:r w:rsidRPr="00080E54">
              <w:rPr>
                <w:rFonts w:cs="Arial"/>
                <w:b/>
                <w:sz w:val="20"/>
              </w:rPr>
              <w:t xml:space="preserve"> </w:t>
            </w:r>
            <w:r w:rsidRPr="00080E54">
              <w:rPr>
                <w:rFonts w:asciiTheme="minorBidi" w:hAnsiTheme="minorBidi" w:cstheme="minorBidi"/>
                <w:sz w:val="20"/>
              </w:rPr>
              <w:t>Amount of methane in the LFG which is sent to the primary flares year y</w:t>
            </w:r>
          </w:p>
          <w:p w14:paraId="1986B94A" w14:textId="77777777" w:rsidR="00427E2F" w:rsidRDefault="00427E2F" w:rsidP="00427E2F">
            <w:pPr>
              <w:spacing w:before="60"/>
              <w:ind w:right="57"/>
              <w:rPr>
                <w:rFonts w:cs="Arial"/>
                <w:b/>
                <w:bCs/>
                <w:i/>
                <w:iCs/>
                <w:sz w:val="20"/>
              </w:rPr>
            </w:pPr>
            <w:r w:rsidRPr="00080E54">
              <w:rPr>
                <w:rFonts w:cs="Arial"/>
                <w:b/>
                <w:bCs/>
                <w:i/>
                <w:iCs/>
                <w:sz w:val="20"/>
              </w:rPr>
              <w:t>F</w:t>
            </w:r>
            <w:r w:rsidRPr="00080E54">
              <w:rPr>
                <w:rFonts w:cs="Arial"/>
                <w:b/>
                <w:bCs/>
                <w:i/>
                <w:iCs/>
                <w:sz w:val="20"/>
                <w:vertAlign w:val="subscript"/>
              </w:rPr>
              <w:t>CH4,sent-BackupFlare,y</w:t>
            </w:r>
            <w:r w:rsidRPr="00080E54">
              <w:rPr>
                <w:rFonts w:cs="Arial"/>
                <w:b/>
                <w:bCs/>
                <w:i/>
                <w:iCs/>
                <w:sz w:val="20"/>
              </w:rPr>
              <w:t>:</w:t>
            </w:r>
            <w:r w:rsidRPr="00080E54">
              <w:rPr>
                <w:rFonts w:cs="Arial"/>
                <w:b/>
                <w:bCs/>
                <w:sz w:val="20"/>
              </w:rPr>
              <w:t xml:space="preserve"> </w:t>
            </w:r>
            <w:r w:rsidRPr="00080E54">
              <w:rPr>
                <w:rFonts w:asciiTheme="minorBidi" w:hAnsiTheme="minorBidi" w:cstheme="minorBidi"/>
                <w:sz w:val="20"/>
              </w:rPr>
              <w:t>Amount of methane in the LFG which is sent to the backup flares year y</w:t>
            </w:r>
          </w:p>
          <w:p w14:paraId="607F1E74" w14:textId="77777777" w:rsidR="00427E2F" w:rsidRPr="0045536A" w:rsidRDefault="00427E2F" w:rsidP="00427E2F">
            <w:pPr>
              <w:spacing w:before="60"/>
              <w:ind w:right="57"/>
              <w:rPr>
                <w:rFonts w:asciiTheme="minorBidi" w:hAnsiTheme="minorBidi" w:cstheme="minorBidi"/>
                <w:sz w:val="20"/>
              </w:rPr>
            </w:pPr>
            <w:r w:rsidRPr="00F757CB">
              <w:rPr>
                <w:rFonts w:cs="Arial"/>
                <w:b/>
                <w:bCs/>
                <w:i/>
                <w:iCs/>
                <w:sz w:val="20"/>
              </w:rPr>
              <w:t>F</w:t>
            </w:r>
            <w:r w:rsidRPr="00F757CB">
              <w:rPr>
                <w:rFonts w:cs="Arial"/>
                <w:b/>
                <w:bCs/>
                <w:i/>
                <w:iCs/>
                <w:sz w:val="20"/>
                <w:vertAlign w:val="subscript"/>
              </w:rPr>
              <w:t>CH4,EL,y</w:t>
            </w:r>
            <w:r>
              <w:rPr>
                <w:rFonts w:asciiTheme="minorBidi" w:hAnsiTheme="minorBidi" w:cstheme="minorBidi"/>
                <w:b/>
                <w:bCs/>
                <w:sz w:val="20"/>
              </w:rPr>
              <w:t>:</w:t>
            </w:r>
            <w:r w:rsidRPr="0045536A">
              <w:rPr>
                <w:rFonts w:asciiTheme="minorBidi" w:hAnsiTheme="minorBidi" w:cstheme="minorBidi"/>
                <w:sz w:val="20"/>
              </w:rPr>
              <w:t xml:space="preserve"> Amount of methane in the LFG which is used for electricity generation in year y;</w:t>
            </w:r>
          </w:p>
          <w:p w14:paraId="07C0286D" w14:textId="44D3159B" w:rsidR="00427E2F" w:rsidRDefault="00427E2F" w:rsidP="00427E2F">
            <w:pPr>
              <w:spacing w:before="60"/>
              <w:ind w:right="57"/>
              <w:rPr>
                <w:rFonts w:asciiTheme="minorBidi" w:hAnsiTheme="minorBidi" w:cstheme="minorBidi"/>
                <w:i/>
                <w:iCs/>
                <w:sz w:val="20"/>
              </w:rPr>
            </w:pPr>
            <w:r w:rsidRPr="00F757CB">
              <w:rPr>
                <w:rFonts w:cs="Arial"/>
                <w:b/>
                <w:bCs/>
                <w:i/>
                <w:iCs/>
                <w:sz w:val="20"/>
              </w:rPr>
              <w:t>F</w:t>
            </w:r>
            <w:r w:rsidRPr="00F757CB">
              <w:rPr>
                <w:rFonts w:cs="Arial"/>
                <w:b/>
                <w:bCs/>
                <w:i/>
                <w:iCs/>
                <w:sz w:val="20"/>
                <w:vertAlign w:val="subscript"/>
              </w:rPr>
              <w:t>CH4,HG,y</w:t>
            </w:r>
            <w:r w:rsidRPr="0045536A">
              <w:rPr>
                <w:rFonts w:asciiTheme="minorBidi" w:hAnsiTheme="minorBidi" w:cstheme="minorBidi"/>
                <w:b/>
                <w:bCs/>
                <w:sz w:val="20"/>
              </w:rPr>
              <w:t xml:space="preserve">: </w:t>
            </w:r>
            <w:r w:rsidRPr="00423162">
              <w:rPr>
                <w:rFonts w:asciiTheme="minorBidi" w:hAnsiTheme="minorBidi" w:cstheme="minorBidi"/>
                <w:sz w:val="20"/>
              </w:rPr>
              <w:t xml:space="preserve">Amount of methane in the LFG which is used for heat generation in year </w:t>
            </w:r>
            <w:r w:rsidRPr="00423162">
              <w:rPr>
                <w:rFonts w:asciiTheme="minorBidi" w:hAnsiTheme="minorBidi" w:cstheme="minorBidi"/>
                <w:i/>
                <w:iCs/>
                <w:sz w:val="20"/>
              </w:rPr>
              <w:t>y</w:t>
            </w:r>
          </w:p>
          <w:p w14:paraId="71DBA0BB" w14:textId="163348E5" w:rsidR="00427E2F" w:rsidRPr="004431BA" w:rsidRDefault="00427E2F" w:rsidP="00427E2F">
            <w:pPr>
              <w:spacing w:before="60"/>
              <w:ind w:right="57"/>
              <w:rPr>
                <w:rFonts w:asciiTheme="minorBidi" w:hAnsiTheme="minorBidi" w:cstheme="minorBidi"/>
                <w:sz w:val="20"/>
              </w:rPr>
            </w:pPr>
            <w:r w:rsidRPr="004F35F6">
              <w:rPr>
                <w:rFonts w:cs="Arial"/>
                <w:b/>
                <w:bCs/>
                <w:i/>
                <w:iCs/>
                <w:sz w:val="20"/>
              </w:rPr>
              <w:t>F</w:t>
            </w:r>
            <w:r w:rsidRPr="004F35F6">
              <w:rPr>
                <w:rFonts w:cs="Arial"/>
                <w:b/>
                <w:bCs/>
                <w:i/>
                <w:iCs/>
                <w:sz w:val="20"/>
                <w:vertAlign w:val="subscript"/>
              </w:rPr>
              <w:t>CH4,HG,kiln,</w:t>
            </w:r>
            <w:r>
              <w:rPr>
                <w:rFonts w:cs="Arial"/>
                <w:b/>
                <w:bCs/>
                <w:i/>
                <w:iCs/>
                <w:sz w:val="20"/>
                <w:vertAlign w:val="subscript"/>
              </w:rPr>
              <w:t>n,h</w:t>
            </w:r>
            <w:r w:rsidRPr="004F35F6">
              <w:rPr>
                <w:rFonts w:cs="Arial"/>
                <w:b/>
                <w:bCs/>
                <w:sz w:val="20"/>
              </w:rPr>
              <w:t xml:space="preserve">: </w:t>
            </w:r>
            <w:r w:rsidRPr="004F35F6">
              <w:rPr>
                <w:rFonts w:cs="Arial"/>
                <w:sz w:val="20"/>
              </w:rPr>
              <w:t xml:space="preserve">Amount of methane in the LFG which is used for heat generation by brick kiln </w:t>
            </w:r>
            <w:r>
              <w:rPr>
                <w:rFonts w:cs="Arial"/>
                <w:sz w:val="20"/>
              </w:rPr>
              <w:t>unit</w:t>
            </w:r>
            <w:r w:rsidR="004372C2">
              <w:rPr>
                <w:rFonts w:cs="Arial"/>
                <w:sz w:val="20"/>
              </w:rPr>
              <w:t> </w:t>
            </w:r>
            <w:r w:rsidRPr="004A7F0C">
              <w:rPr>
                <w:rFonts w:cs="Arial"/>
                <w:i/>
                <w:iCs/>
                <w:sz w:val="20"/>
              </w:rPr>
              <w:t>n</w:t>
            </w:r>
            <w:r>
              <w:rPr>
                <w:rFonts w:cs="Arial"/>
                <w:sz w:val="20"/>
              </w:rPr>
              <w:t xml:space="preserve"> </w:t>
            </w:r>
            <w:r w:rsidRPr="004F35F6">
              <w:rPr>
                <w:rFonts w:cs="Arial"/>
                <w:sz w:val="20"/>
              </w:rPr>
              <w:t>in hour</w:t>
            </w:r>
            <w:r w:rsidR="004372C2">
              <w:rPr>
                <w:rFonts w:cs="Arial"/>
                <w:sz w:val="20"/>
              </w:rPr>
              <w:t> </w:t>
            </w:r>
            <w:r w:rsidRPr="004F35F6">
              <w:rPr>
                <w:rFonts w:cs="Arial"/>
                <w:i/>
                <w:iCs/>
                <w:sz w:val="20"/>
              </w:rPr>
              <w:t>h</w:t>
            </w:r>
          </w:p>
          <w:p w14:paraId="11B21C8C" w14:textId="79104459" w:rsidR="00427E2F" w:rsidRDefault="00427E2F" w:rsidP="00427E2F">
            <w:pPr>
              <w:spacing w:before="60" w:after="60"/>
              <w:ind w:right="57"/>
              <w:rPr>
                <w:rFonts w:asciiTheme="minorBidi" w:hAnsiTheme="minorBidi" w:cstheme="minorBidi"/>
                <w:i/>
                <w:iCs/>
                <w:sz w:val="20"/>
              </w:rPr>
            </w:pPr>
            <w:r w:rsidRPr="00F757CB">
              <w:rPr>
                <w:rFonts w:cs="Arial"/>
                <w:b/>
                <w:bCs/>
                <w:i/>
                <w:iCs/>
                <w:sz w:val="20"/>
              </w:rPr>
              <w:t>F</w:t>
            </w:r>
            <w:r w:rsidRPr="00F757CB">
              <w:rPr>
                <w:rFonts w:cs="Arial"/>
                <w:b/>
                <w:bCs/>
                <w:i/>
                <w:iCs/>
                <w:sz w:val="20"/>
                <w:vertAlign w:val="subscript"/>
              </w:rPr>
              <w:t>CH4,NG,y</w:t>
            </w:r>
            <w:r w:rsidRPr="0045536A">
              <w:rPr>
                <w:rFonts w:asciiTheme="minorBidi" w:hAnsiTheme="minorBidi" w:cstheme="minorBidi"/>
                <w:b/>
                <w:bCs/>
                <w:sz w:val="20"/>
              </w:rPr>
              <w:t xml:space="preserve">: </w:t>
            </w:r>
            <w:r w:rsidRPr="00F372CF">
              <w:rPr>
                <w:rFonts w:asciiTheme="minorBidi" w:hAnsiTheme="minorBidi" w:cstheme="minorBidi"/>
                <w:sz w:val="20"/>
              </w:rPr>
              <w:t>Amount of methane in the LFG or in the biomethane which is supplied to consumers via a natural gas distribution network and/or dedicated pipeline and/or trucks in year</w:t>
            </w:r>
            <w:r w:rsidR="004372C2">
              <w:rPr>
                <w:rFonts w:asciiTheme="minorBidi" w:hAnsiTheme="minorBidi" w:cstheme="minorBidi"/>
                <w:sz w:val="20"/>
              </w:rPr>
              <w:t> </w:t>
            </w:r>
            <w:r w:rsidRPr="00F372CF">
              <w:rPr>
                <w:rFonts w:asciiTheme="minorBidi" w:hAnsiTheme="minorBidi" w:cstheme="minorBidi"/>
                <w:i/>
                <w:iCs/>
                <w:sz w:val="20"/>
              </w:rPr>
              <w:t>y</w:t>
            </w:r>
          </w:p>
          <w:p w14:paraId="78FDEF03" w14:textId="294791E5" w:rsidR="00427E2F" w:rsidRDefault="00427E2F" w:rsidP="00427E2F">
            <w:pPr>
              <w:spacing w:before="60" w:after="60"/>
              <w:ind w:right="57"/>
              <w:rPr>
                <w:rFonts w:asciiTheme="minorBidi" w:hAnsiTheme="minorBidi" w:cstheme="minorBidi"/>
                <w:i/>
                <w:iCs/>
                <w:sz w:val="20"/>
              </w:rPr>
            </w:pPr>
            <w:r w:rsidRPr="00F757CB">
              <w:rPr>
                <w:rFonts w:cs="Arial"/>
                <w:b/>
                <w:bCs/>
                <w:i/>
                <w:iCs/>
                <w:sz w:val="20"/>
              </w:rPr>
              <w:t>F</w:t>
            </w:r>
            <w:r w:rsidRPr="00F757CB">
              <w:rPr>
                <w:rFonts w:cs="Arial"/>
                <w:b/>
                <w:bCs/>
                <w:i/>
                <w:iCs/>
                <w:sz w:val="20"/>
                <w:vertAlign w:val="subscript"/>
              </w:rPr>
              <w:t>CH4,NG-</w:t>
            </w:r>
            <w:r>
              <w:rPr>
                <w:rFonts w:cs="Arial"/>
                <w:b/>
                <w:bCs/>
                <w:i/>
                <w:iCs/>
                <w:sz w:val="20"/>
                <w:vertAlign w:val="subscript"/>
              </w:rPr>
              <w:t>TR</w:t>
            </w:r>
            <w:r w:rsidRPr="00F757CB">
              <w:rPr>
                <w:rFonts w:cs="Arial"/>
                <w:b/>
                <w:bCs/>
                <w:i/>
                <w:iCs/>
                <w:sz w:val="20"/>
                <w:vertAlign w:val="subscript"/>
              </w:rPr>
              <w:t>,y</w:t>
            </w:r>
            <w:r w:rsidRPr="0045536A">
              <w:rPr>
                <w:rFonts w:asciiTheme="minorBidi" w:hAnsiTheme="minorBidi" w:cstheme="minorBidi"/>
                <w:b/>
                <w:bCs/>
                <w:sz w:val="20"/>
              </w:rPr>
              <w:t xml:space="preserve">: </w:t>
            </w:r>
            <w:r w:rsidRPr="008F358E">
              <w:rPr>
                <w:rFonts w:asciiTheme="minorBidi" w:hAnsiTheme="minorBidi" w:cstheme="minorBidi"/>
                <w:sz w:val="20"/>
              </w:rPr>
              <w:t xml:space="preserve">Amount of methane in the </w:t>
            </w:r>
            <w:r w:rsidRPr="00686445">
              <w:rPr>
                <w:rFonts w:asciiTheme="minorBidi" w:hAnsiTheme="minorBidi" w:cstheme="minorBidi"/>
                <w:sz w:val="20"/>
              </w:rPr>
              <w:t>LFG or biomethane</w:t>
            </w:r>
            <w:r w:rsidRPr="008F358E">
              <w:rPr>
                <w:rFonts w:asciiTheme="minorBidi" w:hAnsiTheme="minorBidi" w:cstheme="minorBidi"/>
                <w:sz w:val="20"/>
              </w:rPr>
              <w:t xml:space="preserve"> which is sent to trucks in year</w:t>
            </w:r>
            <w:r w:rsidR="004372C2">
              <w:rPr>
                <w:rFonts w:asciiTheme="minorBidi" w:hAnsiTheme="minorBidi" w:cstheme="minorBidi"/>
                <w:sz w:val="20"/>
              </w:rPr>
              <w:t> </w:t>
            </w:r>
            <w:r w:rsidRPr="00E778CF">
              <w:rPr>
                <w:rFonts w:asciiTheme="minorBidi" w:hAnsiTheme="minorBidi" w:cstheme="minorBidi"/>
                <w:i/>
                <w:iCs/>
                <w:sz w:val="20"/>
              </w:rPr>
              <w:t>y</w:t>
            </w:r>
          </w:p>
          <w:p w14:paraId="724B0C2D" w14:textId="40C74338" w:rsidR="004334D2" w:rsidRPr="00874419" w:rsidRDefault="00427E2F" w:rsidP="00427E2F">
            <w:pPr>
              <w:spacing w:before="60" w:after="60"/>
              <w:ind w:right="57"/>
              <w:rPr>
                <w:rFonts w:cs="Arial"/>
                <w:sz w:val="20"/>
              </w:rPr>
            </w:pPr>
            <w:r w:rsidRPr="003342E9">
              <w:rPr>
                <w:rFonts w:cs="Arial"/>
                <w:b/>
                <w:bCs/>
                <w:i/>
                <w:iCs/>
                <w:sz w:val="20"/>
              </w:rPr>
              <w:t>F</w:t>
            </w:r>
            <w:r w:rsidRPr="003342E9">
              <w:rPr>
                <w:rFonts w:cs="Arial"/>
                <w:b/>
                <w:bCs/>
                <w:i/>
                <w:iCs/>
                <w:sz w:val="20"/>
                <w:vertAlign w:val="subscript"/>
              </w:rPr>
              <w:t>CH4,NG-</w:t>
            </w:r>
            <w:r>
              <w:rPr>
                <w:rFonts w:cs="Arial"/>
                <w:b/>
                <w:bCs/>
                <w:i/>
                <w:iCs/>
                <w:sz w:val="20"/>
                <w:vertAlign w:val="subscript"/>
              </w:rPr>
              <w:t>cons</w:t>
            </w:r>
            <w:r w:rsidRPr="003342E9">
              <w:rPr>
                <w:rFonts w:cs="Arial"/>
                <w:b/>
                <w:bCs/>
                <w:i/>
                <w:iCs/>
                <w:sz w:val="20"/>
                <w:vertAlign w:val="subscript"/>
              </w:rPr>
              <w:t>,y</w:t>
            </w:r>
            <w:r w:rsidRPr="0045536A">
              <w:rPr>
                <w:rFonts w:asciiTheme="minorBidi" w:hAnsiTheme="minorBidi" w:cstheme="minorBidi"/>
                <w:b/>
                <w:bCs/>
                <w:sz w:val="20"/>
              </w:rPr>
              <w:t xml:space="preserve">: </w:t>
            </w:r>
            <w:r w:rsidRPr="00E778CF">
              <w:rPr>
                <w:rFonts w:asciiTheme="minorBidi" w:hAnsiTheme="minorBidi" w:cstheme="minorBidi"/>
                <w:sz w:val="20"/>
              </w:rPr>
              <w:t xml:space="preserve">Amount of methane in </w:t>
            </w:r>
            <w:r w:rsidRPr="00686445">
              <w:rPr>
                <w:rFonts w:asciiTheme="minorBidi" w:hAnsiTheme="minorBidi" w:cstheme="minorBidi"/>
                <w:sz w:val="20"/>
              </w:rPr>
              <w:t>LFG or biomethane</w:t>
            </w:r>
            <w:r w:rsidRPr="00E778CF">
              <w:rPr>
                <w:rFonts w:asciiTheme="minorBidi" w:hAnsiTheme="minorBidi" w:cstheme="minorBidi"/>
                <w:sz w:val="20"/>
              </w:rPr>
              <w:t xml:space="preserve"> which is delivered to consumers using trucks in year</w:t>
            </w:r>
            <w:r w:rsidRPr="0045536A">
              <w:rPr>
                <w:rFonts w:asciiTheme="minorBidi" w:hAnsiTheme="minorBidi" w:cstheme="minorBidi"/>
                <w:iCs/>
                <w:sz w:val="20"/>
              </w:rPr>
              <w:t> </w:t>
            </w:r>
            <w:r w:rsidRPr="0045536A">
              <w:rPr>
                <w:rFonts w:asciiTheme="minorBidi" w:hAnsiTheme="minorBidi" w:cstheme="minorBidi"/>
                <w:i/>
                <w:iCs/>
                <w:sz w:val="20"/>
              </w:rPr>
              <w:t>y</w:t>
            </w:r>
          </w:p>
        </w:tc>
      </w:tr>
      <w:tr w:rsidR="004334D2" w:rsidRPr="00131981" w14:paraId="14D862D0" w14:textId="77777777" w:rsidTr="00073748">
        <w:tc>
          <w:tcPr>
            <w:tcW w:w="2405" w:type="dxa"/>
            <w:shd w:val="clear" w:color="auto" w:fill="E6E6E6"/>
          </w:tcPr>
          <w:p w14:paraId="7716D2BB"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419F3C48" w14:textId="77777777" w:rsidR="004334D2" w:rsidRPr="00874419" w:rsidRDefault="004334D2" w:rsidP="00E06D0C">
            <w:pPr>
              <w:spacing w:before="60" w:after="60"/>
              <w:ind w:right="57"/>
              <w:rPr>
                <w:rFonts w:cs="Arial"/>
                <w:sz w:val="20"/>
              </w:rPr>
            </w:pPr>
            <w:r w:rsidRPr="00874419">
              <w:rPr>
                <w:rFonts w:cs="Arial"/>
                <w:sz w:val="20"/>
              </w:rPr>
              <w:t>tCH</w:t>
            </w:r>
            <w:r w:rsidRPr="00874419">
              <w:rPr>
                <w:rFonts w:cs="Arial"/>
                <w:sz w:val="20"/>
                <w:vertAlign w:val="subscript"/>
              </w:rPr>
              <w:t>4</w:t>
            </w:r>
            <w:r w:rsidRPr="00874419">
              <w:rPr>
                <w:rFonts w:cs="Arial"/>
                <w:sz w:val="20"/>
              </w:rPr>
              <w:t>/year</w:t>
            </w:r>
          </w:p>
        </w:tc>
      </w:tr>
      <w:tr w:rsidR="004334D2" w:rsidRPr="00131981" w14:paraId="549C7FE5" w14:textId="77777777" w:rsidTr="00073748">
        <w:tc>
          <w:tcPr>
            <w:tcW w:w="2405" w:type="dxa"/>
            <w:shd w:val="clear" w:color="auto" w:fill="E6E6E6"/>
          </w:tcPr>
          <w:p w14:paraId="4C537212"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6BC97BFD" w14:textId="77777777" w:rsidR="00427E2F" w:rsidRPr="00080E54" w:rsidRDefault="00427E2F" w:rsidP="00427E2F">
            <w:pPr>
              <w:spacing w:before="60"/>
              <w:ind w:right="57"/>
              <w:rPr>
                <w:rFonts w:cs="Arial"/>
                <w:b/>
                <w:sz w:val="20"/>
              </w:rPr>
            </w:pPr>
            <w:r w:rsidRPr="00080E54">
              <w:rPr>
                <w:rFonts w:cs="Arial"/>
                <w:b/>
                <w:bCs/>
                <w:i/>
                <w:iCs/>
                <w:sz w:val="20"/>
              </w:rPr>
              <w:t>F</w:t>
            </w:r>
            <w:r w:rsidRPr="00080E54">
              <w:rPr>
                <w:rFonts w:cs="Arial"/>
                <w:b/>
                <w:bCs/>
                <w:i/>
                <w:iCs/>
                <w:sz w:val="20"/>
                <w:vertAlign w:val="subscript"/>
              </w:rPr>
              <w:t>CH4,sent-PrimaryFlare,y</w:t>
            </w:r>
            <w:r w:rsidRPr="00080E54">
              <w:rPr>
                <w:rFonts w:cs="Arial"/>
                <w:b/>
                <w:i/>
                <w:sz w:val="20"/>
              </w:rPr>
              <w:t>:</w:t>
            </w:r>
            <w:r w:rsidRPr="00080E54">
              <w:rPr>
                <w:rFonts w:cs="Arial"/>
                <w:b/>
                <w:sz w:val="20"/>
              </w:rPr>
              <w:t xml:space="preserve"> </w:t>
            </w:r>
            <w:r>
              <w:rPr>
                <w:rFonts w:asciiTheme="minorBidi" w:hAnsiTheme="minorBidi" w:cstheme="minorBidi"/>
                <w:sz w:val="20"/>
              </w:rPr>
              <w:t>(4)</w:t>
            </w:r>
          </w:p>
          <w:p w14:paraId="2BA68FD3" w14:textId="77777777" w:rsidR="00427E2F" w:rsidRDefault="00427E2F" w:rsidP="00427E2F">
            <w:pPr>
              <w:spacing w:before="60"/>
              <w:ind w:right="57"/>
              <w:rPr>
                <w:rFonts w:cs="Arial"/>
                <w:b/>
                <w:bCs/>
                <w:i/>
                <w:iCs/>
                <w:sz w:val="20"/>
              </w:rPr>
            </w:pPr>
            <w:r w:rsidRPr="00080E54">
              <w:rPr>
                <w:rFonts w:cs="Arial"/>
                <w:b/>
                <w:bCs/>
                <w:i/>
                <w:iCs/>
                <w:sz w:val="20"/>
              </w:rPr>
              <w:t>F</w:t>
            </w:r>
            <w:r w:rsidRPr="00080E54">
              <w:rPr>
                <w:rFonts w:cs="Arial"/>
                <w:b/>
                <w:bCs/>
                <w:i/>
                <w:iCs/>
                <w:sz w:val="20"/>
                <w:vertAlign w:val="subscript"/>
              </w:rPr>
              <w:t>CH4,sent-BackupFlare,y</w:t>
            </w:r>
            <w:r w:rsidRPr="00080E54">
              <w:rPr>
                <w:rFonts w:cs="Arial"/>
                <w:b/>
                <w:bCs/>
                <w:i/>
                <w:iCs/>
                <w:sz w:val="20"/>
              </w:rPr>
              <w:t>:</w:t>
            </w:r>
            <w:r w:rsidRPr="00420AED">
              <w:rPr>
                <w:rFonts w:cs="Arial"/>
                <w:sz w:val="20"/>
              </w:rPr>
              <w:t xml:space="preserve"> (5)</w:t>
            </w:r>
          </w:p>
          <w:p w14:paraId="2FE84F52" w14:textId="77777777" w:rsidR="00427E2F" w:rsidRPr="00886EB2" w:rsidRDefault="00427E2F" w:rsidP="00427E2F">
            <w:pPr>
              <w:spacing w:before="60"/>
              <w:ind w:right="57"/>
              <w:rPr>
                <w:rFonts w:asciiTheme="minorBidi" w:hAnsiTheme="minorBidi" w:cstheme="minorBidi"/>
                <w:sz w:val="20"/>
                <w:lang w:val="es-ES"/>
              </w:rPr>
            </w:pPr>
            <w:r w:rsidRPr="00886EB2">
              <w:rPr>
                <w:rFonts w:cs="Arial"/>
                <w:b/>
                <w:bCs/>
                <w:i/>
                <w:iCs/>
                <w:sz w:val="20"/>
                <w:lang w:val="es-ES"/>
              </w:rPr>
              <w:t>F</w:t>
            </w:r>
            <w:r w:rsidRPr="00886EB2">
              <w:rPr>
                <w:rFonts w:cs="Arial"/>
                <w:b/>
                <w:bCs/>
                <w:i/>
                <w:iCs/>
                <w:sz w:val="20"/>
                <w:vertAlign w:val="subscript"/>
                <w:lang w:val="es-ES"/>
              </w:rPr>
              <w:t>CH4,EL,y</w:t>
            </w:r>
            <w:r w:rsidRPr="00886EB2">
              <w:rPr>
                <w:rFonts w:asciiTheme="minorBidi" w:hAnsiTheme="minorBidi" w:cstheme="minorBidi"/>
                <w:b/>
                <w:bCs/>
                <w:sz w:val="20"/>
                <w:lang w:val="es-ES"/>
              </w:rPr>
              <w:t>:</w:t>
            </w:r>
            <w:r w:rsidRPr="00886EB2">
              <w:rPr>
                <w:rFonts w:asciiTheme="minorBidi" w:hAnsiTheme="minorBidi" w:cstheme="minorBidi"/>
                <w:sz w:val="20"/>
                <w:lang w:val="es-ES"/>
              </w:rPr>
              <w:t xml:space="preserve"> (2), (30)</w:t>
            </w:r>
          </w:p>
          <w:p w14:paraId="7E37C311" w14:textId="77777777" w:rsidR="00427E2F" w:rsidRPr="00427E2F" w:rsidRDefault="00427E2F" w:rsidP="00427E2F">
            <w:pPr>
              <w:spacing w:before="60"/>
              <w:ind w:right="57"/>
              <w:rPr>
                <w:rFonts w:asciiTheme="minorBidi" w:hAnsiTheme="minorBidi" w:cstheme="minorBidi"/>
                <w:i/>
                <w:iCs/>
                <w:sz w:val="20"/>
                <w:lang w:val="es-ES"/>
              </w:rPr>
            </w:pPr>
            <w:r w:rsidRPr="00427E2F">
              <w:rPr>
                <w:rFonts w:cs="Arial"/>
                <w:b/>
                <w:bCs/>
                <w:i/>
                <w:iCs/>
                <w:sz w:val="20"/>
                <w:lang w:val="es-ES"/>
              </w:rPr>
              <w:t>F</w:t>
            </w:r>
            <w:r w:rsidRPr="00427E2F">
              <w:rPr>
                <w:rFonts w:cs="Arial"/>
                <w:b/>
                <w:bCs/>
                <w:i/>
                <w:iCs/>
                <w:sz w:val="20"/>
                <w:vertAlign w:val="subscript"/>
                <w:lang w:val="es-ES"/>
              </w:rPr>
              <w:t>CH4,HG,y</w:t>
            </w:r>
            <w:r w:rsidRPr="00427E2F">
              <w:rPr>
                <w:rFonts w:asciiTheme="minorBidi" w:hAnsiTheme="minorBidi" w:cstheme="minorBidi"/>
                <w:b/>
                <w:bCs/>
                <w:sz w:val="20"/>
                <w:lang w:val="es-ES"/>
              </w:rPr>
              <w:t xml:space="preserve">: </w:t>
            </w:r>
            <w:r w:rsidRPr="00427E2F">
              <w:rPr>
                <w:rFonts w:asciiTheme="minorBidi" w:hAnsiTheme="minorBidi" w:cstheme="minorBidi"/>
                <w:sz w:val="20"/>
                <w:lang w:val="es-ES"/>
              </w:rPr>
              <w:t>(2), (20), (31)</w:t>
            </w:r>
          </w:p>
          <w:p w14:paraId="3C4371EA" w14:textId="77777777" w:rsidR="00427E2F" w:rsidRPr="009946A7" w:rsidRDefault="00427E2F" w:rsidP="00427E2F">
            <w:pPr>
              <w:spacing w:before="60"/>
              <w:ind w:right="57"/>
              <w:rPr>
                <w:rFonts w:asciiTheme="minorBidi" w:hAnsiTheme="minorBidi" w:cstheme="minorBidi"/>
                <w:sz w:val="20"/>
                <w:lang w:val="pt-BR"/>
              </w:rPr>
            </w:pPr>
            <w:r w:rsidRPr="009946A7">
              <w:rPr>
                <w:rFonts w:cs="Arial"/>
                <w:b/>
                <w:bCs/>
                <w:i/>
                <w:iCs/>
                <w:sz w:val="20"/>
                <w:lang w:val="pt-BR"/>
              </w:rPr>
              <w:t>F</w:t>
            </w:r>
            <w:r w:rsidRPr="009946A7">
              <w:rPr>
                <w:rFonts w:cs="Arial"/>
                <w:b/>
                <w:bCs/>
                <w:i/>
                <w:iCs/>
                <w:sz w:val="20"/>
                <w:vertAlign w:val="subscript"/>
                <w:lang w:val="pt-BR"/>
              </w:rPr>
              <w:t>CH4,HG,kiln,n,h</w:t>
            </w:r>
            <w:r w:rsidRPr="009946A7">
              <w:rPr>
                <w:rFonts w:cs="Arial"/>
                <w:b/>
                <w:bCs/>
                <w:sz w:val="20"/>
                <w:lang w:val="pt-BR"/>
              </w:rPr>
              <w:t xml:space="preserve">: </w:t>
            </w:r>
            <w:r w:rsidRPr="009946A7">
              <w:rPr>
                <w:rFonts w:cs="Arial"/>
                <w:sz w:val="20"/>
                <w:lang w:val="pt-BR"/>
              </w:rPr>
              <w:t>(21)</w:t>
            </w:r>
          </w:p>
          <w:p w14:paraId="0275F8E6" w14:textId="77777777" w:rsidR="00427E2F" w:rsidRPr="00427E2F" w:rsidRDefault="00427E2F" w:rsidP="00427E2F">
            <w:pPr>
              <w:spacing w:before="60" w:after="60"/>
              <w:ind w:right="57"/>
              <w:rPr>
                <w:rFonts w:asciiTheme="minorBidi" w:hAnsiTheme="minorBidi" w:cstheme="minorBidi"/>
                <w:i/>
                <w:iCs/>
                <w:sz w:val="20"/>
                <w:lang w:val="es-ES"/>
              </w:rPr>
            </w:pPr>
            <w:r w:rsidRPr="00427E2F">
              <w:rPr>
                <w:rFonts w:cs="Arial"/>
                <w:b/>
                <w:bCs/>
                <w:i/>
                <w:iCs/>
                <w:sz w:val="20"/>
                <w:lang w:val="es-ES"/>
              </w:rPr>
              <w:t>F</w:t>
            </w:r>
            <w:r w:rsidRPr="00427E2F">
              <w:rPr>
                <w:rFonts w:cs="Arial"/>
                <w:b/>
                <w:bCs/>
                <w:i/>
                <w:iCs/>
                <w:sz w:val="20"/>
                <w:vertAlign w:val="subscript"/>
                <w:lang w:val="es-ES"/>
              </w:rPr>
              <w:t>CH4,NG,y</w:t>
            </w:r>
            <w:r w:rsidRPr="00427E2F">
              <w:rPr>
                <w:rFonts w:asciiTheme="minorBidi" w:hAnsiTheme="minorBidi" w:cstheme="minorBidi"/>
                <w:b/>
                <w:bCs/>
                <w:sz w:val="20"/>
                <w:lang w:val="es-ES"/>
              </w:rPr>
              <w:t xml:space="preserve">: </w:t>
            </w:r>
            <w:r w:rsidRPr="00427E2F">
              <w:rPr>
                <w:rFonts w:asciiTheme="minorBidi" w:hAnsiTheme="minorBidi" w:cstheme="minorBidi"/>
                <w:sz w:val="20"/>
                <w:lang w:val="es-ES"/>
              </w:rPr>
              <w:t>(2), (23), (32), (54)</w:t>
            </w:r>
          </w:p>
          <w:p w14:paraId="02DA4FB3" w14:textId="77777777" w:rsidR="00427E2F" w:rsidRPr="00427E2F" w:rsidRDefault="00427E2F" w:rsidP="00427E2F">
            <w:pPr>
              <w:spacing w:before="60" w:after="60"/>
              <w:ind w:right="57"/>
              <w:rPr>
                <w:rFonts w:asciiTheme="minorBidi" w:hAnsiTheme="minorBidi" w:cstheme="minorBidi"/>
                <w:i/>
                <w:iCs/>
                <w:sz w:val="20"/>
                <w:lang w:val="es-ES"/>
              </w:rPr>
            </w:pPr>
            <w:r w:rsidRPr="00427E2F">
              <w:rPr>
                <w:rFonts w:cs="Arial"/>
                <w:b/>
                <w:bCs/>
                <w:i/>
                <w:iCs/>
                <w:sz w:val="20"/>
                <w:lang w:val="es-ES"/>
              </w:rPr>
              <w:t>F</w:t>
            </w:r>
            <w:r w:rsidRPr="00427E2F">
              <w:rPr>
                <w:rFonts w:cs="Arial"/>
                <w:b/>
                <w:bCs/>
                <w:i/>
                <w:iCs/>
                <w:sz w:val="20"/>
                <w:vertAlign w:val="subscript"/>
                <w:lang w:val="es-ES"/>
              </w:rPr>
              <w:t>CH4,NG-TR,y</w:t>
            </w:r>
            <w:r w:rsidRPr="00427E2F">
              <w:rPr>
                <w:rFonts w:asciiTheme="minorBidi" w:hAnsiTheme="minorBidi" w:cstheme="minorBidi"/>
                <w:b/>
                <w:bCs/>
                <w:sz w:val="20"/>
                <w:lang w:val="es-ES"/>
              </w:rPr>
              <w:t xml:space="preserve">: </w:t>
            </w:r>
            <w:r w:rsidRPr="00427E2F">
              <w:rPr>
                <w:rFonts w:asciiTheme="minorBidi" w:hAnsiTheme="minorBidi" w:cstheme="minorBidi"/>
                <w:sz w:val="20"/>
                <w:lang w:val="es-ES"/>
              </w:rPr>
              <w:t>(</w:t>
            </w:r>
            <w:r>
              <w:rPr>
                <w:rFonts w:asciiTheme="minorBidi" w:hAnsiTheme="minorBidi" w:cstheme="minorBidi"/>
                <w:sz w:val="20"/>
                <w:lang w:val="es-ES"/>
              </w:rPr>
              <w:t>53</w:t>
            </w:r>
            <w:r w:rsidRPr="00427E2F">
              <w:rPr>
                <w:rFonts w:asciiTheme="minorBidi" w:hAnsiTheme="minorBidi" w:cstheme="minorBidi"/>
                <w:sz w:val="20"/>
                <w:lang w:val="es-ES"/>
              </w:rPr>
              <w:t>)</w:t>
            </w:r>
          </w:p>
          <w:p w14:paraId="384BF255" w14:textId="0C3025BA" w:rsidR="004334D2" w:rsidRPr="00874419" w:rsidRDefault="00427E2F" w:rsidP="00427E2F">
            <w:pPr>
              <w:spacing w:before="60" w:after="60"/>
              <w:ind w:right="57"/>
              <w:rPr>
                <w:rFonts w:cs="Arial"/>
                <w:sz w:val="20"/>
              </w:rPr>
            </w:pPr>
            <w:r w:rsidRPr="003342E9">
              <w:rPr>
                <w:rFonts w:cs="Arial"/>
                <w:b/>
                <w:bCs/>
                <w:i/>
                <w:iCs/>
                <w:sz w:val="20"/>
              </w:rPr>
              <w:t>F</w:t>
            </w:r>
            <w:r w:rsidRPr="003342E9">
              <w:rPr>
                <w:rFonts w:cs="Arial"/>
                <w:b/>
                <w:bCs/>
                <w:i/>
                <w:iCs/>
                <w:sz w:val="20"/>
                <w:vertAlign w:val="subscript"/>
              </w:rPr>
              <w:t>CH4,NG-</w:t>
            </w:r>
            <w:r>
              <w:rPr>
                <w:rFonts w:cs="Arial"/>
                <w:b/>
                <w:bCs/>
                <w:i/>
                <w:iCs/>
                <w:sz w:val="20"/>
                <w:vertAlign w:val="subscript"/>
              </w:rPr>
              <w:t>cons</w:t>
            </w:r>
            <w:r w:rsidRPr="003342E9">
              <w:rPr>
                <w:rFonts w:cs="Arial"/>
                <w:b/>
                <w:bCs/>
                <w:i/>
                <w:iCs/>
                <w:sz w:val="20"/>
                <w:vertAlign w:val="subscript"/>
              </w:rPr>
              <w:t>,y</w:t>
            </w:r>
            <w:r w:rsidRPr="0045536A">
              <w:rPr>
                <w:rFonts w:asciiTheme="minorBidi" w:hAnsiTheme="minorBidi" w:cstheme="minorBidi"/>
                <w:b/>
                <w:bCs/>
                <w:sz w:val="20"/>
              </w:rPr>
              <w:t xml:space="preserve">: </w:t>
            </w:r>
            <w:r>
              <w:rPr>
                <w:rFonts w:asciiTheme="minorBidi" w:hAnsiTheme="minorBidi" w:cstheme="minorBidi"/>
                <w:sz w:val="20"/>
              </w:rPr>
              <w:t>(53)</w:t>
            </w:r>
          </w:p>
        </w:tc>
      </w:tr>
      <w:tr w:rsidR="004334D2" w:rsidRPr="00131981" w14:paraId="39715F61" w14:textId="77777777" w:rsidTr="00073748">
        <w:tc>
          <w:tcPr>
            <w:tcW w:w="2405" w:type="dxa"/>
            <w:shd w:val="clear" w:color="auto" w:fill="E6E6E6"/>
          </w:tcPr>
          <w:p w14:paraId="12E345F1"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368" w:type="dxa"/>
            <w:gridSpan w:val="2"/>
          </w:tcPr>
          <w:p w14:paraId="33FEE88C" w14:textId="77777777" w:rsidR="004334D2" w:rsidRPr="00874419" w:rsidRDefault="004334D2" w:rsidP="00E06D0C">
            <w:pPr>
              <w:keepNext/>
              <w:spacing w:before="60" w:after="60"/>
              <w:ind w:right="57"/>
              <w:rPr>
                <w:rFonts w:cs="Arial"/>
                <w:sz w:val="20"/>
              </w:rPr>
            </w:pPr>
            <w:r>
              <w:rPr>
                <w:rFonts w:asciiTheme="minorBidi" w:hAnsiTheme="minorBidi" w:cstheme="minorBidi"/>
                <w:sz w:val="20"/>
                <w:shd w:val="clear" w:color="auto" w:fill="E6E6E6"/>
              </w:rPr>
              <w:fldChar w:fldCharType="begin">
                <w:ffData>
                  <w:name w:val=""/>
                  <w:enabled/>
                  <w:calcOnExit w:val="0"/>
                  <w:checkBox>
                    <w:size w:val="20"/>
                    <w:default w:val="1"/>
                  </w:checkBox>
                </w:ffData>
              </w:fldChar>
            </w:r>
            <w:r>
              <w:rPr>
                <w:rFonts w:asciiTheme="minorBidi" w:hAnsiTheme="minorBidi" w:cstheme="minorBidi"/>
                <w:sz w:val="20"/>
                <w:shd w:val="clear" w:color="auto" w:fill="E6E6E6"/>
              </w:rPr>
              <w:instrText xml:space="preserve"> FORMCHECKBOX </w:instrText>
            </w:r>
            <w:r w:rsidR="00302468">
              <w:rPr>
                <w:rFonts w:asciiTheme="minorBidi" w:hAnsiTheme="minorBidi" w:cstheme="minorBidi"/>
                <w:sz w:val="20"/>
                <w:shd w:val="clear" w:color="auto" w:fill="E6E6E6"/>
              </w:rPr>
            </w:r>
            <w:r w:rsidR="00302468">
              <w:rPr>
                <w:rFonts w:asciiTheme="minorBidi" w:hAnsiTheme="minorBidi" w:cstheme="minorBidi"/>
                <w:sz w:val="20"/>
                <w:shd w:val="clear" w:color="auto" w:fill="E6E6E6"/>
              </w:rPr>
              <w:fldChar w:fldCharType="separate"/>
            </w:r>
            <w:r>
              <w:rPr>
                <w:rFonts w:asciiTheme="minorBidi" w:hAnsiTheme="minorBidi" w:cstheme="minorBidi"/>
                <w:sz w:val="20"/>
                <w:shd w:val="clear" w:color="auto" w:fill="E6E6E6"/>
              </w:rPr>
              <w:fldChar w:fldCharType="end"/>
            </w:r>
            <w:r w:rsidRPr="00131981">
              <w:rPr>
                <w:rFonts w:asciiTheme="minorBidi" w:hAnsiTheme="minorBidi" w:cstheme="minorBidi"/>
                <w:sz w:val="20"/>
              </w:rPr>
              <w:t xml:space="preserve"> Baseline emissions</w:t>
            </w:r>
          </w:p>
        </w:tc>
        <w:tc>
          <w:tcPr>
            <w:tcW w:w="2367" w:type="dxa"/>
          </w:tcPr>
          <w:p w14:paraId="552C0CF6" w14:textId="71F68472" w:rsidR="004334D2" w:rsidRPr="00874419" w:rsidRDefault="004334D2" w:rsidP="00E06D0C">
            <w:pPr>
              <w:keepNext/>
              <w:spacing w:before="60" w:after="60"/>
              <w:ind w:right="57"/>
              <w:rPr>
                <w:rFonts w:cs="Arial"/>
                <w:sz w:val="20"/>
              </w:rPr>
            </w:pPr>
            <w:r w:rsidRPr="00A2328E">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00131981">
              <w:rPr>
                <w:rFonts w:asciiTheme="minorBidi" w:hAnsiTheme="minorBidi" w:cstheme="minorBidi"/>
                <w:sz w:val="20"/>
              </w:rPr>
              <w:instrText xml:space="preserve"> FORMCHECKBOX </w:instrText>
            </w:r>
            <w:r w:rsidR="00302468">
              <w:rPr>
                <w:rFonts w:asciiTheme="minorBidi" w:hAnsiTheme="minorBidi" w:cstheme="minorBidi"/>
                <w:sz w:val="20"/>
                <w:shd w:val="clear" w:color="auto" w:fill="E6E6E6"/>
              </w:rPr>
            </w:r>
            <w:r w:rsidR="00302468">
              <w:rPr>
                <w:rFonts w:asciiTheme="minorBidi" w:hAnsiTheme="minorBidi" w:cstheme="minorBidi"/>
                <w:sz w:val="20"/>
                <w:shd w:val="clear" w:color="auto" w:fill="E6E6E6"/>
              </w:rPr>
              <w:fldChar w:fldCharType="separate"/>
            </w:r>
            <w:r w:rsidRPr="00A2328E">
              <w:rPr>
                <w:rFonts w:asciiTheme="minorBidi" w:hAnsiTheme="minorBidi" w:cstheme="minorBidi"/>
                <w:sz w:val="20"/>
                <w:shd w:val="clear" w:color="auto" w:fill="E6E6E6"/>
              </w:rPr>
              <w:fldChar w:fldCharType="end"/>
            </w:r>
            <w:r w:rsidRPr="00131981">
              <w:rPr>
                <w:rFonts w:asciiTheme="minorBidi" w:hAnsiTheme="minorBidi" w:cstheme="minorBidi"/>
                <w:sz w:val="20"/>
              </w:rPr>
              <w:t xml:space="preserve"> </w:t>
            </w:r>
            <w:r w:rsidR="005704AC">
              <w:rPr>
                <w:rFonts w:asciiTheme="minorBidi" w:hAnsiTheme="minorBidi" w:cstheme="minorBidi"/>
                <w:sz w:val="20"/>
              </w:rPr>
              <w:t>Project emissions</w:t>
            </w:r>
          </w:p>
        </w:tc>
        <w:tc>
          <w:tcPr>
            <w:tcW w:w="2211" w:type="dxa"/>
          </w:tcPr>
          <w:p w14:paraId="15FA2BDC" w14:textId="77777777" w:rsidR="004334D2" w:rsidRPr="00874419" w:rsidRDefault="004334D2" w:rsidP="00E06D0C">
            <w:pPr>
              <w:keepNext/>
              <w:spacing w:before="60" w:after="60"/>
              <w:ind w:right="57"/>
              <w:rPr>
                <w:rFonts w:cs="Arial"/>
                <w:sz w:val="20"/>
              </w:rPr>
            </w:pPr>
            <w:r w:rsidRPr="00A2328E">
              <w:rPr>
                <w:rFonts w:asciiTheme="minorBidi" w:hAnsiTheme="minorBidi" w:cstheme="minorBidi"/>
                <w:sz w:val="20"/>
                <w:shd w:val="clear" w:color="auto" w:fill="E6E6E6"/>
              </w:rPr>
              <w:fldChar w:fldCharType="begin">
                <w:ffData>
                  <w:name w:val="Check2"/>
                  <w:enabled/>
                  <w:calcOnExit w:val="0"/>
                  <w:checkBox>
                    <w:size w:val="20"/>
                    <w:default w:val="0"/>
                  </w:checkBox>
                </w:ffData>
              </w:fldChar>
            </w:r>
            <w:r w:rsidRPr="00131981">
              <w:rPr>
                <w:rFonts w:asciiTheme="minorBidi" w:hAnsiTheme="minorBidi" w:cstheme="minorBidi"/>
                <w:sz w:val="20"/>
              </w:rPr>
              <w:instrText xml:space="preserve"> FORMCHECKBOX </w:instrText>
            </w:r>
            <w:r w:rsidR="00302468">
              <w:rPr>
                <w:rFonts w:asciiTheme="minorBidi" w:hAnsiTheme="minorBidi" w:cstheme="minorBidi"/>
                <w:sz w:val="20"/>
                <w:shd w:val="clear" w:color="auto" w:fill="E6E6E6"/>
              </w:rPr>
            </w:r>
            <w:r w:rsidR="00302468">
              <w:rPr>
                <w:rFonts w:asciiTheme="minorBidi" w:hAnsiTheme="minorBidi" w:cstheme="minorBidi"/>
                <w:sz w:val="20"/>
                <w:shd w:val="clear" w:color="auto" w:fill="E6E6E6"/>
              </w:rPr>
              <w:fldChar w:fldCharType="separate"/>
            </w:r>
            <w:r w:rsidRPr="00A2328E">
              <w:rPr>
                <w:rFonts w:asciiTheme="minorBidi" w:hAnsiTheme="minorBidi" w:cstheme="minorBidi"/>
                <w:sz w:val="20"/>
                <w:shd w:val="clear" w:color="auto" w:fill="E6E6E6"/>
              </w:rPr>
              <w:fldChar w:fldCharType="end"/>
            </w:r>
            <w:r w:rsidRPr="00131981">
              <w:rPr>
                <w:rFonts w:asciiTheme="minorBidi" w:hAnsiTheme="minorBidi" w:cstheme="minorBidi"/>
                <w:sz w:val="20"/>
              </w:rPr>
              <w:t xml:space="preserve"> Leakage emissions</w:t>
            </w:r>
          </w:p>
        </w:tc>
      </w:tr>
      <w:tr w:rsidR="004334D2" w:rsidRPr="00131981" w14:paraId="2D0D185E" w14:textId="77777777" w:rsidTr="00073748">
        <w:tc>
          <w:tcPr>
            <w:tcW w:w="2405" w:type="dxa"/>
            <w:shd w:val="clear" w:color="auto" w:fill="E6E6E6"/>
          </w:tcPr>
          <w:p w14:paraId="4D64D884"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30D31659" w14:textId="77777777" w:rsidR="004334D2" w:rsidRPr="008E01EE" w:rsidRDefault="004334D2" w:rsidP="00E06D0C">
            <w:pPr>
              <w:spacing w:before="60" w:after="60"/>
              <w:ind w:right="57"/>
              <w:rPr>
                <w:rFonts w:cs="Arial"/>
                <w:sz w:val="20"/>
              </w:rPr>
            </w:pPr>
            <w:r w:rsidRPr="008E01EE">
              <w:rPr>
                <w:rFonts w:cs="Arial"/>
                <w:sz w:val="20"/>
              </w:rPr>
              <w:t>As per the requirements of the mass flow tool</w:t>
            </w:r>
          </w:p>
        </w:tc>
      </w:tr>
      <w:tr w:rsidR="004334D2" w:rsidRPr="00131981" w14:paraId="62065774" w14:textId="77777777" w:rsidTr="00073748">
        <w:trPr>
          <w:trHeight w:val="107"/>
        </w:trPr>
        <w:tc>
          <w:tcPr>
            <w:tcW w:w="2405" w:type="dxa"/>
            <w:shd w:val="clear" w:color="auto" w:fill="E6E6E6"/>
          </w:tcPr>
          <w:p w14:paraId="6A6CA54A"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650DEB3C" w14:textId="77777777" w:rsidR="004334D2" w:rsidRPr="008E01EE" w:rsidRDefault="004334D2" w:rsidP="00E06D0C">
            <w:pPr>
              <w:spacing w:before="60" w:after="60"/>
              <w:ind w:right="57"/>
              <w:rPr>
                <w:rFonts w:cs="Arial"/>
                <w:sz w:val="20"/>
              </w:rPr>
            </w:pPr>
            <w:r w:rsidRPr="008E01EE">
              <w:rPr>
                <w:rFonts w:cs="Arial"/>
                <w:sz w:val="20"/>
              </w:rPr>
              <w:t>Activity participants</w:t>
            </w:r>
          </w:p>
        </w:tc>
      </w:tr>
      <w:tr w:rsidR="004334D2" w:rsidRPr="00131981" w14:paraId="6C72FA64" w14:textId="77777777" w:rsidTr="00073748">
        <w:trPr>
          <w:trHeight w:val="107"/>
        </w:trPr>
        <w:tc>
          <w:tcPr>
            <w:tcW w:w="2405" w:type="dxa"/>
            <w:vMerge w:val="restart"/>
            <w:shd w:val="clear" w:color="auto" w:fill="E6E6E6"/>
          </w:tcPr>
          <w:p w14:paraId="2855E43E"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441" w:type="dxa"/>
          </w:tcPr>
          <w:p w14:paraId="0221F5F8" w14:textId="77777777" w:rsidR="004334D2" w:rsidRPr="008E01EE" w:rsidRDefault="004334D2" w:rsidP="00E06D0C">
            <w:pPr>
              <w:spacing w:before="60" w:after="60"/>
              <w:ind w:right="57"/>
              <w:jc w:val="right"/>
              <w:rPr>
                <w:rFonts w:cs="Arial"/>
                <w:i/>
                <w:iCs/>
                <w:sz w:val="20"/>
              </w:rPr>
            </w:pPr>
            <w:r w:rsidRPr="008E01EE">
              <w:rPr>
                <w:rFonts w:cs="Arial"/>
                <w:i/>
                <w:iCs/>
                <w:sz w:val="20"/>
              </w:rPr>
              <w:t>Type of instrument</w:t>
            </w:r>
          </w:p>
        </w:tc>
        <w:tc>
          <w:tcPr>
            <w:tcW w:w="5505" w:type="dxa"/>
            <w:gridSpan w:val="3"/>
          </w:tcPr>
          <w:p w14:paraId="6BE5DD98" w14:textId="77777777" w:rsidR="004334D2" w:rsidRPr="008E01EE" w:rsidRDefault="004334D2" w:rsidP="00E06D0C">
            <w:pPr>
              <w:spacing w:before="60" w:after="60"/>
              <w:ind w:right="159"/>
              <w:rPr>
                <w:rFonts w:cs="Arial"/>
                <w:sz w:val="20"/>
              </w:rPr>
            </w:pPr>
            <w:r w:rsidRPr="008E01EE">
              <w:rPr>
                <w:rFonts w:cs="Arial"/>
                <w:sz w:val="20"/>
              </w:rPr>
              <w:t>As per the requirements of the mass flow tool</w:t>
            </w:r>
          </w:p>
        </w:tc>
      </w:tr>
      <w:tr w:rsidR="004334D2" w:rsidRPr="00131981" w14:paraId="1F736C87" w14:textId="77777777" w:rsidTr="00073748">
        <w:trPr>
          <w:trHeight w:val="104"/>
        </w:trPr>
        <w:tc>
          <w:tcPr>
            <w:tcW w:w="2405" w:type="dxa"/>
            <w:vMerge/>
          </w:tcPr>
          <w:p w14:paraId="11FCCDEF" w14:textId="77777777" w:rsidR="004334D2" w:rsidRPr="00131981" w:rsidRDefault="004334D2" w:rsidP="00247E9F">
            <w:pPr>
              <w:numPr>
                <w:ilvl w:val="1"/>
                <w:numId w:val="3"/>
              </w:numPr>
              <w:spacing w:before="60" w:after="60"/>
              <w:ind w:right="57"/>
              <w:rPr>
                <w:rFonts w:cs="Arial"/>
                <w:sz w:val="20"/>
              </w:rPr>
            </w:pPr>
          </w:p>
        </w:tc>
        <w:tc>
          <w:tcPr>
            <w:tcW w:w="1441" w:type="dxa"/>
          </w:tcPr>
          <w:p w14:paraId="2A750A30" w14:textId="77777777" w:rsidR="004334D2" w:rsidRPr="008E01EE" w:rsidRDefault="004334D2" w:rsidP="00E06D0C">
            <w:pPr>
              <w:spacing w:before="60" w:after="60"/>
              <w:ind w:right="57"/>
              <w:jc w:val="right"/>
              <w:rPr>
                <w:rFonts w:cs="Arial"/>
                <w:i/>
                <w:iCs/>
                <w:sz w:val="20"/>
              </w:rPr>
            </w:pPr>
            <w:r w:rsidRPr="008E01EE">
              <w:rPr>
                <w:rFonts w:cs="Arial"/>
                <w:i/>
                <w:iCs/>
                <w:sz w:val="20"/>
              </w:rPr>
              <w:t>Accuracy class</w:t>
            </w:r>
          </w:p>
        </w:tc>
        <w:tc>
          <w:tcPr>
            <w:tcW w:w="5505" w:type="dxa"/>
            <w:gridSpan w:val="3"/>
          </w:tcPr>
          <w:p w14:paraId="6714AE66" w14:textId="77777777" w:rsidR="004334D2" w:rsidRPr="008E01EE" w:rsidRDefault="004334D2" w:rsidP="00E06D0C">
            <w:pPr>
              <w:spacing w:before="60" w:after="60"/>
              <w:ind w:right="159"/>
              <w:rPr>
                <w:rFonts w:cs="Arial"/>
                <w:sz w:val="20"/>
              </w:rPr>
            </w:pPr>
            <w:r w:rsidRPr="008E01EE">
              <w:rPr>
                <w:rFonts w:cs="Arial"/>
                <w:sz w:val="20"/>
              </w:rPr>
              <w:t>As per the requirements of the mass flow tool</w:t>
            </w:r>
          </w:p>
        </w:tc>
      </w:tr>
      <w:tr w:rsidR="004334D2" w:rsidRPr="00131981" w14:paraId="06006F56" w14:textId="77777777" w:rsidTr="00073748">
        <w:trPr>
          <w:trHeight w:val="104"/>
        </w:trPr>
        <w:tc>
          <w:tcPr>
            <w:tcW w:w="2405" w:type="dxa"/>
            <w:vMerge/>
          </w:tcPr>
          <w:p w14:paraId="2A1738FB" w14:textId="77777777" w:rsidR="004334D2" w:rsidRPr="00131981" w:rsidRDefault="004334D2" w:rsidP="00247E9F">
            <w:pPr>
              <w:numPr>
                <w:ilvl w:val="1"/>
                <w:numId w:val="3"/>
              </w:numPr>
              <w:spacing w:before="60" w:after="60"/>
              <w:ind w:right="57"/>
              <w:rPr>
                <w:rFonts w:cs="Arial"/>
                <w:sz w:val="20"/>
              </w:rPr>
            </w:pPr>
          </w:p>
        </w:tc>
        <w:tc>
          <w:tcPr>
            <w:tcW w:w="1441" w:type="dxa"/>
          </w:tcPr>
          <w:p w14:paraId="57F1C907" w14:textId="77777777" w:rsidR="004334D2" w:rsidRPr="008E01EE" w:rsidRDefault="004334D2" w:rsidP="00E06D0C">
            <w:pPr>
              <w:spacing w:before="60" w:after="60"/>
              <w:ind w:right="57"/>
              <w:jc w:val="right"/>
              <w:rPr>
                <w:rFonts w:cs="Arial"/>
                <w:i/>
                <w:iCs/>
                <w:sz w:val="20"/>
              </w:rPr>
            </w:pPr>
            <w:r w:rsidRPr="008E01EE">
              <w:rPr>
                <w:rFonts w:cs="Arial"/>
                <w:i/>
                <w:iCs/>
                <w:sz w:val="20"/>
              </w:rPr>
              <w:t>Calibration requirements</w:t>
            </w:r>
          </w:p>
        </w:tc>
        <w:tc>
          <w:tcPr>
            <w:tcW w:w="5505" w:type="dxa"/>
            <w:gridSpan w:val="3"/>
          </w:tcPr>
          <w:p w14:paraId="71B9F532" w14:textId="77777777" w:rsidR="004334D2" w:rsidRPr="008E01EE" w:rsidRDefault="004334D2" w:rsidP="00E06D0C">
            <w:pPr>
              <w:spacing w:before="60" w:after="60"/>
              <w:ind w:right="159"/>
              <w:rPr>
                <w:rFonts w:cs="Arial"/>
                <w:sz w:val="20"/>
              </w:rPr>
            </w:pPr>
            <w:r w:rsidRPr="008E01EE">
              <w:rPr>
                <w:rFonts w:cs="Arial"/>
                <w:sz w:val="20"/>
              </w:rPr>
              <w:t>As per the requirements of the mass flow tool</w:t>
            </w:r>
          </w:p>
        </w:tc>
      </w:tr>
      <w:tr w:rsidR="004334D2" w:rsidRPr="00131981" w14:paraId="1D9363AE" w14:textId="77777777" w:rsidTr="00073748">
        <w:trPr>
          <w:trHeight w:val="104"/>
        </w:trPr>
        <w:tc>
          <w:tcPr>
            <w:tcW w:w="2405" w:type="dxa"/>
            <w:vMerge/>
          </w:tcPr>
          <w:p w14:paraId="59BBE692" w14:textId="77777777" w:rsidR="004334D2" w:rsidRPr="00131981" w:rsidRDefault="004334D2" w:rsidP="00247E9F">
            <w:pPr>
              <w:numPr>
                <w:ilvl w:val="1"/>
                <w:numId w:val="3"/>
              </w:numPr>
              <w:spacing w:before="60" w:after="60"/>
              <w:ind w:right="57"/>
              <w:rPr>
                <w:rFonts w:cs="Arial"/>
                <w:sz w:val="20"/>
              </w:rPr>
            </w:pPr>
          </w:p>
        </w:tc>
        <w:tc>
          <w:tcPr>
            <w:tcW w:w="1441" w:type="dxa"/>
          </w:tcPr>
          <w:p w14:paraId="18894EF3" w14:textId="77777777" w:rsidR="004334D2" w:rsidRPr="008E01EE" w:rsidRDefault="004334D2" w:rsidP="00E06D0C">
            <w:pPr>
              <w:spacing w:before="60" w:after="60"/>
              <w:ind w:right="57"/>
              <w:jc w:val="right"/>
              <w:rPr>
                <w:rFonts w:cs="Arial"/>
                <w:i/>
                <w:iCs/>
                <w:sz w:val="20"/>
              </w:rPr>
            </w:pPr>
            <w:r w:rsidRPr="008E01EE">
              <w:rPr>
                <w:rFonts w:cs="Arial"/>
                <w:i/>
                <w:iCs/>
                <w:sz w:val="20"/>
              </w:rPr>
              <w:t>Location</w:t>
            </w:r>
          </w:p>
        </w:tc>
        <w:tc>
          <w:tcPr>
            <w:tcW w:w="5505" w:type="dxa"/>
            <w:gridSpan w:val="3"/>
          </w:tcPr>
          <w:p w14:paraId="66A686EF" w14:textId="77777777" w:rsidR="004334D2" w:rsidRPr="008E01EE" w:rsidRDefault="004334D2" w:rsidP="00E06D0C">
            <w:pPr>
              <w:spacing w:before="60" w:after="60"/>
              <w:ind w:right="159"/>
              <w:rPr>
                <w:rFonts w:cs="Arial"/>
                <w:sz w:val="20"/>
              </w:rPr>
            </w:pPr>
            <w:r w:rsidRPr="008E01EE">
              <w:rPr>
                <w:rFonts w:cs="Arial"/>
                <w:sz w:val="20"/>
              </w:rPr>
              <w:t>As per the requirements of the mass flow tool</w:t>
            </w:r>
          </w:p>
        </w:tc>
      </w:tr>
      <w:tr w:rsidR="004334D2" w:rsidRPr="00131981" w14:paraId="7842D4B9" w14:textId="77777777" w:rsidTr="00073748">
        <w:tc>
          <w:tcPr>
            <w:tcW w:w="2405" w:type="dxa"/>
            <w:shd w:val="clear" w:color="auto" w:fill="E6E6E6"/>
          </w:tcPr>
          <w:p w14:paraId="3A63D06B"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223F7A48" w14:textId="77777777" w:rsidR="004334D2" w:rsidRPr="008E01EE" w:rsidRDefault="004334D2" w:rsidP="00E06D0C">
            <w:pPr>
              <w:tabs>
                <w:tab w:val="left" w:pos="121"/>
              </w:tabs>
              <w:spacing w:before="60" w:after="60"/>
              <w:ind w:right="159"/>
              <w:rPr>
                <w:rFonts w:asciiTheme="minorBidi" w:hAnsiTheme="minorBidi" w:cstheme="minorBidi"/>
                <w:sz w:val="20"/>
              </w:rPr>
            </w:pPr>
            <w:r w:rsidRPr="008E01EE">
              <w:rPr>
                <w:rFonts w:cs="Arial"/>
                <w:sz w:val="20"/>
              </w:rPr>
              <w:t>As per the requirements of the mass flow tool</w:t>
            </w:r>
          </w:p>
        </w:tc>
      </w:tr>
      <w:tr w:rsidR="004334D2" w:rsidRPr="00131981" w14:paraId="7C82E74A" w14:textId="77777777" w:rsidTr="00073748">
        <w:tc>
          <w:tcPr>
            <w:tcW w:w="2405" w:type="dxa"/>
            <w:shd w:val="clear" w:color="auto" w:fill="E6E6E6"/>
          </w:tcPr>
          <w:p w14:paraId="36E7C2BB"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74264DC8" w14:textId="77777777" w:rsidR="004334D2" w:rsidRPr="008E01EE" w:rsidRDefault="004334D2" w:rsidP="00E06D0C">
            <w:pPr>
              <w:tabs>
                <w:tab w:val="left" w:pos="121"/>
              </w:tabs>
              <w:spacing w:before="60" w:after="60"/>
              <w:ind w:right="159"/>
              <w:rPr>
                <w:rFonts w:cs="Arial"/>
                <w:sz w:val="20"/>
              </w:rPr>
            </w:pPr>
            <w:r w:rsidRPr="008E01EE">
              <w:rPr>
                <w:rFonts w:cs="Arial"/>
                <w:sz w:val="20"/>
              </w:rPr>
              <w:t>As per the requirements of the mass flow tool</w:t>
            </w:r>
          </w:p>
        </w:tc>
      </w:tr>
      <w:tr w:rsidR="004334D2" w:rsidRPr="00131981" w14:paraId="458B5BF5" w14:textId="77777777" w:rsidTr="00073748">
        <w:tc>
          <w:tcPr>
            <w:tcW w:w="2405" w:type="dxa"/>
            <w:shd w:val="clear" w:color="auto" w:fill="E6E6E6"/>
          </w:tcPr>
          <w:p w14:paraId="44F008FB" w14:textId="77777777" w:rsidR="004334D2" w:rsidRPr="00131981" w:rsidRDefault="004334D2" w:rsidP="00E06D0C">
            <w:pPr>
              <w:spacing w:before="60" w:after="60"/>
              <w:ind w:right="57"/>
              <w:jc w:val="left"/>
              <w:rPr>
                <w:rFonts w:cs="Arial"/>
                <w:sz w:val="20"/>
              </w:rPr>
            </w:pPr>
            <w:r>
              <w:rPr>
                <w:rFonts w:cs="Arial"/>
                <w:sz w:val="20"/>
              </w:rPr>
              <w:t>Treatment of uncertainty</w:t>
            </w:r>
          </w:p>
        </w:tc>
        <w:tc>
          <w:tcPr>
            <w:tcW w:w="6946" w:type="dxa"/>
            <w:gridSpan w:val="4"/>
          </w:tcPr>
          <w:p w14:paraId="47954BD7" w14:textId="77777777" w:rsidR="004334D2" w:rsidRDefault="004334D2" w:rsidP="00E06D0C">
            <w:pPr>
              <w:tabs>
                <w:tab w:val="left" w:pos="121"/>
              </w:tabs>
              <w:spacing w:before="60" w:after="60"/>
              <w:ind w:right="159"/>
              <w:rPr>
                <w:rFonts w:cs="Arial"/>
                <w:sz w:val="20"/>
              </w:rPr>
            </w:pPr>
            <w:r w:rsidRPr="00E24B77">
              <w:rPr>
                <w:rFonts w:cs="Arial"/>
                <w:sz w:val="20"/>
              </w:rPr>
              <w:t>Uncertainties are determined based on the measuring instruments and propagated through error propagation method or Monte</w:t>
            </w:r>
            <w:r>
              <w:rPr>
                <w:rFonts w:cs="Arial"/>
                <w:sz w:val="20"/>
              </w:rPr>
              <w:t xml:space="preserve"> C</w:t>
            </w:r>
            <w:r w:rsidRPr="00E24B77">
              <w:rPr>
                <w:rFonts w:cs="Arial"/>
                <w:sz w:val="20"/>
              </w:rPr>
              <w:t>arlo Simulation as per the 2019 Refinement to the 2006 IPCC Guidelines for National Greenhouse Gases Inventories</w:t>
            </w:r>
          </w:p>
        </w:tc>
      </w:tr>
      <w:tr w:rsidR="004334D2" w:rsidRPr="00131981" w14:paraId="7D6AEE21" w14:textId="77777777" w:rsidTr="00073748">
        <w:tc>
          <w:tcPr>
            <w:tcW w:w="2405" w:type="dxa"/>
            <w:shd w:val="clear" w:color="auto" w:fill="E6E6E6"/>
          </w:tcPr>
          <w:p w14:paraId="0E53B294"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3BF692CF" w14:textId="77777777" w:rsidR="004334D2" w:rsidRPr="00874419" w:rsidRDefault="004334D2" w:rsidP="00E06D0C">
            <w:pPr>
              <w:tabs>
                <w:tab w:val="left" w:pos="121"/>
              </w:tabs>
              <w:spacing w:before="60" w:after="60"/>
              <w:ind w:right="159"/>
              <w:rPr>
                <w:rFonts w:cs="Arial"/>
                <w:sz w:val="20"/>
              </w:rPr>
            </w:pPr>
            <w:r>
              <w:rPr>
                <w:rFonts w:cs="Arial"/>
                <w:sz w:val="20"/>
              </w:rPr>
              <w:t>-</w:t>
            </w:r>
          </w:p>
        </w:tc>
      </w:tr>
    </w:tbl>
    <w:p w14:paraId="73274F76" w14:textId="78DC9084"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16</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41"/>
        <w:gridCol w:w="1001"/>
        <w:gridCol w:w="2268"/>
        <w:gridCol w:w="2236"/>
      </w:tblGrid>
      <w:tr w:rsidR="004334D2" w:rsidRPr="00131981" w14:paraId="7AF35CE2" w14:textId="77777777" w:rsidTr="00073748">
        <w:tc>
          <w:tcPr>
            <w:tcW w:w="2405" w:type="dxa"/>
            <w:shd w:val="clear" w:color="auto" w:fill="E6E6E6"/>
          </w:tcPr>
          <w:p w14:paraId="46204EF6" w14:textId="77777777" w:rsidR="004334D2" w:rsidRPr="00131981" w:rsidRDefault="004334D2" w:rsidP="00E06D0C">
            <w:pPr>
              <w:spacing w:before="60" w:after="60"/>
              <w:ind w:right="57"/>
              <w:rPr>
                <w:rFonts w:cs="Arial"/>
                <w:b/>
                <w:bCs/>
                <w:sz w:val="20"/>
              </w:rPr>
            </w:pPr>
            <w:r w:rsidRPr="00131981">
              <w:rPr>
                <w:rFonts w:cs="Arial"/>
                <w:b/>
                <w:bCs/>
                <w:sz w:val="20"/>
              </w:rPr>
              <w:t>Data/parameter</w:t>
            </w:r>
          </w:p>
        </w:tc>
        <w:tc>
          <w:tcPr>
            <w:tcW w:w="6946" w:type="dxa"/>
            <w:gridSpan w:val="4"/>
          </w:tcPr>
          <w:p w14:paraId="60821F30" w14:textId="2E69686F" w:rsidR="004334D2" w:rsidRPr="00794D3D" w:rsidRDefault="00302468" w:rsidP="00E06D0C">
            <w:pPr>
              <w:spacing w:before="60" w:after="60"/>
              <w:ind w:right="57"/>
              <w:rPr>
                <w:rFonts w:cs="Arial"/>
                <w:b/>
                <w:bCs/>
                <w:sz w:val="20"/>
              </w:rPr>
            </w:pPr>
            <m:oMathPara>
              <m:oMathParaPr>
                <m:jc m:val="left"/>
              </m:oMathParaPr>
              <m:oMath>
                <m:sSub>
                  <m:sSubPr>
                    <m:ctrlPr>
                      <w:rPr>
                        <w:rFonts w:ascii="Cambria Math" w:hAnsi="Cambria Math"/>
                        <w:b/>
                        <w:bCs/>
                        <w:i/>
                      </w:rPr>
                    </m:ctrlPr>
                  </m:sSubPr>
                  <m:e>
                    <m:r>
                      <m:rPr>
                        <m:sty m:val="bi"/>
                      </m:rPr>
                      <w:rPr>
                        <w:rFonts w:ascii="Cambria Math" w:hAnsi="Cambria Math"/>
                      </w:rPr>
                      <m:t>F</m:t>
                    </m:r>
                  </m:e>
                  <m:sub>
                    <m:r>
                      <m:rPr>
                        <m:sty m:val="bi"/>
                      </m:rPr>
                      <w:rPr>
                        <w:rFonts w:ascii="Cambria Math" w:hAnsi="Cambria Math"/>
                      </w:rPr>
                      <m:t>LFG,BL,R,y</m:t>
                    </m:r>
                  </m:sub>
                </m:sSub>
              </m:oMath>
            </m:oMathPara>
          </w:p>
        </w:tc>
      </w:tr>
      <w:tr w:rsidR="004334D2" w:rsidRPr="00131981" w14:paraId="2DBE3266" w14:textId="77777777" w:rsidTr="00073748">
        <w:tc>
          <w:tcPr>
            <w:tcW w:w="2405" w:type="dxa"/>
            <w:shd w:val="clear" w:color="auto" w:fill="E6E6E6"/>
          </w:tcPr>
          <w:p w14:paraId="653F523F" w14:textId="77777777" w:rsidR="004334D2" w:rsidRPr="00131981" w:rsidRDefault="004334D2" w:rsidP="00E06D0C">
            <w:pPr>
              <w:spacing w:before="60" w:after="60"/>
              <w:ind w:right="57"/>
              <w:rPr>
                <w:rFonts w:cs="Arial"/>
                <w:sz w:val="20"/>
              </w:rPr>
            </w:pPr>
            <w:r w:rsidRPr="00131981">
              <w:rPr>
                <w:rFonts w:cs="Arial"/>
                <w:sz w:val="20"/>
              </w:rPr>
              <w:t>Description</w:t>
            </w:r>
          </w:p>
        </w:tc>
        <w:tc>
          <w:tcPr>
            <w:tcW w:w="6946" w:type="dxa"/>
            <w:gridSpan w:val="4"/>
          </w:tcPr>
          <w:p w14:paraId="49431660" w14:textId="65C2D9A6" w:rsidR="004334D2" w:rsidRPr="00131981" w:rsidRDefault="00F704B2" w:rsidP="00E06D0C">
            <w:pPr>
              <w:spacing w:before="60" w:after="60"/>
              <w:ind w:right="57"/>
              <w:rPr>
                <w:rFonts w:cs="Arial"/>
                <w:sz w:val="20"/>
              </w:rPr>
            </w:pPr>
            <w:r w:rsidRPr="00F704B2">
              <w:rPr>
                <w:rFonts w:cs="Arial"/>
                <w:sz w:val="20"/>
              </w:rPr>
              <w:t>Amount of LFG which is flared in the baseline due to a requirement in year</w:t>
            </w:r>
            <w:r w:rsidR="004372C2">
              <w:rPr>
                <w:rFonts w:cs="Arial"/>
                <w:sz w:val="20"/>
              </w:rPr>
              <w:t> </w:t>
            </w:r>
            <w:r w:rsidRPr="00F704B2">
              <w:rPr>
                <w:rFonts w:cs="Arial"/>
                <w:sz w:val="20"/>
              </w:rPr>
              <w:t>y</w:t>
            </w:r>
          </w:p>
        </w:tc>
      </w:tr>
      <w:tr w:rsidR="004334D2" w:rsidRPr="00131981" w14:paraId="638192D1" w14:textId="77777777" w:rsidTr="00073748">
        <w:tc>
          <w:tcPr>
            <w:tcW w:w="2405" w:type="dxa"/>
            <w:shd w:val="clear" w:color="auto" w:fill="E6E6E6"/>
          </w:tcPr>
          <w:p w14:paraId="74A03E81"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428AD7B2" w14:textId="555BAADE" w:rsidR="004334D2" w:rsidRPr="00131981" w:rsidRDefault="00F704B2" w:rsidP="00E06D0C">
            <w:pPr>
              <w:spacing w:before="60" w:after="60"/>
              <w:ind w:right="57"/>
              <w:rPr>
                <w:rFonts w:cs="Arial"/>
                <w:sz w:val="20"/>
              </w:rPr>
            </w:pPr>
            <w:r>
              <w:rPr>
                <w:rFonts w:cs="Arial"/>
                <w:sz w:val="20"/>
              </w:rPr>
              <w:t>m</w:t>
            </w:r>
            <w:r w:rsidRPr="00F704B2">
              <w:rPr>
                <w:rFonts w:cs="Arial"/>
                <w:sz w:val="20"/>
                <w:vertAlign w:val="superscript"/>
              </w:rPr>
              <w:t>3</w:t>
            </w:r>
            <w:r w:rsidR="004334D2" w:rsidRPr="00173521">
              <w:rPr>
                <w:rFonts w:cs="Arial"/>
                <w:sz w:val="20"/>
              </w:rPr>
              <w:t>/year</w:t>
            </w:r>
          </w:p>
        </w:tc>
      </w:tr>
      <w:tr w:rsidR="004334D2" w:rsidRPr="00131981" w14:paraId="30C7C374" w14:textId="77777777" w:rsidTr="00073748">
        <w:tc>
          <w:tcPr>
            <w:tcW w:w="2405" w:type="dxa"/>
            <w:shd w:val="clear" w:color="auto" w:fill="E6E6E6"/>
          </w:tcPr>
          <w:p w14:paraId="7CEA3CE1"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412E8597" w14:textId="5DB92548" w:rsidR="004334D2" w:rsidRPr="00131981" w:rsidRDefault="0037537B" w:rsidP="00E06D0C">
            <w:pPr>
              <w:spacing w:before="60" w:after="60"/>
              <w:ind w:right="57"/>
              <w:rPr>
                <w:rFonts w:cs="Arial"/>
                <w:sz w:val="20"/>
              </w:rPr>
            </w:pPr>
            <w:r>
              <w:rPr>
                <w:rFonts w:cs="Arial"/>
                <w:sz w:val="20"/>
              </w:rPr>
              <w:t>(6)</w:t>
            </w:r>
          </w:p>
        </w:tc>
      </w:tr>
      <w:tr w:rsidR="004334D2" w:rsidRPr="00131981" w14:paraId="373BEAFA" w14:textId="77777777" w:rsidTr="00073748">
        <w:tc>
          <w:tcPr>
            <w:tcW w:w="2405" w:type="dxa"/>
            <w:shd w:val="clear" w:color="auto" w:fill="E6E6E6"/>
          </w:tcPr>
          <w:p w14:paraId="7AA20B8F"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442" w:type="dxa"/>
            <w:gridSpan w:val="2"/>
          </w:tcPr>
          <w:p w14:paraId="35A265A9"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1"/>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Baseline emissions</w:t>
            </w:r>
          </w:p>
        </w:tc>
        <w:tc>
          <w:tcPr>
            <w:tcW w:w="2268" w:type="dxa"/>
          </w:tcPr>
          <w:p w14:paraId="3222CFD9" w14:textId="1943FBD5"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w:t>
            </w:r>
            <w:r w:rsidR="005704AC">
              <w:rPr>
                <w:rFonts w:cs="Arial"/>
                <w:sz w:val="20"/>
              </w:rPr>
              <w:t>Project emissions</w:t>
            </w:r>
          </w:p>
        </w:tc>
        <w:tc>
          <w:tcPr>
            <w:tcW w:w="2236" w:type="dxa"/>
          </w:tcPr>
          <w:p w14:paraId="7C8C8E4C"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Leakage emissions</w:t>
            </w:r>
          </w:p>
        </w:tc>
      </w:tr>
      <w:tr w:rsidR="004334D2" w:rsidRPr="00131981" w14:paraId="4D33FE68" w14:textId="77777777" w:rsidTr="00073748">
        <w:tc>
          <w:tcPr>
            <w:tcW w:w="2405" w:type="dxa"/>
            <w:shd w:val="clear" w:color="auto" w:fill="E6E6E6"/>
          </w:tcPr>
          <w:p w14:paraId="10B24BEB"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23173AB5" w14:textId="7F24A7CB" w:rsidR="004334D2" w:rsidRPr="00131981" w:rsidRDefault="004334D2" w:rsidP="00E06D0C">
            <w:pPr>
              <w:spacing w:before="60" w:after="60"/>
              <w:ind w:right="57"/>
              <w:rPr>
                <w:rFonts w:cs="Arial"/>
                <w:sz w:val="20"/>
              </w:rPr>
            </w:pPr>
            <w:r>
              <w:rPr>
                <w:rFonts w:cs="Arial"/>
                <w:sz w:val="20"/>
              </w:rPr>
              <w:t>N/A. Information is sourced directly from the law, regulation or contractual requirement</w:t>
            </w:r>
          </w:p>
        </w:tc>
      </w:tr>
      <w:tr w:rsidR="004334D2" w:rsidRPr="00131981" w14:paraId="6B1111E1" w14:textId="77777777" w:rsidTr="00073748">
        <w:trPr>
          <w:trHeight w:val="107"/>
        </w:trPr>
        <w:tc>
          <w:tcPr>
            <w:tcW w:w="2405" w:type="dxa"/>
            <w:shd w:val="clear" w:color="auto" w:fill="E6E6E6"/>
          </w:tcPr>
          <w:p w14:paraId="5EB3AEA7"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2E401276" w14:textId="77777777" w:rsidR="004334D2" w:rsidRPr="00131981" w:rsidRDefault="004334D2" w:rsidP="00E06D0C">
            <w:pPr>
              <w:spacing w:before="60" w:after="60"/>
              <w:ind w:right="57"/>
              <w:rPr>
                <w:rFonts w:cs="Arial"/>
                <w:sz w:val="20"/>
              </w:rPr>
            </w:pPr>
            <w:r>
              <w:rPr>
                <w:rFonts w:cs="Arial"/>
                <w:sz w:val="20"/>
              </w:rPr>
              <w:t>Activity participants</w:t>
            </w:r>
          </w:p>
        </w:tc>
      </w:tr>
      <w:tr w:rsidR="004334D2" w:rsidRPr="00131981" w14:paraId="3648904D" w14:textId="77777777" w:rsidTr="00073748">
        <w:trPr>
          <w:trHeight w:val="107"/>
        </w:trPr>
        <w:tc>
          <w:tcPr>
            <w:tcW w:w="2405" w:type="dxa"/>
            <w:vMerge w:val="restart"/>
            <w:shd w:val="clear" w:color="auto" w:fill="E6E6E6"/>
          </w:tcPr>
          <w:p w14:paraId="08E7DCDA"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441" w:type="dxa"/>
          </w:tcPr>
          <w:p w14:paraId="42105144" w14:textId="77777777" w:rsidR="004334D2" w:rsidRPr="00131981" w:rsidRDefault="004334D2" w:rsidP="00E06D0C">
            <w:pPr>
              <w:spacing w:before="60" w:after="60"/>
              <w:ind w:right="57"/>
              <w:jc w:val="right"/>
              <w:rPr>
                <w:rFonts w:cs="Arial"/>
                <w:i/>
                <w:iCs/>
                <w:sz w:val="20"/>
              </w:rPr>
            </w:pPr>
            <w:r w:rsidRPr="00131981">
              <w:rPr>
                <w:rFonts w:cs="Arial"/>
                <w:i/>
                <w:iCs/>
                <w:sz w:val="20"/>
              </w:rPr>
              <w:t>Type of instrument</w:t>
            </w:r>
          </w:p>
        </w:tc>
        <w:tc>
          <w:tcPr>
            <w:tcW w:w="5505" w:type="dxa"/>
            <w:gridSpan w:val="3"/>
          </w:tcPr>
          <w:p w14:paraId="070A6EC8" w14:textId="77777777" w:rsidR="004334D2" w:rsidRPr="00131981" w:rsidRDefault="004334D2" w:rsidP="00E06D0C">
            <w:pPr>
              <w:spacing w:before="60" w:after="60"/>
              <w:ind w:right="159"/>
              <w:rPr>
                <w:rFonts w:cs="Arial"/>
                <w:sz w:val="20"/>
              </w:rPr>
            </w:pPr>
            <w:r>
              <w:rPr>
                <w:rFonts w:cs="Arial"/>
                <w:sz w:val="20"/>
              </w:rPr>
              <w:t>N/A</w:t>
            </w:r>
          </w:p>
        </w:tc>
      </w:tr>
      <w:tr w:rsidR="004334D2" w:rsidRPr="00131981" w14:paraId="069420A3" w14:textId="77777777" w:rsidTr="00073748">
        <w:trPr>
          <w:trHeight w:val="104"/>
        </w:trPr>
        <w:tc>
          <w:tcPr>
            <w:tcW w:w="2405" w:type="dxa"/>
            <w:vMerge/>
          </w:tcPr>
          <w:p w14:paraId="18D4A2CE" w14:textId="77777777" w:rsidR="004334D2" w:rsidRPr="00131981" w:rsidRDefault="004334D2" w:rsidP="00E06D0C">
            <w:pPr>
              <w:spacing w:before="60" w:after="60"/>
              <w:ind w:right="57"/>
              <w:rPr>
                <w:rFonts w:cs="Arial"/>
                <w:sz w:val="20"/>
              </w:rPr>
            </w:pPr>
          </w:p>
        </w:tc>
        <w:tc>
          <w:tcPr>
            <w:tcW w:w="1441" w:type="dxa"/>
          </w:tcPr>
          <w:p w14:paraId="30768198" w14:textId="77777777" w:rsidR="004334D2" w:rsidRPr="00131981" w:rsidRDefault="004334D2" w:rsidP="00E06D0C">
            <w:pPr>
              <w:spacing w:before="60" w:after="60"/>
              <w:ind w:right="57"/>
              <w:jc w:val="right"/>
              <w:rPr>
                <w:rFonts w:cs="Arial"/>
                <w:i/>
                <w:iCs/>
                <w:sz w:val="20"/>
              </w:rPr>
            </w:pPr>
            <w:r w:rsidRPr="00131981">
              <w:rPr>
                <w:rFonts w:cs="Arial"/>
                <w:i/>
                <w:iCs/>
                <w:sz w:val="20"/>
              </w:rPr>
              <w:t>Accuracy class</w:t>
            </w:r>
          </w:p>
        </w:tc>
        <w:tc>
          <w:tcPr>
            <w:tcW w:w="5505" w:type="dxa"/>
            <w:gridSpan w:val="3"/>
          </w:tcPr>
          <w:p w14:paraId="4D566601" w14:textId="77777777" w:rsidR="004334D2" w:rsidRPr="00131981" w:rsidRDefault="004334D2" w:rsidP="00E06D0C">
            <w:pPr>
              <w:spacing w:before="60" w:after="60"/>
              <w:ind w:right="159"/>
              <w:rPr>
                <w:rFonts w:cs="Arial"/>
                <w:sz w:val="20"/>
              </w:rPr>
            </w:pPr>
            <w:r>
              <w:rPr>
                <w:rFonts w:cs="Arial"/>
                <w:sz w:val="20"/>
              </w:rPr>
              <w:t>N/A</w:t>
            </w:r>
          </w:p>
        </w:tc>
      </w:tr>
      <w:tr w:rsidR="004334D2" w:rsidRPr="00131981" w14:paraId="2FFCA7CC" w14:textId="77777777" w:rsidTr="00073748">
        <w:trPr>
          <w:trHeight w:val="104"/>
        </w:trPr>
        <w:tc>
          <w:tcPr>
            <w:tcW w:w="2405" w:type="dxa"/>
            <w:vMerge/>
          </w:tcPr>
          <w:p w14:paraId="7BB4D2BF" w14:textId="77777777" w:rsidR="004334D2" w:rsidRPr="00131981" w:rsidRDefault="004334D2" w:rsidP="00E06D0C">
            <w:pPr>
              <w:spacing w:before="60" w:after="60"/>
              <w:ind w:right="57"/>
              <w:rPr>
                <w:rFonts w:cs="Arial"/>
                <w:sz w:val="20"/>
              </w:rPr>
            </w:pPr>
          </w:p>
        </w:tc>
        <w:tc>
          <w:tcPr>
            <w:tcW w:w="1441" w:type="dxa"/>
          </w:tcPr>
          <w:p w14:paraId="6305D8CE" w14:textId="77777777" w:rsidR="004334D2" w:rsidRPr="00131981" w:rsidRDefault="004334D2" w:rsidP="00E06D0C">
            <w:pPr>
              <w:spacing w:before="60" w:after="60"/>
              <w:ind w:right="57"/>
              <w:jc w:val="right"/>
              <w:rPr>
                <w:rFonts w:cs="Arial"/>
                <w:i/>
                <w:iCs/>
                <w:sz w:val="20"/>
              </w:rPr>
            </w:pPr>
            <w:r w:rsidRPr="00131981">
              <w:rPr>
                <w:rFonts w:cs="Arial"/>
                <w:i/>
                <w:iCs/>
                <w:sz w:val="20"/>
              </w:rPr>
              <w:t>Calibration requirements</w:t>
            </w:r>
          </w:p>
        </w:tc>
        <w:tc>
          <w:tcPr>
            <w:tcW w:w="5505" w:type="dxa"/>
            <w:gridSpan w:val="3"/>
          </w:tcPr>
          <w:p w14:paraId="725B3492" w14:textId="77777777" w:rsidR="004334D2" w:rsidRPr="00E564B0" w:rsidRDefault="004334D2" w:rsidP="00E06D0C">
            <w:pPr>
              <w:spacing w:before="60" w:after="60"/>
              <w:ind w:right="159"/>
              <w:rPr>
                <w:rFonts w:cs="Arial"/>
                <w:sz w:val="20"/>
              </w:rPr>
            </w:pPr>
            <w:r>
              <w:rPr>
                <w:rFonts w:cs="Arial"/>
                <w:sz w:val="20"/>
              </w:rPr>
              <w:t>N/A</w:t>
            </w:r>
          </w:p>
        </w:tc>
      </w:tr>
      <w:tr w:rsidR="004334D2" w:rsidRPr="00131981" w14:paraId="717B48B4" w14:textId="77777777" w:rsidTr="00073748">
        <w:trPr>
          <w:trHeight w:val="104"/>
        </w:trPr>
        <w:tc>
          <w:tcPr>
            <w:tcW w:w="2405" w:type="dxa"/>
            <w:vMerge/>
          </w:tcPr>
          <w:p w14:paraId="0ABE002C" w14:textId="77777777" w:rsidR="004334D2" w:rsidRPr="00131981" w:rsidRDefault="004334D2" w:rsidP="00E06D0C">
            <w:pPr>
              <w:spacing w:before="60" w:after="60"/>
              <w:ind w:right="57"/>
              <w:rPr>
                <w:rFonts w:cs="Arial"/>
                <w:sz w:val="20"/>
              </w:rPr>
            </w:pPr>
          </w:p>
        </w:tc>
        <w:tc>
          <w:tcPr>
            <w:tcW w:w="1441" w:type="dxa"/>
          </w:tcPr>
          <w:p w14:paraId="36196144" w14:textId="77777777" w:rsidR="004334D2" w:rsidRPr="00131981" w:rsidRDefault="004334D2" w:rsidP="00E06D0C">
            <w:pPr>
              <w:spacing w:before="60" w:after="60"/>
              <w:ind w:right="57"/>
              <w:jc w:val="right"/>
              <w:rPr>
                <w:rFonts w:cs="Arial"/>
                <w:i/>
                <w:iCs/>
                <w:sz w:val="20"/>
              </w:rPr>
            </w:pPr>
            <w:r w:rsidRPr="00131981">
              <w:rPr>
                <w:rFonts w:cs="Arial"/>
                <w:i/>
                <w:iCs/>
                <w:sz w:val="20"/>
              </w:rPr>
              <w:t>Location</w:t>
            </w:r>
          </w:p>
        </w:tc>
        <w:tc>
          <w:tcPr>
            <w:tcW w:w="5505" w:type="dxa"/>
            <w:gridSpan w:val="3"/>
          </w:tcPr>
          <w:p w14:paraId="06B539E9"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12A666E5" w14:textId="77777777" w:rsidTr="00073748">
        <w:tc>
          <w:tcPr>
            <w:tcW w:w="2405" w:type="dxa"/>
            <w:shd w:val="clear" w:color="auto" w:fill="E6E6E6"/>
          </w:tcPr>
          <w:p w14:paraId="21A10FE9"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3AEC347D" w14:textId="3C460591" w:rsidR="004334D2" w:rsidRPr="00A347EB" w:rsidRDefault="004334D2" w:rsidP="00E06D0C">
            <w:pPr>
              <w:spacing w:before="60" w:after="60"/>
              <w:ind w:right="159"/>
              <w:rPr>
                <w:rFonts w:asciiTheme="minorBidi" w:hAnsiTheme="minorBidi" w:cstheme="minorBidi"/>
                <w:sz w:val="20"/>
              </w:rPr>
            </w:pPr>
            <w:r>
              <w:rPr>
                <w:rFonts w:cs="Arial"/>
                <w:sz w:val="20"/>
                <w:szCs w:val="18"/>
              </w:rPr>
              <w:t xml:space="preserve">Annual </w:t>
            </w:r>
            <w:r w:rsidRPr="00E564B0">
              <w:rPr>
                <w:rFonts w:cs="Arial"/>
                <w:sz w:val="20"/>
              </w:rPr>
              <w:t>check</w:t>
            </w:r>
            <w:r>
              <w:rPr>
                <w:rFonts w:cs="Arial"/>
                <w:sz w:val="20"/>
                <w:szCs w:val="18"/>
              </w:rPr>
              <w:t xml:space="preserve"> of the law, regulation or contractual requirements</w:t>
            </w:r>
          </w:p>
        </w:tc>
      </w:tr>
      <w:tr w:rsidR="004334D2" w:rsidRPr="00131981" w14:paraId="09DED82D" w14:textId="77777777" w:rsidTr="00073748">
        <w:tc>
          <w:tcPr>
            <w:tcW w:w="2405" w:type="dxa"/>
            <w:shd w:val="clear" w:color="auto" w:fill="E6E6E6"/>
          </w:tcPr>
          <w:p w14:paraId="14C61D9C"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0F6AA8EA" w14:textId="77777777" w:rsidR="004334D2" w:rsidRPr="00E564B0" w:rsidRDefault="004334D2" w:rsidP="00E06D0C">
            <w:pPr>
              <w:spacing w:before="60" w:after="60"/>
              <w:ind w:right="159"/>
              <w:rPr>
                <w:rFonts w:cs="Arial"/>
                <w:sz w:val="20"/>
                <w:szCs w:val="18"/>
              </w:rPr>
            </w:pPr>
            <w:r>
              <w:rPr>
                <w:rFonts w:cs="Arial"/>
                <w:sz w:val="20"/>
                <w:szCs w:val="18"/>
              </w:rPr>
              <w:t>-</w:t>
            </w:r>
          </w:p>
        </w:tc>
      </w:tr>
      <w:tr w:rsidR="004334D2" w:rsidRPr="00131981" w14:paraId="73FCF9A7" w14:textId="77777777" w:rsidTr="00073748">
        <w:tc>
          <w:tcPr>
            <w:tcW w:w="2405" w:type="dxa"/>
            <w:shd w:val="clear" w:color="auto" w:fill="E6E6E6"/>
          </w:tcPr>
          <w:p w14:paraId="4517EE8B" w14:textId="77777777" w:rsidR="004334D2" w:rsidRPr="00131981" w:rsidRDefault="004334D2" w:rsidP="00E06D0C">
            <w:pPr>
              <w:spacing w:before="60" w:after="60"/>
              <w:ind w:right="57"/>
              <w:rPr>
                <w:rFonts w:cs="Arial"/>
                <w:sz w:val="20"/>
              </w:rPr>
            </w:pPr>
            <w:r>
              <w:rPr>
                <w:rFonts w:cs="Arial"/>
                <w:sz w:val="20"/>
              </w:rPr>
              <w:t>Treatment of uncertainty</w:t>
            </w:r>
          </w:p>
        </w:tc>
        <w:tc>
          <w:tcPr>
            <w:tcW w:w="6946" w:type="dxa"/>
            <w:gridSpan w:val="4"/>
          </w:tcPr>
          <w:p w14:paraId="42272D2D" w14:textId="77777777" w:rsidR="004334D2" w:rsidRDefault="004334D2" w:rsidP="00E06D0C">
            <w:pPr>
              <w:spacing w:before="60" w:after="60"/>
              <w:ind w:right="159"/>
              <w:rPr>
                <w:rFonts w:cs="Arial"/>
                <w:sz w:val="20"/>
                <w:szCs w:val="18"/>
              </w:rPr>
            </w:pPr>
            <w:r>
              <w:rPr>
                <w:rFonts w:cs="Arial"/>
                <w:sz w:val="20"/>
                <w:szCs w:val="18"/>
              </w:rPr>
              <w:t>N/A</w:t>
            </w:r>
          </w:p>
        </w:tc>
      </w:tr>
      <w:tr w:rsidR="004334D2" w:rsidRPr="00131981" w14:paraId="35CDB852" w14:textId="77777777" w:rsidTr="00073748">
        <w:tc>
          <w:tcPr>
            <w:tcW w:w="2405" w:type="dxa"/>
            <w:shd w:val="clear" w:color="auto" w:fill="E6E6E6"/>
          </w:tcPr>
          <w:p w14:paraId="4B02617F"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35631948" w14:textId="7B517481" w:rsidR="004334D2" w:rsidRPr="00A021D4" w:rsidRDefault="00A021D4" w:rsidP="00E06D0C">
            <w:pPr>
              <w:spacing w:before="60" w:after="60"/>
              <w:ind w:right="159"/>
              <w:rPr>
                <w:rFonts w:cs="Arial"/>
                <w:sz w:val="20"/>
              </w:rPr>
            </w:pPr>
            <w:r>
              <w:rPr>
                <w:sz w:val="20"/>
              </w:rPr>
              <w:t xml:space="preserve">The parameter </w:t>
            </w:r>
            <w:r w:rsidRPr="00A021D4">
              <w:rPr>
                <w:sz w:val="20"/>
              </w:rPr>
              <w:t>is converted to the amount of methane (tCH</w:t>
            </w:r>
            <w:r w:rsidRPr="00A021D4">
              <w:rPr>
                <w:sz w:val="20"/>
                <w:vertAlign w:val="subscript"/>
              </w:rPr>
              <w:t>4</w:t>
            </w:r>
            <w:r w:rsidRPr="00A021D4">
              <w:rPr>
                <w:sz w:val="20"/>
              </w:rPr>
              <w:t xml:space="preserve">/year) as per paragraph </w:t>
            </w:r>
            <w:r w:rsidRPr="00A021D4">
              <w:rPr>
                <w:sz w:val="20"/>
              </w:rPr>
              <w:fldChar w:fldCharType="begin"/>
            </w:r>
            <w:r w:rsidRPr="00A021D4">
              <w:rPr>
                <w:sz w:val="20"/>
              </w:rPr>
              <w:instrText xml:space="preserve"> REF _Ref203472219 \n \p \h  \* MERGEFORMAT </w:instrText>
            </w:r>
            <w:r w:rsidRPr="00A021D4">
              <w:rPr>
                <w:sz w:val="20"/>
              </w:rPr>
            </w:r>
            <w:r w:rsidRPr="00A021D4">
              <w:rPr>
                <w:sz w:val="20"/>
              </w:rPr>
              <w:fldChar w:fldCharType="separate"/>
            </w:r>
            <w:r w:rsidR="00302468">
              <w:rPr>
                <w:sz w:val="20"/>
                <w:cs/>
              </w:rPr>
              <w:t>‎</w:t>
            </w:r>
            <w:r w:rsidR="00302468">
              <w:rPr>
                <w:sz w:val="20"/>
              </w:rPr>
              <w:t>91 above</w:t>
            </w:r>
            <w:r w:rsidRPr="00A021D4">
              <w:rPr>
                <w:sz w:val="20"/>
              </w:rPr>
              <w:fldChar w:fldCharType="end"/>
            </w:r>
          </w:p>
        </w:tc>
      </w:tr>
    </w:tbl>
    <w:p w14:paraId="30250179" w14:textId="61730745"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17</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441"/>
        <w:gridCol w:w="1002"/>
        <w:gridCol w:w="2267"/>
        <w:gridCol w:w="2236"/>
      </w:tblGrid>
      <w:tr w:rsidR="004334D2" w:rsidRPr="00131981" w14:paraId="1E6F5D90" w14:textId="77777777" w:rsidTr="00073748">
        <w:tc>
          <w:tcPr>
            <w:tcW w:w="2405" w:type="dxa"/>
            <w:shd w:val="clear" w:color="auto" w:fill="E6E6E6"/>
          </w:tcPr>
          <w:p w14:paraId="16B65713" w14:textId="77777777" w:rsidR="004334D2" w:rsidRPr="00131981" w:rsidRDefault="004334D2" w:rsidP="00E06D0C">
            <w:pPr>
              <w:spacing w:before="60" w:after="60"/>
              <w:ind w:right="57"/>
              <w:rPr>
                <w:rFonts w:cs="Arial"/>
                <w:b/>
                <w:bCs/>
                <w:sz w:val="20"/>
              </w:rPr>
            </w:pPr>
            <w:r w:rsidRPr="00131981">
              <w:rPr>
                <w:rFonts w:cs="Arial"/>
                <w:b/>
                <w:bCs/>
                <w:sz w:val="20"/>
              </w:rPr>
              <w:t>Data/parameter</w:t>
            </w:r>
          </w:p>
        </w:tc>
        <w:tc>
          <w:tcPr>
            <w:tcW w:w="6946" w:type="dxa"/>
            <w:gridSpan w:val="4"/>
          </w:tcPr>
          <w:p w14:paraId="6C373EC1" w14:textId="77777777" w:rsidR="004334D2" w:rsidRPr="00F16A3A" w:rsidRDefault="00302468" w:rsidP="00E06D0C">
            <w:pPr>
              <w:spacing w:before="60" w:after="60"/>
              <w:ind w:right="57"/>
              <w:rPr>
                <w:rFonts w:cs="Arial"/>
                <w:b/>
                <w:bCs/>
                <w:sz w:val="20"/>
              </w:rPr>
            </w:pPr>
            <m:oMathPara>
              <m:oMathParaPr>
                <m:jc m:val="left"/>
              </m:oMathParaP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reg,y</m:t>
                    </m:r>
                  </m:sub>
                </m:sSub>
              </m:oMath>
            </m:oMathPara>
          </w:p>
        </w:tc>
      </w:tr>
      <w:tr w:rsidR="004334D2" w:rsidRPr="00131981" w14:paraId="4F66CACC" w14:textId="77777777" w:rsidTr="00073748">
        <w:tc>
          <w:tcPr>
            <w:tcW w:w="2405" w:type="dxa"/>
            <w:shd w:val="clear" w:color="auto" w:fill="E6E6E6"/>
          </w:tcPr>
          <w:p w14:paraId="31652312" w14:textId="77777777" w:rsidR="004334D2" w:rsidRPr="00131981" w:rsidRDefault="004334D2" w:rsidP="00E06D0C">
            <w:pPr>
              <w:spacing w:before="60" w:after="60"/>
              <w:ind w:right="57"/>
              <w:rPr>
                <w:rFonts w:cs="Arial"/>
                <w:sz w:val="20"/>
              </w:rPr>
            </w:pPr>
            <w:r w:rsidRPr="00131981">
              <w:rPr>
                <w:rFonts w:cs="Arial"/>
                <w:sz w:val="20"/>
              </w:rPr>
              <w:t>Description</w:t>
            </w:r>
          </w:p>
        </w:tc>
        <w:tc>
          <w:tcPr>
            <w:tcW w:w="6946" w:type="dxa"/>
            <w:gridSpan w:val="4"/>
          </w:tcPr>
          <w:p w14:paraId="0FFF4781" w14:textId="77777777" w:rsidR="004334D2" w:rsidRPr="00131981" w:rsidRDefault="004334D2" w:rsidP="00E06D0C">
            <w:pPr>
              <w:spacing w:before="60" w:after="60"/>
              <w:ind w:right="57"/>
              <w:rPr>
                <w:rFonts w:cs="Arial"/>
                <w:sz w:val="20"/>
              </w:rPr>
            </w:pPr>
            <w:r w:rsidRPr="003C32CF">
              <w:rPr>
                <w:rFonts w:cs="Arial"/>
                <w:sz w:val="20"/>
              </w:rPr>
              <w:t xml:space="preserve">Fraction of LFG that is required to be destroyed due to a requirement in year </w:t>
            </w:r>
            <w:r w:rsidRPr="005C6415">
              <w:rPr>
                <w:rFonts w:cs="Arial"/>
                <w:i/>
                <w:iCs/>
                <w:sz w:val="20"/>
              </w:rPr>
              <w:t>y</w:t>
            </w:r>
          </w:p>
        </w:tc>
      </w:tr>
      <w:tr w:rsidR="004334D2" w:rsidRPr="00131981" w14:paraId="05049D30" w14:textId="77777777" w:rsidTr="00073748">
        <w:tc>
          <w:tcPr>
            <w:tcW w:w="2405" w:type="dxa"/>
            <w:shd w:val="clear" w:color="auto" w:fill="E6E6E6"/>
          </w:tcPr>
          <w:p w14:paraId="357ED105"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5D258FA5" w14:textId="77777777" w:rsidR="004334D2" w:rsidRPr="00131981" w:rsidRDefault="004334D2" w:rsidP="00E06D0C">
            <w:pPr>
              <w:spacing w:before="60" w:after="60"/>
              <w:ind w:right="57"/>
              <w:rPr>
                <w:rFonts w:cs="Arial"/>
                <w:sz w:val="20"/>
              </w:rPr>
            </w:pPr>
            <w:r>
              <w:rPr>
                <w:rFonts w:cs="Arial"/>
                <w:sz w:val="20"/>
              </w:rPr>
              <w:t>%</w:t>
            </w:r>
          </w:p>
        </w:tc>
      </w:tr>
      <w:tr w:rsidR="004334D2" w:rsidRPr="00131981" w14:paraId="4989CA22" w14:textId="77777777" w:rsidTr="00073748">
        <w:tc>
          <w:tcPr>
            <w:tcW w:w="2405" w:type="dxa"/>
            <w:shd w:val="clear" w:color="auto" w:fill="E6E6E6"/>
          </w:tcPr>
          <w:p w14:paraId="1D0EF1AA"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6159B536" w14:textId="44FB06C2" w:rsidR="004334D2" w:rsidRPr="00131981" w:rsidRDefault="0037537B" w:rsidP="00E06D0C">
            <w:pPr>
              <w:spacing w:before="60" w:after="60"/>
              <w:ind w:right="57"/>
              <w:rPr>
                <w:rFonts w:cs="Arial"/>
                <w:sz w:val="20"/>
              </w:rPr>
            </w:pPr>
            <w:r>
              <w:rPr>
                <w:rFonts w:cs="Arial"/>
                <w:sz w:val="20"/>
              </w:rPr>
              <w:t>(7)</w:t>
            </w:r>
          </w:p>
        </w:tc>
      </w:tr>
      <w:tr w:rsidR="004334D2" w:rsidRPr="00131981" w14:paraId="6FA4ADD4" w14:textId="77777777" w:rsidTr="00073748">
        <w:tc>
          <w:tcPr>
            <w:tcW w:w="2405" w:type="dxa"/>
            <w:shd w:val="clear" w:color="auto" w:fill="E6E6E6"/>
          </w:tcPr>
          <w:p w14:paraId="461C5B4F"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443" w:type="dxa"/>
            <w:gridSpan w:val="2"/>
          </w:tcPr>
          <w:p w14:paraId="48E7C130"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1"/>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Baseline emissions</w:t>
            </w:r>
          </w:p>
        </w:tc>
        <w:tc>
          <w:tcPr>
            <w:tcW w:w="2267" w:type="dxa"/>
          </w:tcPr>
          <w:p w14:paraId="7DEB1FF5" w14:textId="6020DBF1"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w:t>
            </w:r>
            <w:r w:rsidR="005704AC">
              <w:rPr>
                <w:rFonts w:cs="Arial"/>
                <w:sz w:val="20"/>
              </w:rPr>
              <w:t>Project emissions</w:t>
            </w:r>
          </w:p>
        </w:tc>
        <w:tc>
          <w:tcPr>
            <w:tcW w:w="2236" w:type="dxa"/>
          </w:tcPr>
          <w:p w14:paraId="4035EBD2"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Leakage emissions</w:t>
            </w:r>
          </w:p>
        </w:tc>
      </w:tr>
      <w:tr w:rsidR="004334D2" w:rsidRPr="00131981" w14:paraId="27E17011" w14:textId="77777777" w:rsidTr="00073748">
        <w:tc>
          <w:tcPr>
            <w:tcW w:w="2405" w:type="dxa"/>
            <w:shd w:val="clear" w:color="auto" w:fill="E6E6E6"/>
          </w:tcPr>
          <w:p w14:paraId="1BAD965A"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6D6DC9BE" w14:textId="564DE1E7" w:rsidR="004334D2" w:rsidRPr="00131981" w:rsidRDefault="004334D2" w:rsidP="00E06D0C">
            <w:pPr>
              <w:spacing w:before="60" w:after="60"/>
              <w:ind w:right="57"/>
              <w:rPr>
                <w:rFonts w:cs="Arial"/>
                <w:sz w:val="20"/>
              </w:rPr>
            </w:pPr>
            <w:r>
              <w:rPr>
                <w:rFonts w:cs="Arial"/>
                <w:sz w:val="20"/>
              </w:rPr>
              <w:t>N/A. Information is sourced directly from the law, regulation or contractual requirement</w:t>
            </w:r>
          </w:p>
        </w:tc>
      </w:tr>
      <w:tr w:rsidR="004334D2" w:rsidRPr="00131981" w14:paraId="7735A030" w14:textId="77777777" w:rsidTr="00073748">
        <w:trPr>
          <w:trHeight w:val="107"/>
        </w:trPr>
        <w:tc>
          <w:tcPr>
            <w:tcW w:w="2405" w:type="dxa"/>
            <w:shd w:val="clear" w:color="auto" w:fill="E6E6E6"/>
          </w:tcPr>
          <w:p w14:paraId="0E950157"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05610CD3" w14:textId="77777777" w:rsidR="004334D2" w:rsidRPr="00131981" w:rsidRDefault="004334D2" w:rsidP="00E06D0C">
            <w:pPr>
              <w:spacing w:before="60" w:after="60"/>
              <w:ind w:right="57"/>
              <w:rPr>
                <w:rFonts w:cs="Arial"/>
                <w:sz w:val="20"/>
              </w:rPr>
            </w:pPr>
            <w:r>
              <w:rPr>
                <w:rFonts w:cs="Arial"/>
                <w:sz w:val="20"/>
              </w:rPr>
              <w:t>Activity participants</w:t>
            </w:r>
          </w:p>
        </w:tc>
      </w:tr>
      <w:tr w:rsidR="004334D2" w:rsidRPr="00131981" w14:paraId="27FA4402" w14:textId="77777777" w:rsidTr="00073748">
        <w:trPr>
          <w:trHeight w:val="107"/>
        </w:trPr>
        <w:tc>
          <w:tcPr>
            <w:tcW w:w="2405" w:type="dxa"/>
            <w:vMerge w:val="restart"/>
            <w:shd w:val="clear" w:color="auto" w:fill="E6E6E6"/>
          </w:tcPr>
          <w:p w14:paraId="5F4F51B7"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441" w:type="dxa"/>
          </w:tcPr>
          <w:p w14:paraId="00FEB220" w14:textId="77777777" w:rsidR="004334D2" w:rsidRPr="00131981" w:rsidRDefault="004334D2" w:rsidP="00E06D0C">
            <w:pPr>
              <w:spacing w:before="60" w:after="60"/>
              <w:ind w:right="57"/>
              <w:jc w:val="right"/>
              <w:rPr>
                <w:rFonts w:cs="Arial"/>
                <w:i/>
                <w:iCs/>
                <w:sz w:val="20"/>
              </w:rPr>
            </w:pPr>
            <w:r w:rsidRPr="00131981">
              <w:rPr>
                <w:rFonts w:cs="Arial"/>
                <w:i/>
                <w:iCs/>
                <w:sz w:val="20"/>
              </w:rPr>
              <w:t>Type of instrument</w:t>
            </w:r>
          </w:p>
        </w:tc>
        <w:tc>
          <w:tcPr>
            <w:tcW w:w="5505" w:type="dxa"/>
            <w:gridSpan w:val="3"/>
          </w:tcPr>
          <w:p w14:paraId="46042488"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7F4F17CD" w14:textId="77777777" w:rsidTr="00073748">
        <w:trPr>
          <w:trHeight w:val="104"/>
        </w:trPr>
        <w:tc>
          <w:tcPr>
            <w:tcW w:w="2405" w:type="dxa"/>
            <w:vMerge/>
          </w:tcPr>
          <w:p w14:paraId="470FD46C" w14:textId="77777777" w:rsidR="004334D2" w:rsidRPr="00131981" w:rsidRDefault="004334D2" w:rsidP="00247E9F">
            <w:pPr>
              <w:numPr>
                <w:ilvl w:val="1"/>
                <w:numId w:val="3"/>
              </w:numPr>
              <w:spacing w:before="60" w:after="60"/>
              <w:ind w:right="57"/>
              <w:rPr>
                <w:rFonts w:cs="Arial"/>
                <w:sz w:val="20"/>
              </w:rPr>
            </w:pPr>
          </w:p>
        </w:tc>
        <w:tc>
          <w:tcPr>
            <w:tcW w:w="1441" w:type="dxa"/>
          </w:tcPr>
          <w:p w14:paraId="455508F4" w14:textId="77777777" w:rsidR="004334D2" w:rsidRPr="00131981" w:rsidRDefault="004334D2" w:rsidP="00E06D0C">
            <w:pPr>
              <w:spacing w:before="60" w:after="60"/>
              <w:ind w:right="57"/>
              <w:jc w:val="right"/>
              <w:rPr>
                <w:rFonts w:cs="Arial"/>
                <w:i/>
                <w:iCs/>
                <w:sz w:val="20"/>
              </w:rPr>
            </w:pPr>
            <w:r w:rsidRPr="00131981">
              <w:rPr>
                <w:rFonts w:cs="Arial"/>
                <w:i/>
                <w:iCs/>
                <w:sz w:val="20"/>
              </w:rPr>
              <w:t>Accuracy class</w:t>
            </w:r>
          </w:p>
        </w:tc>
        <w:tc>
          <w:tcPr>
            <w:tcW w:w="5505" w:type="dxa"/>
            <w:gridSpan w:val="3"/>
          </w:tcPr>
          <w:p w14:paraId="6A454AAF"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7770E07E" w14:textId="77777777" w:rsidTr="00073748">
        <w:trPr>
          <w:trHeight w:val="104"/>
        </w:trPr>
        <w:tc>
          <w:tcPr>
            <w:tcW w:w="2405" w:type="dxa"/>
            <w:vMerge/>
          </w:tcPr>
          <w:p w14:paraId="185119D2" w14:textId="77777777" w:rsidR="004334D2" w:rsidRPr="00131981" w:rsidRDefault="004334D2" w:rsidP="00247E9F">
            <w:pPr>
              <w:numPr>
                <w:ilvl w:val="1"/>
                <w:numId w:val="3"/>
              </w:numPr>
              <w:spacing w:before="60" w:after="60"/>
              <w:ind w:right="57"/>
              <w:rPr>
                <w:rFonts w:cs="Arial"/>
                <w:sz w:val="20"/>
              </w:rPr>
            </w:pPr>
          </w:p>
        </w:tc>
        <w:tc>
          <w:tcPr>
            <w:tcW w:w="1441" w:type="dxa"/>
          </w:tcPr>
          <w:p w14:paraId="7A585AFD" w14:textId="77777777" w:rsidR="004334D2" w:rsidRPr="00131981" w:rsidRDefault="004334D2" w:rsidP="00E06D0C">
            <w:pPr>
              <w:spacing w:before="60" w:after="60"/>
              <w:ind w:right="57"/>
              <w:jc w:val="right"/>
              <w:rPr>
                <w:rFonts w:cs="Arial"/>
                <w:i/>
                <w:iCs/>
                <w:sz w:val="20"/>
              </w:rPr>
            </w:pPr>
            <w:r w:rsidRPr="00131981">
              <w:rPr>
                <w:rFonts w:cs="Arial"/>
                <w:i/>
                <w:iCs/>
                <w:sz w:val="20"/>
              </w:rPr>
              <w:t>Calibration requirements</w:t>
            </w:r>
          </w:p>
        </w:tc>
        <w:tc>
          <w:tcPr>
            <w:tcW w:w="5505" w:type="dxa"/>
            <w:gridSpan w:val="3"/>
          </w:tcPr>
          <w:p w14:paraId="2AA7839D" w14:textId="77777777" w:rsidR="004334D2" w:rsidRPr="00506FD8" w:rsidRDefault="004334D2" w:rsidP="00E06D0C">
            <w:pPr>
              <w:spacing w:before="60" w:after="60"/>
              <w:ind w:right="57"/>
              <w:rPr>
                <w:rFonts w:cs="Arial"/>
                <w:sz w:val="20"/>
              </w:rPr>
            </w:pPr>
            <w:r>
              <w:rPr>
                <w:rFonts w:cs="Arial"/>
                <w:sz w:val="20"/>
              </w:rPr>
              <w:t>N/A</w:t>
            </w:r>
          </w:p>
        </w:tc>
      </w:tr>
      <w:tr w:rsidR="004334D2" w:rsidRPr="00131981" w14:paraId="4BD02561" w14:textId="77777777" w:rsidTr="00073748">
        <w:trPr>
          <w:trHeight w:val="104"/>
        </w:trPr>
        <w:tc>
          <w:tcPr>
            <w:tcW w:w="2405" w:type="dxa"/>
            <w:vMerge/>
          </w:tcPr>
          <w:p w14:paraId="40614666" w14:textId="77777777" w:rsidR="004334D2" w:rsidRPr="00131981" w:rsidRDefault="004334D2" w:rsidP="00247E9F">
            <w:pPr>
              <w:numPr>
                <w:ilvl w:val="1"/>
                <w:numId w:val="3"/>
              </w:numPr>
              <w:spacing w:before="60" w:after="60"/>
              <w:ind w:right="57"/>
              <w:rPr>
                <w:rFonts w:cs="Arial"/>
                <w:sz w:val="20"/>
              </w:rPr>
            </w:pPr>
          </w:p>
        </w:tc>
        <w:tc>
          <w:tcPr>
            <w:tcW w:w="1441" w:type="dxa"/>
          </w:tcPr>
          <w:p w14:paraId="6ED67E02" w14:textId="77777777" w:rsidR="004334D2" w:rsidRPr="00131981" w:rsidRDefault="004334D2" w:rsidP="00E06D0C">
            <w:pPr>
              <w:spacing w:before="60" w:after="60"/>
              <w:ind w:right="57"/>
              <w:jc w:val="right"/>
              <w:rPr>
                <w:rFonts w:cs="Arial"/>
                <w:i/>
                <w:iCs/>
                <w:sz w:val="20"/>
              </w:rPr>
            </w:pPr>
            <w:r w:rsidRPr="00131981">
              <w:rPr>
                <w:rFonts w:cs="Arial"/>
                <w:i/>
                <w:iCs/>
                <w:sz w:val="20"/>
              </w:rPr>
              <w:t>Location</w:t>
            </w:r>
          </w:p>
        </w:tc>
        <w:tc>
          <w:tcPr>
            <w:tcW w:w="5505" w:type="dxa"/>
            <w:gridSpan w:val="3"/>
          </w:tcPr>
          <w:p w14:paraId="35AD1374"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6EFD08FD" w14:textId="77777777" w:rsidTr="00073748">
        <w:tc>
          <w:tcPr>
            <w:tcW w:w="2405" w:type="dxa"/>
            <w:shd w:val="clear" w:color="auto" w:fill="E6E6E6"/>
          </w:tcPr>
          <w:p w14:paraId="0B36C4B8"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4F258F73" w14:textId="60711CC5" w:rsidR="004334D2" w:rsidRPr="00506FD8" w:rsidRDefault="004334D2" w:rsidP="00E06D0C">
            <w:pPr>
              <w:spacing w:before="60" w:after="60"/>
              <w:ind w:right="57"/>
              <w:rPr>
                <w:rFonts w:cs="Arial"/>
                <w:sz w:val="20"/>
              </w:rPr>
            </w:pPr>
            <w:r w:rsidRPr="00506FD8">
              <w:rPr>
                <w:rFonts w:cs="Arial"/>
                <w:sz w:val="20"/>
              </w:rPr>
              <w:t>Annual check of the law, regulation or contractual requirements</w:t>
            </w:r>
          </w:p>
        </w:tc>
      </w:tr>
      <w:tr w:rsidR="004334D2" w:rsidRPr="00131981" w14:paraId="429447A5" w14:textId="77777777" w:rsidTr="00073748">
        <w:tc>
          <w:tcPr>
            <w:tcW w:w="2405" w:type="dxa"/>
            <w:shd w:val="clear" w:color="auto" w:fill="E6E6E6"/>
          </w:tcPr>
          <w:p w14:paraId="7C4EC66C"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751F0874" w14:textId="77777777" w:rsidR="004334D2" w:rsidRPr="00506FD8" w:rsidRDefault="004334D2" w:rsidP="00E06D0C">
            <w:pPr>
              <w:spacing w:before="60" w:after="60"/>
              <w:ind w:right="57"/>
              <w:rPr>
                <w:rFonts w:cs="Arial"/>
                <w:sz w:val="20"/>
              </w:rPr>
            </w:pPr>
            <w:r w:rsidRPr="00506FD8">
              <w:rPr>
                <w:rFonts w:cs="Arial"/>
                <w:sz w:val="20"/>
              </w:rPr>
              <w:t>-</w:t>
            </w:r>
          </w:p>
        </w:tc>
      </w:tr>
      <w:tr w:rsidR="004334D2" w:rsidRPr="00131981" w14:paraId="5B3A91E9" w14:textId="77777777" w:rsidTr="00073748">
        <w:tc>
          <w:tcPr>
            <w:tcW w:w="2405" w:type="dxa"/>
            <w:shd w:val="clear" w:color="auto" w:fill="E6E6E6"/>
          </w:tcPr>
          <w:p w14:paraId="4D8D685F" w14:textId="77777777" w:rsidR="004334D2" w:rsidRPr="00131981" w:rsidRDefault="004334D2" w:rsidP="00E06D0C">
            <w:pPr>
              <w:spacing w:before="60" w:after="60"/>
              <w:ind w:right="57"/>
              <w:rPr>
                <w:rFonts w:cs="Arial"/>
                <w:sz w:val="20"/>
              </w:rPr>
            </w:pPr>
            <w:r>
              <w:rPr>
                <w:rFonts w:cs="Arial"/>
                <w:sz w:val="20"/>
              </w:rPr>
              <w:t>Treatment of uncertainties</w:t>
            </w:r>
          </w:p>
        </w:tc>
        <w:tc>
          <w:tcPr>
            <w:tcW w:w="6946" w:type="dxa"/>
            <w:gridSpan w:val="4"/>
          </w:tcPr>
          <w:p w14:paraId="44E9DFC6" w14:textId="77777777" w:rsidR="004334D2" w:rsidRPr="00506FD8" w:rsidRDefault="004334D2" w:rsidP="00E06D0C">
            <w:pPr>
              <w:spacing w:before="60" w:after="60"/>
              <w:ind w:right="57"/>
              <w:rPr>
                <w:rFonts w:cs="Arial"/>
                <w:sz w:val="20"/>
              </w:rPr>
            </w:pPr>
            <w:r>
              <w:rPr>
                <w:rFonts w:cs="Arial"/>
                <w:sz w:val="20"/>
              </w:rPr>
              <w:t>N/A</w:t>
            </w:r>
          </w:p>
        </w:tc>
      </w:tr>
      <w:tr w:rsidR="004334D2" w:rsidRPr="00131981" w14:paraId="61E90842" w14:textId="77777777" w:rsidTr="00073748">
        <w:tc>
          <w:tcPr>
            <w:tcW w:w="2405" w:type="dxa"/>
            <w:shd w:val="clear" w:color="auto" w:fill="E6E6E6"/>
          </w:tcPr>
          <w:p w14:paraId="70FC6F75"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1F4CD736" w14:textId="77777777" w:rsidR="004334D2" w:rsidRPr="00131981" w:rsidRDefault="004334D2" w:rsidP="00E06D0C">
            <w:pPr>
              <w:spacing w:before="60" w:after="60"/>
              <w:ind w:right="57"/>
              <w:rPr>
                <w:rFonts w:cs="Arial"/>
                <w:sz w:val="20"/>
              </w:rPr>
            </w:pPr>
            <w:r>
              <w:rPr>
                <w:rFonts w:cs="Arial"/>
                <w:sz w:val="20"/>
              </w:rPr>
              <w:t>-</w:t>
            </w:r>
          </w:p>
        </w:tc>
      </w:tr>
    </w:tbl>
    <w:p w14:paraId="43EEBD6B" w14:textId="6BF6DE52"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18</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78"/>
        <w:gridCol w:w="662"/>
        <w:gridCol w:w="2268"/>
        <w:gridCol w:w="2238"/>
      </w:tblGrid>
      <w:tr w:rsidR="004334D2" w:rsidRPr="00131981" w14:paraId="218B708E" w14:textId="77777777" w:rsidTr="00073748">
        <w:tc>
          <w:tcPr>
            <w:tcW w:w="2405" w:type="dxa"/>
            <w:shd w:val="clear" w:color="auto" w:fill="E6E6E6"/>
          </w:tcPr>
          <w:p w14:paraId="38E58BDC" w14:textId="77777777" w:rsidR="004334D2" w:rsidRPr="00131981" w:rsidRDefault="004334D2" w:rsidP="00E06D0C">
            <w:pPr>
              <w:spacing w:before="60" w:after="60"/>
              <w:ind w:right="57"/>
              <w:rPr>
                <w:rFonts w:cs="Arial"/>
                <w:b/>
                <w:bCs/>
                <w:sz w:val="20"/>
              </w:rPr>
            </w:pPr>
            <w:r w:rsidRPr="00131981">
              <w:rPr>
                <w:rFonts w:cs="Arial"/>
                <w:b/>
                <w:bCs/>
                <w:sz w:val="20"/>
              </w:rPr>
              <w:t>Data/parameter</w:t>
            </w:r>
          </w:p>
        </w:tc>
        <w:tc>
          <w:tcPr>
            <w:tcW w:w="6946" w:type="dxa"/>
            <w:gridSpan w:val="4"/>
          </w:tcPr>
          <w:p w14:paraId="59335687" w14:textId="223FEBE1" w:rsidR="004334D2" w:rsidRPr="006B32D1" w:rsidRDefault="00302468" w:rsidP="00E06D0C">
            <w:pPr>
              <w:spacing w:before="60" w:after="60"/>
              <w:ind w:right="57"/>
              <w:rPr>
                <w:rFonts w:cs="Arial"/>
                <w:b/>
                <w:bCs/>
                <w:i/>
                <w:sz w:val="20"/>
              </w:rPr>
            </w:pPr>
            <m:oMathPara>
              <m:oMathParaPr>
                <m:jc m:val="left"/>
              </m:oMathParaPr>
              <m:oMath>
                <m:sSub>
                  <m:sSubPr>
                    <m:ctrlPr>
                      <w:rPr>
                        <w:rFonts w:ascii="Cambria Math" w:hAnsi="Cambria Math"/>
                        <w:b/>
                        <w:bCs/>
                        <w:i/>
                      </w:rPr>
                    </m:ctrlPr>
                  </m:sSubPr>
                  <m:e>
                    <m:r>
                      <m:rPr>
                        <m:sty m:val="bi"/>
                      </m:rPr>
                      <w:rPr>
                        <w:rFonts w:ascii="Cambria Math" w:hAnsi="Cambria Math"/>
                      </w:rPr>
                      <m:t>η</m:t>
                    </m:r>
                  </m:e>
                  <m:sub>
                    <m:r>
                      <m:rPr>
                        <m:sty m:val="bi"/>
                      </m:rPr>
                      <w:rPr>
                        <w:rFonts w:ascii="Cambria Math" w:hAnsi="Cambria Math"/>
                      </w:rPr>
                      <m:t>HG, PJ, n,j,y</m:t>
                    </m:r>
                  </m:sub>
                </m:sSub>
              </m:oMath>
            </m:oMathPara>
          </w:p>
        </w:tc>
      </w:tr>
      <w:tr w:rsidR="004334D2" w:rsidRPr="0061068C" w14:paraId="58F87A62" w14:textId="77777777" w:rsidTr="00073748">
        <w:tc>
          <w:tcPr>
            <w:tcW w:w="2405" w:type="dxa"/>
            <w:shd w:val="clear" w:color="auto" w:fill="E6E6E6"/>
          </w:tcPr>
          <w:p w14:paraId="7D69C68F" w14:textId="77777777" w:rsidR="004334D2" w:rsidRPr="0061068C" w:rsidRDefault="004334D2" w:rsidP="00E06D0C">
            <w:pPr>
              <w:spacing w:before="60" w:after="60"/>
              <w:ind w:right="57"/>
              <w:rPr>
                <w:rFonts w:cs="Arial"/>
                <w:sz w:val="20"/>
              </w:rPr>
            </w:pPr>
            <w:r w:rsidRPr="0061068C">
              <w:rPr>
                <w:rFonts w:cs="Arial"/>
                <w:sz w:val="20"/>
              </w:rPr>
              <w:t>Description</w:t>
            </w:r>
          </w:p>
        </w:tc>
        <w:tc>
          <w:tcPr>
            <w:tcW w:w="6946" w:type="dxa"/>
            <w:gridSpan w:val="4"/>
          </w:tcPr>
          <w:p w14:paraId="5DF34705" w14:textId="0C647C1F" w:rsidR="004334D2" w:rsidRPr="0061068C" w:rsidRDefault="004334D2" w:rsidP="00E06D0C">
            <w:pPr>
              <w:spacing w:before="60" w:after="60"/>
              <w:ind w:right="57"/>
              <w:rPr>
                <w:rFonts w:cs="Arial"/>
                <w:sz w:val="20"/>
              </w:rPr>
            </w:pPr>
            <w:r w:rsidRPr="0061068C">
              <w:rPr>
                <w:rFonts w:cs="Arial"/>
                <w:sz w:val="20"/>
              </w:rPr>
              <w:t xml:space="preserve">Efficiency of the heat generation equipment </w:t>
            </w:r>
            <w:r w:rsidR="0011335A">
              <w:rPr>
                <w:rFonts w:cs="Arial"/>
                <w:sz w:val="20"/>
              </w:rPr>
              <w:t>unit</w:t>
            </w:r>
            <w:r w:rsidR="00744658">
              <w:rPr>
                <w:rFonts w:cs="Arial"/>
                <w:sz w:val="20"/>
              </w:rPr>
              <w:t> </w:t>
            </w:r>
            <w:r w:rsidR="0011335A" w:rsidRPr="0011335A">
              <w:rPr>
                <w:rFonts w:cs="Arial"/>
                <w:i/>
                <w:iCs/>
                <w:sz w:val="20"/>
              </w:rPr>
              <w:t>n</w:t>
            </w:r>
            <w:r w:rsidR="0011335A">
              <w:rPr>
                <w:rFonts w:cs="Arial"/>
                <w:sz w:val="20"/>
              </w:rPr>
              <w:t xml:space="preserve"> of </w:t>
            </w:r>
            <w:r w:rsidRPr="0061068C">
              <w:rPr>
                <w:rFonts w:cs="Arial"/>
                <w:sz w:val="20"/>
              </w:rPr>
              <w:t>type</w:t>
            </w:r>
            <w:r w:rsidR="00744658">
              <w:rPr>
                <w:rFonts w:cs="Arial"/>
                <w:sz w:val="20"/>
              </w:rPr>
              <w:t> </w:t>
            </w:r>
            <w:r w:rsidRPr="0061068C">
              <w:rPr>
                <w:rFonts w:cs="Arial"/>
                <w:i/>
                <w:iCs/>
                <w:sz w:val="20"/>
              </w:rPr>
              <w:t>j</w:t>
            </w:r>
            <w:r w:rsidRPr="0061068C">
              <w:rPr>
                <w:rFonts w:cs="Arial"/>
                <w:sz w:val="20"/>
              </w:rPr>
              <w:t xml:space="preserve"> used in the </w:t>
            </w:r>
            <w:r w:rsidR="005704AC">
              <w:rPr>
                <w:rFonts w:cs="Arial"/>
                <w:sz w:val="20"/>
              </w:rPr>
              <w:t>Article 6.4 activity</w:t>
            </w:r>
            <w:r w:rsidRPr="0061068C">
              <w:rPr>
                <w:rFonts w:cs="Arial"/>
                <w:sz w:val="20"/>
              </w:rPr>
              <w:t xml:space="preserve"> in year</w:t>
            </w:r>
            <w:r w:rsidR="00744658">
              <w:rPr>
                <w:rFonts w:cs="Arial"/>
                <w:sz w:val="20"/>
              </w:rPr>
              <w:t> </w:t>
            </w:r>
            <w:r w:rsidRPr="0061068C">
              <w:rPr>
                <w:rFonts w:cs="Arial"/>
                <w:i/>
                <w:iCs/>
                <w:sz w:val="20"/>
              </w:rPr>
              <w:t>y</w:t>
            </w:r>
          </w:p>
        </w:tc>
      </w:tr>
      <w:tr w:rsidR="004334D2" w:rsidRPr="00131981" w14:paraId="34954DAF" w14:textId="77777777" w:rsidTr="00073748">
        <w:tc>
          <w:tcPr>
            <w:tcW w:w="2405" w:type="dxa"/>
            <w:shd w:val="clear" w:color="auto" w:fill="E6E6E6"/>
          </w:tcPr>
          <w:p w14:paraId="4F7BED33"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60479112" w14:textId="77777777" w:rsidR="004334D2" w:rsidRPr="00131981" w:rsidRDefault="004334D2" w:rsidP="00E06D0C">
            <w:pPr>
              <w:spacing w:before="60" w:after="60"/>
              <w:ind w:right="57"/>
              <w:rPr>
                <w:rFonts w:cs="Arial"/>
                <w:sz w:val="20"/>
              </w:rPr>
            </w:pPr>
            <w:r>
              <w:rPr>
                <w:rFonts w:cs="Arial"/>
                <w:sz w:val="20"/>
              </w:rPr>
              <w:t>%</w:t>
            </w:r>
          </w:p>
        </w:tc>
      </w:tr>
      <w:tr w:rsidR="004334D2" w:rsidRPr="00131981" w14:paraId="46A70972" w14:textId="77777777" w:rsidTr="00073748">
        <w:tc>
          <w:tcPr>
            <w:tcW w:w="2405" w:type="dxa"/>
            <w:shd w:val="clear" w:color="auto" w:fill="E6E6E6"/>
          </w:tcPr>
          <w:p w14:paraId="5ED20CDC"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3B444F68" w14:textId="54B568AA" w:rsidR="004334D2" w:rsidRPr="00131981" w:rsidRDefault="000D4DB3" w:rsidP="00E06D0C">
            <w:pPr>
              <w:spacing w:before="60" w:after="60"/>
              <w:ind w:right="57"/>
              <w:rPr>
                <w:rFonts w:cs="Arial"/>
                <w:sz w:val="20"/>
              </w:rPr>
            </w:pPr>
            <w:r>
              <w:rPr>
                <w:rFonts w:cs="Arial"/>
                <w:sz w:val="20"/>
              </w:rPr>
              <w:t>(1</w:t>
            </w:r>
            <w:r w:rsidR="00F346CC">
              <w:rPr>
                <w:rFonts w:cs="Arial"/>
                <w:sz w:val="20"/>
              </w:rPr>
              <w:t>9</w:t>
            </w:r>
            <w:r>
              <w:rPr>
                <w:rFonts w:cs="Arial"/>
                <w:sz w:val="20"/>
              </w:rPr>
              <w:t>)</w:t>
            </w:r>
          </w:p>
        </w:tc>
      </w:tr>
      <w:tr w:rsidR="004334D2" w:rsidRPr="00131981" w14:paraId="645DF5B6" w14:textId="77777777" w:rsidTr="00073748">
        <w:tc>
          <w:tcPr>
            <w:tcW w:w="2405" w:type="dxa"/>
            <w:shd w:val="clear" w:color="auto" w:fill="E6E6E6"/>
          </w:tcPr>
          <w:p w14:paraId="11222AE4"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440" w:type="dxa"/>
            <w:gridSpan w:val="2"/>
          </w:tcPr>
          <w:p w14:paraId="66D42373"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1"/>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Baseline emissions</w:t>
            </w:r>
          </w:p>
        </w:tc>
        <w:tc>
          <w:tcPr>
            <w:tcW w:w="2268" w:type="dxa"/>
          </w:tcPr>
          <w:p w14:paraId="7360DC93" w14:textId="60ABA044"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w:t>
            </w:r>
            <w:r w:rsidR="005704AC">
              <w:rPr>
                <w:rFonts w:cs="Arial"/>
                <w:sz w:val="20"/>
              </w:rPr>
              <w:t>Project emissions</w:t>
            </w:r>
          </w:p>
        </w:tc>
        <w:tc>
          <w:tcPr>
            <w:tcW w:w="2238" w:type="dxa"/>
          </w:tcPr>
          <w:p w14:paraId="65FADF86"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Leakage emissions</w:t>
            </w:r>
          </w:p>
        </w:tc>
      </w:tr>
      <w:tr w:rsidR="004334D2" w:rsidRPr="00131981" w14:paraId="2FDEB6E2" w14:textId="77777777" w:rsidTr="00073748">
        <w:tc>
          <w:tcPr>
            <w:tcW w:w="2405" w:type="dxa"/>
            <w:shd w:val="clear" w:color="auto" w:fill="E6E6E6"/>
          </w:tcPr>
          <w:p w14:paraId="03A845C0"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6988892D" w14:textId="77777777" w:rsidR="004334D2" w:rsidRDefault="004334D2" w:rsidP="00DA05CE">
            <w:pPr>
              <w:keepNext/>
              <w:spacing w:before="60" w:after="60"/>
              <w:ind w:right="57"/>
              <w:rPr>
                <w:sz w:val="20"/>
                <w:szCs w:val="18"/>
              </w:rPr>
            </w:pPr>
            <w:r w:rsidRPr="00633C7A">
              <w:rPr>
                <w:sz w:val="20"/>
                <w:szCs w:val="18"/>
              </w:rPr>
              <w:t xml:space="preserve">Use one of the </w:t>
            </w:r>
            <w:r w:rsidRPr="00EA7940">
              <w:rPr>
                <w:rFonts w:cs="Arial"/>
                <w:sz w:val="20"/>
              </w:rPr>
              <w:t>following</w:t>
            </w:r>
            <w:r w:rsidRPr="00633C7A">
              <w:rPr>
                <w:sz w:val="20"/>
                <w:szCs w:val="18"/>
              </w:rPr>
              <w:t xml:space="preserve"> options to determine the efficiency:</w:t>
            </w:r>
          </w:p>
          <w:p w14:paraId="3603668E" w14:textId="77777777" w:rsidR="004334D2" w:rsidRPr="001A4272" w:rsidRDefault="004334D2" w:rsidP="003630AA">
            <w:pPr>
              <w:pStyle w:val="ParaTickBox"/>
              <w:numPr>
                <w:ilvl w:val="0"/>
                <w:numId w:val="37"/>
              </w:numPr>
              <w:tabs>
                <w:tab w:val="clear" w:pos="510"/>
              </w:tabs>
              <w:ind w:right="57"/>
              <w:jc w:val="both"/>
              <w:rPr>
                <w:szCs w:val="20"/>
                <w:u w:val="single"/>
              </w:rPr>
            </w:pPr>
            <w:r w:rsidRPr="001A4272">
              <w:rPr>
                <w:szCs w:val="20"/>
                <w:u w:val="single"/>
              </w:rPr>
              <w:t>Option 1:</w:t>
            </w:r>
            <w:r w:rsidRPr="001A4272">
              <w:rPr>
                <w:szCs w:val="20"/>
              </w:rPr>
              <w:t xml:space="preserve"> Measured efficiency during monitoring;</w:t>
            </w:r>
          </w:p>
          <w:p w14:paraId="3B821BF2" w14:textId="77777777" w:rsidR="004334D2" w:rsidRPr="001A4272" w:rsidRDefault="004334D2" w:rsidP="003630AA">
            <w:pPr>
              <w:pStyle w:val="ParaTickBox"/>
              <w:numPr>
                <w:ilvl w:val="0"/>
                <w:numId w:val="37"/>
              </w:numPr>
              <w:tabs>
                <w:tab w:val="clear" w:pos="510"/>
              </w:tabs>
              <w:ind w:right="57"/>
              <w:jc w:val="both"/>
              <w:rPr>
                <w:szCs w:val="20"/>
              </w:rPr>
            </w:pPr>
            <w:r w:rsidRPr="001A4272">
              <w:rPr>
                <w:szCs w:val="20"/>
                <w:u w:val="single"/>
              </w:rPr>
              <w:t>Option 2:</w:t>
            </w:r>
            <w:r w:rsidRPr="001A4272">
              <w:rPr>
                <w:szCs w:val="20"/>
              </w:rPr>
              <w:t xml:space="preserve"> Manufacturer’s information on the efficiency; or</w:t>
            </w:r>
          </w:p>
          <w:p w14:paraId="0976DBE6" w14:textId="099633F9" w:rsidR="004334D2" w:rsidRPr="00131981" w:rsidRDefault="004334D2" w:rsidP="003630AA">
            <w:pPr>
              <w:pStyle w:val="ParaTickBox"/>
              <w:numPr>
                <w:ilvl w:val="0"/>
                <w:numId w:val="37"/>
              </w:numPr>
              <w:tabs>
                <w:tab w:val="clear" w:pos="510"/>
              </w:tabs>
              <w:spacing w:before="0"/>
              <w:ind w:right="57"/>
              <w:jc w:val="both"/>
            </w:pPr>
            <w:r w:rsidRPr="001A4272">
              <w:rPr>
                <w:szCs w:val="20"/>
                <w:u w:val="single"/>
              </w:rPr>
              <w:t>Option 3:</w:t>
            </w:r>
            <w:r w:rsidRPr="001A4272">
              <w:rPr>
                <w:szCs w:val="20"/>
              </w:rPr>
              <w:t xml:space="preserve"> Use a default value of 60</w:t>
            </w:r>
            <w:r w:rsidR="003F7966">
              <w:rPr>
                <w:szCs w:val="20"/>
              </w:rPr>
              <w:t xml:space="preserve"> per cent</w:t>
            </w:r>
          </w:p>
        </w:tc>
      </w:tr>
      <w:tr w:rsidR="004334D2" w:rsidRPr="00131981" w14:paraId="40A011BB" w14:textId="77777777" w:rsidTr="00073748">
        <w:trPr>
          <w:trHeight w:val="107"/>
        </w:trPr>
        <w:tc>
          <w:tcPr>
            <w:tcW w:w="2405" w:type="dxa"/>
            <w:shd w:val="clear" w:color="auto" w:fill="E6E6E6"/>
          </w:tcPr>
          <w:p w14:paraId="0E1ADC03"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377725C0" w14:textId="77777777" w:rsidR="004334D2" w:rsidRPr="001A4272" w:rsidRDefault="004334D2" w:rsidP="003630AA">
            <w:pPr>
              <w:pStyle w:val="ParaTickBox"/>
              <w:numPr>
                <w:ilvl w:val="0"/>
                <w:numId w:val="38"/>
              </w:numPr>
              <w:tabs>
                <w:tab w:val="clear" w:pos="510"/>
              </w:tabs>
              <w:ind w:right="57"/>
              <w:jc w:val="both"/>
              <w:rPr>
                <w:szCs w:val="20"/>
                <w:u w:val="single"/>
              </w:rPr>
            </w:pPr>
            <w:r w:rsidRPr="001A4272">
              <w:rPr>
                <w:szCs w:val="20"/>
                <w:u w:val="single"/>
              </w:rPr>
              <w:t>Option 1:</w:t>
            </w:r>
            <w:r w:rsidRPr="001A4272">
              <w:rPr>
                <w:szCs w:val="20"/>
              </w:rPr>
              <w:t xml:space="preserve"> </w:t>
            </w:r>
            <w:r>
              <w:rPr>
                <w:szCs w:val="20"/>
              </w:rPr>
              <w:t>Activity participants</w:t>
            </w:r>
            <w:r w:rsidRPr="001A4272">
              <w:rPr>
                <w:szCs w:val="20"/>
              </w:rPr>
              <w:t>;</w:t>
            </w:r>
          </w:p>
          <w:p w14:paraId="70EFF53D" w14:textId="77777777" w:rsidR="004334D2" w:rsidRPr="00131981" w:rsidRDefault="004334D2" w:rsidP="003630AA">
            <w:pPr>
              <w:pStyle w:val="ParaTickBox"/>
              <w:numPr>
                <w:ilvl w:val="0"/>
                <w:numId w:val="38"/>
              </w:numPr>
              <w:tabs>
                <w:tab w:val="clear" w:pos="510"/>
              </w:tabs>
              <w:ind w:right="57"/>
              <w:jc w:val="both"/>
            </w:pPr>
            <w:r w:rsidRPr="001A4272">
              <w:rPr>
                <w:szCs w:val="20"/>
                <w:u w:val="single"/>
              </w:rPr>
              <w:t>Option 2:</w:t>
            </w:r>
            <w:r w:rsidRPr="001A4272">
              <w:rPr>
                <w:szCs w:val="20"/>
              </w:rPr>
              <w:t xml:space="preserve"> Manufacturer</w:t>
            </w:r>
            <w:r>
              <w:rPr>
                <w:szCs w:val="20"/>
              </w:rPr>
              <w:t xml:space="preserve"> of the heat generation equipment</w:t>
            </w:r>
          </w:p>
        </w:tc>
      </w:tr>
      <w:tr w:rsidR="004334D2" w:rsidRPr="00131981" w14:paraId="1EEB2027" w14:textId="77777777" w:rsidTr="00073748">
        <w:trPr>
          <w:trHeight w:val="107"/>
        </w:trPr>
        <w:tc>
          <w:tcPr>
            <w:tcW w:w="2405" w:type="dxa"/>
            <w:vMerge w:val="restart"/>
            <w:shd w:val="clear" w:color="auto" w:fill="E6E6E6"/>
          </w:tcPr>
          <w:p w14:paraId="57D5146A"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778" w:type="dxa"/>
          </w:tcPr>
          <w:p w14:paraId="247D0C6A" w14:textId="77777777" w:rsidR="004334D2" w:rsidRPr="00131981" w:rsidRDefault="004334D2" w:rsidP="00E06D0C">
            <w:pPr>
              <w:spacing w:before="60" w:after="60"/>
              <w:ind w:right="57"/>
              <w:jc w:val="right"/>
              <w:rPr>
                <w:rFonts w:cs="Arial"/>
                <w:i/>
                <w:iCs/>
                <w:sz w:val="20"/>
              </w:rPr>
            </w:pPr>
            <w:r w:rsidRPr="00131981">
              <w:rPr>
                <w:rFonts w:cs="Arial"/>
                <w:i/>
                <w:iCs/>
                <w:sz w:val="20"/>
              </w:rPr>
              <w:t>Type of instrument</w:t>
            </w:r>
          </w:p>
        </w:tc>
        <w:tc>
          <w:tcPr>
            <w:tcW w:w="5168" w:type="dxa"/>
            <w:gridSpan w:val="3"/>
          </w:tcPr>
          <w:p w14:paraId="6C51F32E"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5532DA49" w14:textId="77777777" w:rsidTr="00073748">
        <w:trPr>
          <w:trHeight w:val="104"/>
        </w:trPr>
        <w:tc>
          <w:tcPr>
            <w:tcW w:w="2405" w:type="dxa"/>
            <w:vMerge/>
          </w:tcPr>
          <w:p w14:paraId="3D3D3622" w14:textId="77777777" w:rsidR="004334D2" w:rsidRPr="00131981" w:rsidRDefault="004334D2" w:rsidP="00E06D0C">
            <w:pPr>
              <w:spacing w:before="60" w:after="60"/>
              <w:ind w:right="57"/>
              <w:rPr>
                <w:rFonts w:cs="Arial"/>
                <w:sz w:val="20"/>
              </w:rPr>
            </w:pPr>
          </w:p>
        </w:tc>
        <w:tc>
          <w:tcPr>
            <w:tcW w:w="1778" w:type="dxa"/>
          </w:tcPr>
          <w:p w14:paraId="70529881" w14:textId="77777777" w:rsidR="004334D2" w:rsidRPr="00131981" w:rsidRDefault="004334D2" w:rsidP="00E06D0C">
            <w:pPr>
              <w:spacing w:before="60" w:after="60"/>
              <w:ind w:right="57"/>
              <w:jc w:val="right"/>
              <w:rPr>
                <w:rFonts w:cs="Arial"/>
                <w:i/>
                <w:iCs/>
                <w:sz w:val="20"/>
              </w:rPr>
            </w:pPr>
            <w:r w:rsidRPr="00131981">
              <w:rPr>
                <w:rFonts w:cs="Arial"/>
                <w:i/>
                <w:iCs/>
                <w:sz w:val="20"/>
              </w:rPr>
              <w:t>Accuracy class</w:t>
            </w:r>
          </w:p>
        </w:tc>
        <w:tc>
          <w:tcPr>
            <w:tcW w:w="5168" w:type="dxa"/>
            <w:gridSpan w:val="3"/>
          </w:tcPr>
          <w:p w14:paraId="2BB18B1E"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1320158C" w14:textId="77777777" w:rsidTr="00073748">
        <w:trPr>
          <w:trHeight w:val="104"/>
        </w:trPr>
        <w:tc>
          <w:tcPr>
            <w:tcW w:w="2405" w:type="dxa"/>
            <w:vMerge/>
          </w:tcPr>
          <w:p w14:paraId="1AECFAF0" w14:textId="77777777" w:rsidR="004334D2" w:rsidRPr="00131981" w:rsidRDefault="004334D2" w:rsidP="00E06D0C">
            <w:pPr>
              <w:spacing w:before="60" w:after="60"/>
              <w:ind w:right="57"/>
              <w:rPr>
                <w:rFonts w:cs="Arial"/>
                <w:sz w:val="20"/>
              </w:rPr>
            </w:pPr>
          </w:p>
        </w:tc>
        <w:tc>
          <w:tcPr>
            <w:tcW w:w="1778" w:type="dxa"/>
          </w:tcPr>
          <w:p w14:paraId="1063898E" w14:textId="77777777" w:rsidR="004334D2" w:rsidRPr="00131981" w:rsidRDefault="004334D2" w:rsidP="00E06D0C">
            <w:pPr>
              <w:spacing w:before="60" w:after="60"/>
              <w:ind w:right="57"/>
              <w:jc w:val="right"/>
              <w:rPr>
                <w:rFonts w:cs="Arial"/>
                <w:i/>
                <w:iCs/>
                <w:sz w:val="20"/>
              </w:rPr>
            </w:pPr>
            <w:r w:rsidRPr="00131981">
              <w:rPr>
                <w:rFonts w:cs="Arial"/>
                <w:i/>
                <w:iCs/>
                <w:sz w:val="20"/>
              </w:rPr>
              <w:t>Calibration requirements</w:t>
            </w:r>
          </w:p>
        </w:tc>
        <w:tc>
          <w:tcPr>
            <w:tcW w:w="5168" w:type="dxa"/>
            <w:gridSpan w:val="3"/>
          </w:tcPr>
          <w:p w14:paraId="55A0C12F" w14:textId="77777777" w:rsidR="004334D2" w:rsidRPr="00EA7940" w:rsidRDefault="004334D2" w:rsidP="00E06D0C">
            <w:pPr>
              <w:spacing w:before="60" w:after="60"/>
              <w:ind w:right="57"/>
              <w:rPr>
                <w:rFonts w:cs="Arial"/>
                <w:sz w:val="20"/>
              </w:rPr>
            </w:pPr>
            <w:r>
              <w:rPr>
                <w:rFonts w:cs="Arial"/>
                <w:sz w:val="20"/>
              </w:rPr>
              <w:t>N/A</w:t>
            </w:r>
          </w:p>
        </w:tc>
      </w:tr>
      <w:tr w:rsidR="004334D2" w:rsidRPr="00131981" w14:paraId="09176F6B" w14:textId="77777777" w:rsidTr="00073748">
        <w:trPr>
          <w:trHeight w:val="104"/>
        </w:trPr>
        <w:tc>
          <w:tcPr>
            <w:tcW w:w="2405" w:type="dxa"/>
            <w:vMerge/>
          </w:tcPr>
          <w:p w14:paraId="50E75DCC" w14:textId="77777777" w:rsidR="004334D2" w:rsidRPr="00131981" w:rsidRDefault="004334D2" w:rsidP="00E06D0C">
            <w:pPr>
              <w:spacing w:before="60" w:after="60"/>
              <w:ind w:right="57"/>
              <w:rPr>
                <w:rFonts w:cs="Arial"/>
                <w:sz w:val="20"/>
              </w:rPr>
            </w:pPr>
          </w:p>
        </w:tc>
        <w:tc>
          <w:tcPr>
            <w:tcW w:w="1778" w:type="dxa"/>
          </w:tcPr>
          <w:p w14:paraId="57062EF4" w14:textId="77777777" w:rsidR="004334D2" w:rsidRPr="00131981" w:rsidRDefault="004334D2" w:rsidP="00E06D0C">
            <w:pPr>
              <w:spacing w:before="60" w:after="60"/>
              <w:ind w:right="57"/>
              <w:jc w:val="right"/>
              <w:rPr>
                <w:rFonts w:cs="Arial"/>
                <w:i/>
                <w:iCs/>
                <w:sz w:val="20"/>
              </w:rPr>
            </w:pPr>
            <w:r w:rsidRPr="00131981">
              <w:rPr>
                <w:rFonts w:cs="Arial"/>
                <w:i/>
                <w:iCs/>
                <w:sz w:val="20"/>
              </w:rPr>
              <w:t>Location</w:t>
            </w:r>
          </w:p>
        </w:tc>
        <w:tc>
          <w:tcPr>
            <w:tcW w:w="5168" w:type="dxa"/>
            <w:gridSpan w:val="3"/>
          </w:tcPr>
          <w:p w14:paraId="23442A4C"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0D328575" w14:textId="77777777" w:rsidTr="00073748">
        <w:tc>
          <w:tcPr>
            <w:tcW w:w="2405" w:type="dxa"/>
            <w:shd w:val="clear" w:color="auto" w:fill="E6E6E6"/>
          </w:tcPr>
          <w:p w14:paraId="631A0C20"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79500090" w14:textId="25C805F1" w:rsidR="004334D2" w:rsidRPr="00890534" w:rsidRDefault="004334D2" w:rsidP="00E06D0C">
            <w:pPr>
              <w:spacing w:before="60" w:after="60"/>
              <w:ind w:right="57"/>
              <w:rPr>
                <w:rFonts w:cs="Arial"/>
                <w:sz w:val="20"/>
              </w:rPr>
            </w:pPr>
            <w:r w:rsidRPr="00890534">
              <w:rPr>
                <w:rFonts w:cs="Arial"/>
                <w:sz w:val="20"/>
              </w:rPr>
              <w:t>Annual if measurements are conducted as per Option</w:t>
            </w:r>
            <w:r w:rsidR="00744658">
              <w:rPr>
                <w:rFonts w:cs="Arial"/>
                <w:sz w:val="20"/>
              </w:rPr>
              <w:t> </w:t>
            </w:r>
            <w:r w:rsidRPr="00890534">
              <w:rPr>
                <w:rFonts w:cs="Arial"/>
                <w:sz w:val="20"/>
              </w:rPr>
              <w:t>1</w:t>
            </w:r>
          </w:p>
        </w:tc>
      </w:tr>
      <w:tr w:rsidR="004334D2" w:rsidRPr="00131981" w14:paraId="64EF89C0" w14:textId="77777777" w:rsidTr="00073748">
        <w:tc>
          <w:tcPr>
            <w:tcW w:w="2405" w:type="dxa"/>
            <w:shd w:val="clear" w:color="auto" w:fill="E6E6E6"/>
          </w:tcPr>
          <w:p w14:paraId="663697C4"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5769383B" w14:textId="77777777" w:rsidR="004334D2" w:rsidRPr="00890534" w:rsidRDefault="004334D2" w:rsidP="00E06D0C">
            <w:pPr>
              <w:spacing w:before="60" w:after="60"/>
              <w:ind w:right="57"/>
              <w:rPr>
                <w:rFonts w:cs="Arial"/>
                <w:sz w:val="20"/>
              </w:rPr>
            </w:pPr>
            <w:r w:rsidRPr="00890534">
              <w:rPr>
                <w:rFonts w:cs="Arial"/>
                <w:sz w:val="20"/>
              </w:rPr>
              <w:t>If measurements are conducted as per Option 1, use recognized standards for the measurement of the heat generator efficiency, such as the “British Standard Methods for Assessing the thermal performance of boilers for steam, hot water and high temperature heat transfer fluids” (BS845).</w:t>
            </w:r>
          </w:p>
          <w:p w14:paraId="7A9F1D33" w14:textId="77777777" w:rsidR="004334D2" w:rsidRPr="00890534" w:rsidRDefault="004334D2" w:rsidP="00E06D0C">
            <w:pPr>
              <w:spacing w:before="60" w:after="60"/>
              <w:ind w:right="57"/>
              <w:rPr>
                <w:rFonts w:cs="Arial"/>
                <w:sz w:val="20"/>
              </w:rPr>
            </w:pPr>
            <w:r w:rsidRPr="00890534">
              <w:rPr>
                <w:rFonts w:cs="Arial"/>
                <w:sz w:val="20"/>
              </w:rPr>
              <w:t>Where possible, use preferably the direct method (dividing the net heat generation by the energy content of the fuels fired during a representative time period), as it is better able to reflect average efficiencies during a representative time period compared to the indirect method (determination of fuel supply or heat generation and estimation of the losses).</w:t>
            </w:r>
          </w:p>
          <w:p w14:paraId="453031B3" w14:textId="77777777" w:rsidR="004334D2" w:rsidRPr="00890534" w:rsidRDefault="004334D2" w:rsidP="00E06D0C">
            <w:pPr>
              <w:tabs>
                <w:tab w:val="left" w:pos="567"/>
              </w:tabs>
              <w:spacing w:before="60" w:after="60"/>
              <w:ind w:right="57"/>
              <w:rPr>
                <w:rFonts w:cs="Arial"/>
                <w:sz w:val="20"/>
              </w:rPr>
            </w:pPr>
            <w:r w:rsidRPr="00890534">
              <w:rPr>
                <w:rFonts w:cs="Arial"/>
                <w:sz w:val="20"/>
              </w:rPr>
              <w:t>Document measurement procedures and results and manufacturer’s information transparently in the PDD</w:t>
            </w:r>
          </w:p>
        </w:tc>
      </w:tr>
      <w:tr w:rsidR="004334D2" w:rsidRPr="00131981" w14:paraId="59D1792A" w14:textId="77777777" w:rsidTr="00073748">
        <w:tc>
          <w:tcPr>
            <w:tcW w:w="2405" w:type="dxa"/>
            <w:shd w:val="clear" w:color="auto" w:fill="E6E6E6"/>
          </w:tcPr>
          <w:p w14:paraId="54846FE7" w14:textId="77777777" w:rsidR="004334D2" w:rsidRPr="00131981" w:rsidRDefault="004334D2" w:rsidP="00E06D0C">
            <w:pPr>
              <w:spacing w:before="60" w:after="60"/>
              <w:ind w:right="57"/>
              <w:rPr>
                <w:rFonts w:cs="Arial"/>
                <w:sz w:val="20"/>
              </w:rPr>
            </w:pPr>
            <w:r>
              <w:rPr>
                <w:rFonts w:cs="Arial"/>
                <w:sz w:val="20"/>
              </w:rPr>
              <w:t>Treatment of uncertainties</w:t>
            </w:r>
          </w:p>
        </w:tc>
        <w:tc>
          <w:tcPr>
            <w:tcW w:w="6946" w:type="dxa"/>
            <w:gridSpan w:val="4"/>
          </w:tcPr>
          <w:p w14:paraId="77C5D2FF" w14:textId="01E02E2A" w:rsidR="004334D2" w:rsidRDefault="004334D2" w:rsidP="00E06D0C">
            <w:pPr>
              <w:spacing w:before="60" w:after="60"/>
              <w:ind w:right="57"/>
              <w:rPr>
                <w:rFonts w:cs="Arial"/>
                <w:sz w:val="20"/>
              </w:rPr>
            </w:pPr>
            <w:r>
              <w:rPr>
                <w:rFonts w:cs="Arial"/>
                <w:sz w:val="20"/>
              </w:rPr>
              <w:t>For Option</w:t>
            </w:r>
            <w:r w:rsidR="00744658">
              <w:rPr>
                <w:rFonts w:cs="Arial"/>
                <w:sz w:val="20"/>
              </w:rPr>
              <w:t> </w:t>
            </w:r>
            <w:r>
              <w:rPr>
                <w:rFonts w:cs="Arial"/>
                <w:sz w:val="20"/>
              </w:rPr>
              <w:t>1, the uncertainty is to be determined based on the guidance from the standard BS845.</w:t>
            </w:r>
          </w:p>
          <w:p w14:paraId="7B3C77EB" w14:textId="0D649D01" w:rsidR="004334D2" w:rsidRPr="00506FD8" w:rsidRDefault="004334D2" w:rsidP="00E06D0C">
            <w:pPr>
              <w:spacing w:before="60" w:after="60"/>
              <w:ind w:right="57"/>
              <w:rPr>
                <w:rFonts w:cs="Arial"/>
                <w:sz w:val="20"/>
              </w:rPr>
            </w:pPr>
            <w:r>
              <w:rPr>
                <w:rFonts w:cs="Arial"/>
                <w:sz w:val="20"/>
              </w:rPr>
              <w:t>For Option</w:t>
            </w:r>
            <w:r w:rsidR="00744658">
              <w:rPr>
                <w:rFonts w:cs="Arial"/>
                <w:sz w:val="20"/>
              </w:rPr>
              <w:t> </w:t>
            </w:r>
            <w:r>
              <w:rPr>
                <w:rFonts w:cs="Arial"/>
                <w:sz w:val="20"/>
              </w:rPr>
              <w:t>2, the uncertainty is to be provided by the manufacturer</w:t>
            </w:r>
          </w:p>
        </w:tc>
      </w:tr>
      <w:tr w:rsidR="004334D2" w:rsidRPr="00131981" w14:paraId="1C724C35" w14:textId="77777777" w:rsidTr="00073748">
        <w:tc>
          <w:tcPr>
            <w:tcW w:w="2405" w:type="dxa"/>
            <w:shd w:val="clear" w:color="auto" w:fill="E6E6E6"/>
          </w:tcPr>
          <w:p w14:paraId="542237C4"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3FC24F8B" w14:textId="77777777" w:rsidR="004334D2" w:rsidRPr="00131981" w:rsidRDefault="004334D2" w:rsidP="00E06D0C">
            <w:pPr>
              <w:spacing w:before="60" w:after="60"/>
              <w:ind w:right="57"/>
              <w:rPr>
                <w:rFonts w:cs="Arial"/>
                <w:sz w:val="20"/>
              </w:rPr>
            </w:pPr>
            <w:r>
              <w:rPr>
                <w:rFonts w:cs="Arial"/>
                <w:sz w:val="20"/>
              </w:rPr>
              <w:t>-</w:t>
            </w:r>
          </w:p>
        </w:tc>
      </w:tr>
    </w:tbl>
    <w:p w14:paraId="67E25662" w14:textId="6FF680AC"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19</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848"/>
        <w:gridCol w:w="567"/>
        <w:gridCol w:w="2410"/>
        <w:gridCol w:w="2121"/>
      </w:tblGrid>
      <w:tr w:rsidR="004334D2" w:rsidRPr="00131981" w14:paraId="77722200" w14:textId="77777777" w:rsidTr="00073748">
        <w:tc>
          <w:tcPr>
            <w:tcW w:w="2405" w:type="dxa"/>
            <w:shd w:val="clear" w:color="auto" w:fill="E6E6E6"/>
          </w:tcPr>
          <w:p w14:paraId="7118D23A" w14:textId="77777777" w:rsidR="004334D2" w:rsidRPr="00131981" w:rsidRDefault="004334D2" w:rsidP="00E06D0C">
            <w:pPr>
              <w:spacing w:before="60" w:after="60"/>
              <w:ind w:right="57"/>
              <w:rPr>
                <w:rFonts w:cs="Arial"/>
                <w:b/>
                <w:bCs/>
                <w:sz w:val="20"/>
              </w:rPr>
            </w:pPr>
            <w:r w:rsidRPr="00131981">
              <w:rPr>
                <w:rFonts w:cs="Arial"/>
                <w:b/>
                <w:bCs/>
                <w:sz w:val="20"/>
              </w:rPr>
              <w:t>Data/parameter</w:t>
            </w:r>
          </w:p>
        </w:tc>
        <w:tc>
          <w:tcPr>
            <w:tcW w:w="6946" w:type="dxa"/>
            <w:gridSpan w:val="4"/>
          </w:tcPr>
          <w:p w14:paraId="6045F919" w14:textId="77777777" w:rsidR="004334D2" w:rsidRPr="006B32D1" w:rsidRDefault="00302468" w:rsidP="00E06D0C">
            <w:pPr>
              <w:spacing w:before="60" w:after="60"/>
              <w:ind w:right="57"/>
              <w:rPr>
                <w:rFonts w:cs="Arial"/>
                <w:b/>
                <w:bCs/>
                <w:i/>
                <w:sz w:val="20"/>
              </w:rPr>
            </w:pPr>
            <m:oMathPara>
              <m:oMathParaPr>
                <m:jc m:val="left"/>
              </m:oMathParaPr>
              <m:oMath>
                <m:sSub>
                  <m:sSubPr>
                    <m:ctrlPr>
                      <w:rPr>
                        <w:rFonts w:ascii="Cambria Math" w:hAnsi="Cambria Math"/>
                        <w:b/>
                        <w:bCs/>
                        <w:i/>
                      </w:rPr>
                    </m:ctrlPr>
                  </m:sSubPr>
                  <m:e>
                    <m:r>
                      <m:rPr>
                        <m:sty m:val="bi"/>
                      </m:rPr>
                      <w:rPr>
                        <w:rFonts w:ascii="Cambria Math" w:hAnsi="Cambria Math"/>
                      </w:rPr>
                      <m:t>Op</m:t>
                    </m:r>
                  </m:e>
                  <m:sub>
                    <m:r>
                      <m:rPr>
                        <m:sty m:val="bi"/>
                      </m:rPr>
                      <w:rPr>
                        <w:rFonts w:ascii="Cambria Math" w:hAnsi="Cambria Math"/>
                      </w:rPr>
                      <m:t>j,h</m:t>
                    </m:r>
                  </m:sub>
                </m:sSub>
              </m:oMath>
            </m:oMathPara>
          </w:p>
        </w:tc>
      </w:tr>
      <w:tr w:rsidR="004334D2" w:rsidRPr="0061068C" w14:paraId="43B5975E" w14:textId="77777777" w:rsidTr="00073748">
        <w:tc>
          <w:tcPr>
            <w:tcW w:w="2405" w:type="dxa"/>
            <w:shd w:val="clear" w:color="auto" w:fill="E6E6E6"/>
          </w:tcPr>
          <w:p w14:paraId="708F45BF" w14:textId="77777777" w:rsidR="004334D2" w:rsidRPr="0061068C" w:rsidRDefault="004334D2" w:rsidP="00E06D0C">
            <w:pPr>
              <w:spacing w:before="60" w:after="60"/>
              <w:ind w:right="57"/>
              <w:rPr>
                <w:rFonts w:cs="Arial"/>
                <w:sz w:val="20"/>
              </w:rPr>
            </w:pPr>
            <w:r w:rsidRPr="0061068C">
              <w:rPr>
                <w:rFonts w:cs="Arial"/>
                <w:sz w:val="20"/>
              </w:rPr>
              <w:t>Description</w:t>
            </w:r>
          </w:p>
        </w:tc>
        <w:tc>
          <w:tcPr>
            <w:tcW w:w="6946" w:type="dxa"/>
            <w:gridSpan w:val="4"/>
          </w:tcPr>
          <w:p w14:paraId="43739205" w14:textId="462FA131" w:rsidR="004334D2" w:rsidRPr="0061068C" w:rsidRDefault="004334D2" w:rsidP="00E06D0C">
            <w:pPr>
              <w:spacing w:before="60" w:after="60"/>
              <w:ind w:right="57"/>
              <w:rPr>
                <w:rFonts w:cs="Arial"/>
                <w:sz w:val="20"/>
              </w:rPr>
            </w:pPr>
            <w:r w:rsidRPr="00EA7940">
              <w:rPr>
                <w:rFonts w:cs="Arial"/>
                <w:sz w:val="20"/>
              </w:rPr>
              <w:t>Operation</w:t>
            </w:r>
            <w:r w:rsidRPr="00836639">
              <w:rPr>
                <w:sz w:val="20"/>
                <w:szCs w:val="18"/>
              </w:rPr>
              <w:t xml:space="preserve"> of the equipment </w:t>
            </w:r>
            <w:r w:rsidRPr="00D8219E">
              <w:rPr>
                <w:i/>
                <w:iCs/>
                <w:sz w:val="20"/>
                <w:szCs w:val="18"/>
              </w:rPr>
              <w:t>j</w:t>
            </w:r>
            <w:r>
              <w:rPr>
                <w:sz w:val="20"/>
                <w:szCs w:val="18"/>
              </w:rPr>
              <w:t xml:space="preserve"> </w:t>
            </w:r>
            <w:r w:rsidRPr="00836639">
              <w:rPr>
                <w:sz w:val="20"/>
                <w:szCs w:val="18"/>
              </w:rPr>
              <w:t>that consumes the LFG</w:t>
            </w:r>
            <w:r>
              <w:rPr>
                <w:sz w:val="20"/>
                <w:szCs w:val="18"/>
              </w:rPr>
              <w:t xml:space="preserve"> in hour</w:t>
            </w:r>
            <w:r w:rsidR="00744658">
              <w:rPr>
                <w:sz w:val="20"/>
                <w:szCs w:val="18"/>
              </w:rPr>
              <w:t> </w:t>
            </w:r>
            <w:r w:rsidRPr="00D8219E">
              <w:rPr>
                <w:i/>
                <w:iCs/>
                <w:sz w:val="20"/>
                <w:szCs w:val="18"/>
              </w:rPr>
              <w:t>h</w:t>
            </w:r>
          </w:p>
        </w:tc>
      </w:tr>
      <w:tr w:rsidR="004334D2" w:rsidRPr="00131981" w14:paraId="37294CA1" w14:textId="77777777" w:rsidTr="00073748">
        <w:tc>
          <w:tcPr>
            <w:tcW w:w="2405" w:type="dxa"/>
            <w:shd w:val="clear" w:color="auto" w:fill="E6E6E6"/>
          </w:tcPr>
          <w:p w14:paraId="287CCAEA"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56813DB6" w14:textId="77777777" w:rsidR="004334D2" w:rsidRPr="00131981" w:rsidRDefault="004334D2" w:rsidP="00E06D0C">
            <w:pPr>
              <w:spacing w:before="60" w:after="60"/>
              <w:ind w:right="57"/>
              <w:rPr>
                <w:rFonts w:cs="Arial"/>
                <w:sz w:val="20"/>
              </w:rPr>
            </w:pPr>
            <w:r>
              <w:rPr>
                <w:rFonts w:cs="Arial"/>
                <w:sz w:val="20"/>
              </w:rPr>
              <w:t>Hours</w:t>
            </w:r>
          </w:p>
        </w:tc>
      </w:tr>
      <w:tr w:rsidR="004334D2" w:rsidRPr="00131981" w14:paraId="6A856A52" w14:textId="77777777" w:rsidTr="00073748">
        <w:tc>
          <w:tcPr>
            <w:tcW w:w="2405" w:type="dxa"/>
            <w:shd w:val="clear" w:color="auto" w:fill="E6E6E6"/>
          </w:tcPr>
          <w:p w14:paraId="466D8A57"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7360FAE0" w14:textId="46BE142D" w:rsidR="004334D2" w:rsidRPr="00131981" w:rsidRDefault="004334D2" w:rsidP="00E06D0C">
            <w:pPr>
              <w:spacing w:before="60" w:after="60"/>
              <w:ind w:right="57"/>
              <w:rPr>
                <w:rFonts w:cs="Arial"/>
                <w:sz w:val="20"/>
              </w:rPr>
            </w:pPr>
            <w:r>
              <w:rPr>
                <w:rFonts w:cs="Arial"/>
                <w:sz w:val="20"/>
              </w:rPr>
              <w:t>N/A. This parameter is measured to determine whether the equipment</w:t>
            </w:r>
            <w:r w:rsidR="00B0747A">
              <w:rPr>
                <w:rFonts w:cs="Arial"/>
                <w:sz w:val="20"/>
              </w:rPr>
              <w:t xml:space="preserve"> type</w:t>
            </w:r>
            <w:r w:rsidR="00744658">
              <w:rPr>
                <w:rFonts w:cs="Arial"/>
                <w:sz w:val="20"/>
              </w:rPr>
              <w:t> </w:t>
            </w:r>
            <w:r w:rsidRPr="00836639">
              <w:rPr>
                <w:rFonts w:cs="Arial"/>
                <w:i/>
                <w:iCs/>
                <w:sz w:val="20"/>
              </w:rPr>
              <w:t>j</w:t>
            </w:r>
            <w:r>
              <w:rPr>
                <w:rFonts w:cs="Arial"/>
                <w:sz w:val="20"/>
              </w:rPr>
              <w:t xml:space="preserve"> is in operation during the hour</w:t>
            </w:r>
            <w:r w:rsidR="00744658">
              <w:rPr>
                <w:rFonts w:cs="Arial"/>
                <w:sz w:val="20"/>
              </w:rPr>
              <w:t> </w:t>
            </w:r>
            <w:r w:rsidRPr="00836639">
              <w:rPr>
                <w:rFonts w:cs="Arial"/>
                <w:i/>
                <w:iCs/>
                <w:sz w:val="20"/>
              </w:rPr>
              <w:t>h</w:t>
            </w:r>
            <w:r>
              <w:rPr>
                <w:rFonts w:cs="Arial"/>
                <w:sz w:val="20"/>
              </w:rPr>
              <w:t>.</w:t>
            </w:r>
          </w:p>
        </w:tc>
      </w:tr>
      <w:tr w:rsidR="004334D2" w:rsidRPr="00131981" w14:paraId="2D2631F8" w14:textId="77777777" w:rsidTr="00073748">
        <w:tc>
          <w:tcPr>
            <w:tcW w:w="2405" w:type="dxa"/>
            <w:shd w:val="clear" w:color="auto" w:fill="E6E6E6"/>
          </w:tcPr>
          <w:p w14:paraId="1B4CAAE0"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415" w:type="dxa"/>
            <w:gridSpan w:val="2"/>
          </w:tcPr>
          <w:p w14:paraId="67441A1B"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1"/>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Baseline emissions</w:t>
            </w:r>
          </w:p>
        </w:tc>
        <w:tc>
          <w:tcPr>
            <w:tcW w:w="2410" w:type="dxa"/>
          </w:tcPr>
          <w:p w14:paraId="3AAA69A2" w14:textId="33303F00"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w:t>
            </w:r>
            <w:r w:rsidR="005704AC">
              <w:rPr>
                <w:rFonts w:cs="Arial"/>
                <w:sz w:val="20"/>
              </w:rPr>
              <w:t>Project emissions</w:t>
            </w:r>
          </w:p>
        </w:tc>
        <w:tc>
          <w:tcPr>
            <w:tcW w:w="2121" w:type="dxa"/>
          </w:tcPr>
          <w:p w14:paraId="36A32DF0"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Leakage emissions</w:t>
            </w:r>
          </w:p>
        </w:tc>
      </w:tr>
      <w:tr w:rsidR="004334D2" w:rsidRPr="00131981" w14:paraId="76ED634D" w14:textId="77777777" w:rsidTr="00073748">
        <w:tc>
          <w:tcPr>
            <w:tcW w:w="2405" w:type="dxa"/>
            <w:shd w:val="clear" w:color="auto" w:fill="E6E6E6"/>
          </w:tcPr>
          <w:p w14:paraId="2D57D282"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1D338FC8" w14:textId="77777777" w:rsidR="004334D2" w:rsidRPr="00EA7940" w:rsidRDefault="004334D2" w:rsidP="00DA05CE">
            <w:pPr>
              <w:keepNext/>
              <w:spacing w:before="60" w:after="60"/>
              <w:ind w:right="57"/>
              <w:rPr>
                <w:rFonts w:cs="Arial"/>
                <w:sz w:val="20"/>
              </w:rPr>
            </w:pPr>
            <w:r w:rsidRPr="00EA7940">
              <w:rPr>
                <w:rFonts w:cs="Arial"/>
                <w:sz w:val="20"/>
              </w:rPr>
              <w:t>For each equipment unit j using the LFG monitor that the plant is operating in hour h by the monitoring any one or more of the following three parameters:</w:t>
            </w:r>
          </w:p>
          <w:p w14:paraId="5E1FBB3B" w14:textId="30C4B18A" w:rsidR="004334D2" w:rsidRPr="00071341" w:rsidRDefault="004334D2" w:rsidP="003630AA">
            <w:pPr>
              <w:pStyle w:val="ParaTickBox"/>
              <w:numPr>
                <w:ilvl w:val="0"/>
                <w:numId w:val="28"/>
              </w:numPr>
              <w:tabs>
                <w:tab w:val="clear" w:pos="510"/>
              </w:tabs>
              <w:ind w:right="57"/>
              <w:jc w:val="both"/>
              <w:rPr>
                <w:szCs w:val="20"/>
              </w:rPr>
            </w:pPr>
            <w:r w:rsidRPr="00071341">
              <w:rPr>
                <w:szCs w:val="20"/>
                <w:u w:val="single"/>
              </w:rPr>
              <w:t>Temperature:</w:t>
            </w:r>
            <w:r w:rsidRPr="00071341">
              <w:rPr>
                <w:szCs w:val="20"/>
              </w:rPr>
              <w:t xml:space="preserve"> Determine the location for temperature measurements and minimum operational temperature based on manufacturer’s specifications of the burning equipment. Document and justify the location and minimum threshold in the PDD;</w:t>
            </w:r>
          </w:p>
          <w:p w14:paraId="025E9C88" w14:textId="04DBB5A8" w:rsidR="004334D2" w:rsidRPr="00071341" w:rsidRDefault="004334D2" w:rsidP="003630AA">
            <w:pPr>
              <w:pStyle w:val="ParaTickBox"/>
              <w:numPr>
                <w:ilvl w:val="0"/>
                <w:numId w:val="28"/>
              </w:numPr>
              <w:tabs>
                <w:tab w:val="clear" w:pos="510"/>
              </w:tabs>
              <w:ind w:right="57"/>
              <w:jc w:val="both"/>
              <w:rPr>
                <w:szCs w:val="20"/>
              </w:rPr>
            </w:pPr>
            <w:r w:rsidRPr="00071341">
              <w:rPr>
                <w:szCs w:val="20"/>
                <w:u w:val="single"/>
              </w:rPr>
              <w:t>Flame:</w:t>
            </w:r>
            <w:r w:rsidRPr="00071341">
              <w:rPr>
                <w:szCs w:val="20"/>
              </w:rPr>
              <w:t xml:space="preserve"> Flame detection system is used to ensure that the equipment is in operation</w:t>
            </w:r>
            <w:r>
              <w:rPr>
                <w:szCs w:val="20"/>
              </w:rPr>
              <w:t>. This option is applicable only for flares</w:t>
            </w:r>
            <w:r w:rsidRPr="00071341">
              <w:rPr>
                <w:szCs w:val="20"/>
              </w:rPr>
              <w:t>;</w:t>
            </w:r>
          </w:p>
          <w:p w14:paraId="02A7B592" w14:textId="0C3A2883" w:rsidR="004334D2" w:rsidRPr="00071341" w:rsidRDefault="004334D2" w:rsidP="003630AA">
            <w:pPr>
              <w:pStyle w:val="ParaTickBox"/>
              <w:numPr>
                <w:ilvl w:val="0"/>
                <w:numId w:val="28"/>
              </w:numPr>
              <w:tabs>
                <w:tab w:val="clear" w:pos="510"/>
              </w:tabs>
              <w:ind w:right="57"/>
              <w:jc w:val="both"/>
              <w:rPr>
                <w:szCs w:val="20"/>
                <w:u w:val="single"/>
              </w:rPr>
            </w:pPr>
            <w:r w:rsidRPr="00071341">
              <w:rPr>
                <w:szCs w:val="20"/>
                <w:u w:val="single"/>
              </w:rPr>
              <w:t>Products generated:</w:t>
            </w:r>
            <w:r w:rsidRPr="00071341">
              <w:rPr>
                <w:szCs w:val="20"/>
              </w:rPr>
              <w:t xml:space="preserve"> Monitor the generation of steam for the case of boilers and air-heaters and glass for the case of glass melting furnaces. This option is not applicable to brick kilns</w:t>
            </w:r>
          </w:p>
        </w:tc>
      </w:tr>
      <w:tr w:rsidR="004334D2" w:rsidRPr="00131981" w14:paraId="55D39832" w14:textId="77777777" w:rsidTr="00073748">
        <w:trPr>
          <w:trHeight w:val="107"/>
        </w:trPr>
        <w:tc>
          <w:tcPr>
            <w:tcW w:w="2405" w:type="dxa"/>
            <w:shd w:val="clear" w:color="auto" w:fill="E6E6E6"/>
          </w:tcPr>
          <w:p w14:paraId="0C0779D5"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15D98BC4" w14:textId="77777777" w:rsidR="004334D2" w:rsidRPr="00131981" w:rsidRDefault="004334D2" w:rsidP="00E06D0C">
            <w:pPr>
              <w:spacing w:before="60" w:after="60"/>
              <w:ind w:right="57"/>
            </w:pPr>
            <w:r w:rsidRPr="00EA7940">
              <w:rPr>
                <w:rFonts w:cs="Arial"/>
                <w:sz w:val="20"/>
              </w:rPr>
              <w:t>Activity</w:t>
            </w:r>
            <w:r>
              <w:t xml:space="preserve"> participants</w:t>
            </w:r>
          </w:p>
        </w:tc>
      </w:tr>
      <w:tr w:rsidR="004334D2" w:rsidRPr="00131981" w14:paraId="6F1470ED" w14:textId="77777777" w:rsidTr="00073748">
        <w:trPr>
          <w:trHeight w:val="107"/>
        </w:trPr>
        <w:tc>
          <w:tcPr>
            <w:tcW w:w="2405" w:type="dxa"/>
            <w:vMerge w:val="restart"/>
            <w:shd w:val="clear" w:color="auto" w:fill="E6E6E6"/>
          </w:tcPr>
          <w:p w14:paraId="3182A6A2"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848" w:type="dxa"/>
          </w:tcPr>
          <w:p w14:paraId="7C3F60FA" w14:textId="77777777" w:rsidR="004334D2" w:rsidRPr="00131981" w:rsidRDefault="004334D2" w:rsidP="00E06D0C">
            <w:pPr>
              <w:spacing w:before="60" w:after="60"/>
              <w:ind w:left="142" w:right="57"/>
              <w:jc w:val="right"/>
              <w:rPr>
                <w:rFonts w:cs="Arial"/>
                <w:i/>
                <w:iCs/>
                <w:sz w:val="20"/>
              </w:rPr>
            </w:pPr>
            <w:r w:rsidRPr="00131981">
              <w:rPr>
                <w:rFonts w:cs="Arial"/>
                <w:i/>
                <w:iCs/>
                <w:sz w:val="20"/>
              </w:rPr>
              <w:t>Type of instrument</w:t>
            </w:r>
          </w:p>
        </w:tc>
        <w:tc>
          <w:tcPr>
            <w:tcW w:w="5098" w:type="dxa"/>
            <w:gridSpan w:val="3"/>
          </w:tcPr>
          <w:p w14:paraId="267845A4"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4D44D649" w14:textId="77777777" w:rsidTr="00073748">
        <w:trPr>
          <w:trHeight w:val="104"/>
        </w:trPr>
        <w:tc>
          <w:tcPr>
            <w:tcW w:w="2405" w:type="dxa"/>
            <w:vMerge/>
          </w:tcPr>
          <w:p w14:paraId="7E3D37D1" w14:textId="77777777" w:rsidR="004334D2" w:rsidRPr="00131981" w:rsidRDefault="004334D2" w:rsidP="00E06D0C">
            <w:pPr>
              <w:spacing w:before="60" w:after="60"/>
              <w:ind w:right="57"/>
              <w:rPr>
                <w:rFonts w:cs="Arial"/>
                <w:sz w:val="20"/>
              </w:rPr>
            </w:pPr>
          </w:p>
        </w:tc>
        <w:tc>
          <w:tcPr>
            <w:tcW w:w="1848" w:type="dxa"/>
          </w:tcPr>
          <w:p w14:paraId="0D9359B8" w14:textId="77777777" w:rsidR="004334D2" w:rsidRPr="00131981" w:rsidRDefault="004334D2" w:rsidP="00E06D0C">
            <w:pPr>
              <w:spacing w:before="60" w:after="60"/>
              <w:ind w:left="142" w:right="57"/>
              <w:jc w:val="right"/>
              <w:rPr>
                <w:rFonts w:cs="Arial"/>
                <w:i/>
                <w:iCs/>
                <w:sz w:val="20"/>
              </w:rPr>
            </w:pPr>
            <w:r w:rsidRPr="00131981">
              <w:rPr>
                <w:rFonts w:cs="Arial"/>
                <w:i/>
                <w:iCs/>
                <w:sz w:val="20"/>
              </w:rPr>
              <w:t>Accuracy class</w:t>
            </w:r>
          </w:p>
        </w:tc>
        <w:tc>
          <w:tcPr>
            <w:tcW w:w="5098" w:type="dxa"/>
            <w:gridSpan w:val="3"/>
          </w:tcPr>
          <w:p w14:paraId="68E5A702"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1A09BD53" w14:textId="77777777" w:rsidTr="00073748">
        <w:trPr>
          <w:trHeight w:val="104"/>
        </w:trPr>
        <w:tc>
          <w:tcPr>
            <w:tcW w:w="2405" w:type="dxa"/>
            <w:vMerge/>
          </w:tcPr>
          <w:p w14:paraId="64DD9133" w14:textId="77777777" w:rsidR="004334D2" w:rsidRPr="00131981" w:rsidRDefault="004334D2" w:rsidP="00E06D0C">
            <w:pPr>
              <w:spacing w:before="60" w:after="60"/>
              <w:ind w:right="57"/>
              <w:rPr>
                <w:rFonts w:cs="Arial"/>
                <w:sz w:val="20"/>
              </w:rPr>
            </w:pPr>
          </w:p>
        </w:tc>
        <w:tc>
          <w:tcPr>
            <w:tcW w:w="1848" w:type="dxa"/>
          </w:tcPr>
          <w:p w14:paraId="231833D6" w14:textId="77777777" w:rsidR="004334D2" w:rsidRPr="00131981" w:rsidRDefault="004334D2" w:rsidP="00E06D0C">
            <w:pPr>
              <w:spacing w:before="60" w:after="60"/>
              <w:ind w:left="142" w:right="57"/>
              <w:jc w:val="right"/>
              <w:rPr>
                <w:rFonts w:cs="Arial"/>
                <w:i/>
                <w:iCs/>
                <w:sz w:val="20"/>
              </w:rPr>
            </w:pPr>
            <w:r w:rsidRPr="00131981">
              <w:rPr>
                <w:rFonts w:cs="Arial"/>
                <w:i/>
                <w:iCs/>
                <w:sz w:val="20"/>
              </w:rPr>
              <w:t>Calibration requirements</w:t>
            </w:r>
          </w:p>
        </w:tc>
        <w:tc>
          <w:tcPr>
            <w:tcW w:w="5098" w:type="dxa"/>
            <w:gridSpan w:val="3"/>
          </w:tcPr>
          <w:p w14:paraId="72895834" w14:textId="77777777" w:rsidR="004334D2" w:rsidRPr="00EA7940" w:rsidRDefault="004334D2" w:rsidP="00E06D0C">
            <w:pPr>
              <w:spacing w:before="60" w:after="60"/>
              <w:ind w:right="57"/>
              <w:rPr>
                <w:rFonts w:cs="Arial"/>
                <w:sz w:val="20"/>
              </w:rPr>
            </w:pPr>
            <w:r>
              <w:rPr>
                <w:rFonts w:cs="Arial"/>
                <w:sz w:val="20"/>
              </w:rPr>
              <w:t>N/A</w:t>
            </w:r>
          </w:p>
        </w:tc>
      </w:tr>
      <w:tr w:rsidR="004334D2" w:rsidRPr="00131981" w14:paraId="07032D4B" w14:textId="77777777" w:rsidTr="00073748">
        <w:trPr>
          <w:trHeight w:val="104"/>
        </w:trPr>
        <w:tc>
          <w:tcPr>
            <w:tcW w:w="2405" w:type="dxa"/>
            <w:vMerge/>
          </w:tcPr>
          <w:p w14:paraId="02B0EB81" w14:textId="77777777" w:rsidR="004334D2" w:rsidRPr="00131981" w:rsidRDefault="004334D2" w:rsidP="00E06D0C">
            <w:pPr>
              <w:spacing w:before="60" w:after="60"/>
              <w:ind w:right="57"/>
              <w:rPr>
                <w:rFonts w:cs="Arial"/>
                <w:sz w:val="20"/>
              </w:rPr>
            </w:pPr>
          </w:p>
        </w:tc>
        <w:tc>
          <w:tcPr>
            <w:tcW w:w="1848" w:type="dxa"/>
          </w:tcPr>
          <w:p w14:paraId="584758E0" w14:textId="77777777" w:rsidR="004334D2" w:rsidRPr="00131981" w:rsidRDefault="004334D2" w:rsidP="00E06D0C">
            <w:pPr>
              <w:spacing w:before="60" w:after="60"/>
              <w:ind w:left="142" w:right="57"/>
              <w:jc w:val="right"/>
              <w:rPr>
                <w:rFonts w:cs="Arial"/>
                <w:i/>
                <w:iCs/>
                <w:sz w:val="20"/>
              </w:rPr>
            </w:pPr>
            <w:r w:rsidRPr="00131981">
              <w:rPr>
                <w:rFonts w:cs="Arial"/>
                <w:i/>
                <w:iCs/>
                <w:sz w:val="20"/>
              </w:rPr>
              <w:t>Location</w:t>
            </w:r>
          </w:p>
        </w:tc>
        <w:tc>
          <w:tcPr>
            <w:tcW w:w="5098" w:type="dxa"/>
            <w:gridSpan w:val="3"/>
          </w:tcPr>
          <w:p w14:paraId="44297F3D"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3AE841DB" w14:textId="77777777" w:rsidTr="00073748">
        <w:tc>
          <w:tcPr>
            <w:tcW w:w="2405" w:type="dxa"/>
            <w:shd w:val="clear" w:color="auto" w:fill="E6E6E6"/>
          </w:tcPr>
          <w:p w14:paraId="1FED3977"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6AC24BF1" w14:textId="77777777" w:rsidR="004334D2" w:rsidRPr="00890534" w:rsidRDefault="004334D2" w:rsidP="00E06D0C">
            <w:pPr>
              <w:spacing w:before="60" w:after="60"/>
              <w:ind w:right="57"/>
              <w:rPr>
                <w:rFonts w:cs="Arial"/>
                <w:sz w:val="20"/>
              </w:rPr>
            </w:pPr>
            <w:r>
              <w:rPr>
                <w:rFonts w:cs="Arial"/>
                <w:sz w:val="20"/>
              </w:rPr>
              <w:t>Every minute (temperature and flame detector), or every hour (products)</w:t>
            </w:r>
          </w:p>
        </w:tc>
      </w:tr>
      <w:tr w:rsidR="004334D2" w:rsidRPr="00131981" w14:paraId="643C5AB9" w14:textId="77777777" w:rsidTr="00073748">
        <w:tc>
          <w:tcPr>
            <w:tcW w:w="2405" w:type="dxa"/>
            <w:shd w:val="clear" w:color="auto" w:fill="E6E6E6"/>
          </w:tcPr>
          <w:p w14:paraId="7B333836"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77005EA8" w14:textId="77777777" w:rsidR="004334D2" w:rsidRPr="002B6CB9" w:rsidRDefault="004334D2" w:rsidP="00E06D0C">
            <w:pPr>
              <w:spacing w:before="60" w:after="60"/>
              <w:ind w:right="57"/>
              <w:rPr>
                <w:rFonts w:cs="Arial"/>
                <w:sz w:val="20"/>
              </w:rPr>
            </w:pPr>
            <w:r>
              <w:rPr>
                <w:rFonts w:cs="Arial"/>
                <w:sz w:val="20"/>
              </w:rPr>
              <w:t>-</w:t>
            </w:r>
          </w:p>
        </w:tc>
      </w:tr>
      <w:tr w:rsidR="004334D2" w:rsidRPr="00131981" w14:paraId="0EEB7A18" w14:textId="77777777" w:rsidTr="00073748">
        <w:tc>
          <w:tcPr>
            <w:tcW w:w="2405" w:type="dxa"/>
            <w:shd w:val="clear" w:color="auto" w:fill="E6E6E6"/>
          </w:tcPr>
          <w:p w14:paraId="7A71699C" w14:textId="77777777" w:rsidR="004334D2" w:rsidRPr="00131981" w:rsidRDefault="004334D2" w:rsidP="00E06D0C">
            <w:pPr>
              <w:spacing w:before="60" w:after="60"/>
              <w:ind w:right="57"/>
              <w:jc w:val="left"/>
              <w:rPr>
                <w:rFonts w:cs="Arial"/>
                <w:sz w:val="20"/>
              </w:rPr>
            </w:pPr>
            <w:r>
              <w:rPr>
                <w:rFonts w:cs="Arial"/>
                <w:sz w:val="20"/>
              </w:rPr>
              <w:t>Treatment of uncertainties</w:t>
            </w:r>
          </w:p>
        </w:tc>
        <w:tc>
          <w:tcPr>
            <w:tcW w:w="6946" w:type="dxa"/>
            <w:gridSpan w:val="4"/>
          </w:tcPr>
          <w:p w14:paraId="6BED6FEB" w14:textId="77777777" w:rsidR="004334D2" w:rsidRPr="00506FD8" w:rsidRDefault="004334D2" w:rsidP="00E06D0C">
            <w:pPr>
              <w:spacing w:before="60" w:after="60"/>
              <w:ind w:right="57"/>
              <w:rPr>
                <w:rFonts w:cs="Arial"/>
                <w:sz w:val="20"/>
              </w:rPr>
            </w:pPr>
            <w:r>
              <w:rPr>
                <w:rFonts w:cs="Arial"/>
                <w:sz w:val="20"/>
              </w:rPr>
              <w:t>N/A</w:t>
            </w:r>
          </w:p>
        </w:tc>
      </w:tr>
      <w:tr w:rsidR="004334D2" w:rsidRPr="00131981" w14:paraId="1B3A2BD3" w14:textId="77777777" w:rsidTr="00073748">
        <w:tc>
          <w:tcPr>
            <w:tcW w:w="2405" w:type="dxa"/>
            <w:shd w:val="clear" w:color="auto" w:fill="E6E6E6"/>
          </w:tcPr>
          <w:p w14:paraId="7AB79799"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703FC137" w14:textId="0A228A61" w:rsidR="004334D2" w:rsidRPr="00EA7940" w:rsidRDefault="004334D2" w:rsidP="00DA05CE">
            <w:pPr>
              <w:keepNext/>
              <w:spacing w:before="60" w:after="60"/>
              <w:ind w:right="57"/>
              <w:rPr>
                <w:rFonts w:cs="Arial"/>
                <w:sz w:val="20"/>
              </w:rPr>
            </w:pPr>
            <w:r w:rsidRPr="00EA7940">
              <w:rPr>
                <w:rFonts w:cs="Arial"/>
                <w:sz w:val="20"/>
              </w:rPr>
              <w:t xml:space="preserve">A value of 0 shall be assigned </w:t>
            </w:r>
            <w:r>
              <w:rPr>
                <w:rFonts w:cs="Arial"/>
                <w:sz w:val="20"/>
              </w:rPr>
              <w:t>for the specific hour</w:t>
            </w:r>
            <w:r w:rsidR="00744658">
              <w:rPr>
                <w:rFonts w:cs="Arial"/>
                <w:sz w:val="20"/>
              </w:rPr>
              <w:t> </w:t>
            </w:r>
            <w:r w:rsidRPr="003C1130">
              <w:rPr>
                <w:rFonts w:cs="Arial"/>
                <w:i/>
                <w:iCs/>
                <w:sz w:val="20"/>
              </w:rPr>
              <w:t>h</w:t>
            </w:r>
            <w:r>
              <w:rPr>
                <w:rFonts w:cs="Arial"/>
                <w:sz w:val="20"/>
              </w:rPr>
              <w:t xml:space="preserve"> </w:t>
            </w:r>
            <w:r w:rsidRPr="00EA7940">
              <w:rPr>
                <w:rFonts w:cs="Arial"/>
                <w:sz w:val="20"/>
              </w:rPr>
              <w:t>when:</w:t>
            </w:r>
          </w:p>
          <w:p w14:paraId="58E445E7" w14:textId="318D155C" w:rsidR="004334D2" w:rsidRPr="00EA7940" w:rsidRDefault="004334D2" w:rsidP="003630AA">
            <w:pPr>
              <w:pStyle w:val="SDMTableBoxFigureFootnoteFullPage"/>
              <w:numPr>
                <w:ilvl w:val="0"/>
                <w:numId w:val="29"/>
              </w:numPr>
            </w:pPr>
            <w:r w:rsidRPr="00EA7940">
              <w:t>One of more temperature measurements are missing or below the minimum threshold in hour</w:t>
            </w:r>
            <w:r w:rsidR="00744658">
              <w:t> </w:t>
            </w:r>
            <w:r w:rsidRPr="00EA7940">
              <w:t>h (instantaneous measurements are made at least every minute);</w:t>
            </w:r>
          </w:p>
          <w:p w14:paraId="485A908D" w14:textId="4D4B2D89" w:rsidR="004334D2" w:rsidRPr="00EA7940" w:rsidRDefault="004334D2" w:rsidP="003630AA">
            <w:pPr>
              <w:pStyle w:val="SDMTableBoxFigureFootnoteFullPage"/>
              <w:numPr>
                <w:ilvl w:val="0"/>
                <w:numId w:val="29"/>
              </w:numPr>
            </w:pPr>
            <w:r w:rsidRPr="00EA7940">
              <w:t>Flame is not detected continuously in hour</w:t>
            </w:r>
            <w:r w:rsidR="00744658">
              <w:t> </w:t>
            </w:r>
            <w:r w:rsidRPr="00EA7940">
              <w:t>h (instantaneous measurements are made at least every minute);</w:t>
            </w:r>
          </w:p>
          <w:p w14:paraId="55683EB3" w14:textId="44D60EA4" w:rsidR="004334D2" w:rsidRPr="00744658" w:rsidRDefault="004334D2" w:rsidP="003630AA">
            <w:pPr>
              <w:pStyle w:val="ListParagraph"/>
              <w:numPr>
                <w:ilvl w:val="0"/>
                <w:numId w:val="29"/>
              </w:numPr>
              <w:spacing w:before="60" w:after="60"/>
              <w:ind w:right="57"/>
              <w:rPr>
                <w:rFonts w:cs="Arial"/>
                <w:sz w:val="20"/>
              </w:rPr>
            </w:pPr>
            <w:r w:rsidRPr="00744658">
              <w:rPr>
                <w:rFonts w:cs="Arial"/>
                <w:sz w:val="20"/>
              </w:rPr>
              <w:t>No products are generated in the hour</w:t>
            </w:r>
            <w:r w:rsidR="00744658" w:rsidRPr="00744658">
              <w:t> </w:t>
            </w:r>
            <w:r w:rsidRPr="00744658">
              <w:rPr>
                <w:rFonts w:cs="Arial"/>
                <w:sz w:val="20"/>
              </w:rPr>
              <w:t>h</w:t>
            </w:r>
          </w:p>
        </w:tc>
      </w:tr>
    </w:tbl>
    <w:p w14:paraId="21B00C7B" w14:textId="29A4E686"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20</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848"/>
        <w:gridCol w:w="567"/>
        <w:gridCol w:w="2410"/>
        <w:gridCol w:w="2121"/>
      </w:tblGrid>
      <w:tr w:rsidR="004334D2" w:rsidRPr="00131981" w14:paraId="71001367" w14:textId="77777777" w:rsidTr="00073748">
        <w:tc>
          <w:tcPr>
            <w:tcW w:w="2405" w:type="dxa"/>
            <w:shd w:val="clear" w:color="auto" w:fill="E6E6E6"/>
          </w:tcPr>
          <w:p w14:paraId="79DB8174" w14:textId="77777777" w:rsidR="004334D2" w:rsidRPr="00131981" w:rsidRDefault="004334D2" w:rsidP="00E72F4C">
            <w:pPr>
              <w:keepNext/>
              <w:spacing w:before="60" w:after="60"/>
              <w:ind w:right="57"/>
              <w:rPr>
                <w:rFonts w:cs="Arial"/>
                <w:b/>
                <w:bCs/>
                <w:sz w:val="20"/>
              </w:rPr>
            </w:pPr>
            <w:r w:rsidRPr="00131981">
              <w:rPr>
                <w:rFonts w:cs="Arial"/>
                <w:b/>
                <w:bCs/>
                <w:sz w:val="20"/>
              </w:rPr>
              <w:t>Data/parameter</w:t>
            </w:r>
          </w:p>
        </w:tc>
        <w:tc>
          <w:tcPr>
            <w:tcW w:w="6946" w:type="dxa"/>
            <w:gridSpan w:val="4"/>
          </w:tcPr>
          <w:p w14:paraId="750236E0" w14:textId="77777777" w:rsidR="004334D2" w:rsidRPr="006B32D1" w:rsidRDefault="00302468" w:rsidP="00E72F4C">
            <w:pPr>
              <w:keepNext/>
              <w:spacing w:before="60" w:after="60"/>
              <w:ind w:right="57"/>
              <w:rPr>
                <w:rFonts w:cs="Arial"/>
                <w:b/>
                <w:bCs/>
                <w:i/>
                <w:sz w:val="20"/>
              </w:rPr>
            </w:pPr>
            <m:oMathPara>
              <m:oMathParaPr>
                <m:jc m:val="left"/>
              </m:oMathParaPr>
              <m:oMath>
                <m:sSub>
                  <m:sSubPr>
                    <m:ctrlPr>
                      <w:rPr>
                        <w:rFonts w:ascii="Cambria Math" w:hAnsi="Cambria Math"/>
                        <w:b/>
                        <w:bCs/>
                        <w:i/>
                      </w:rPr>
                    </m:ctrlPr>
                  </m:sSubPr>
                  <m:e>
                    <m:r>
                      <m:rPr>
                        <m:sty m:val="bi"/>
                      </m:rPr>
                      <w:rPr>
                        <w:rFonts w:ascii="Cambria Math" w:hAnsi="Cambria Math"/>
                      </w:rPr>
                      <m:t>EG</m:t>
                    </m:r>
                  </m:e>
                  <m:sub>
                    <m:r>
                      <m:rPr>
                        <m:sty m:val="bi"/>
                      </m:rPr>
                      <w:rPr>
                        <w:rFonts w:ascii="Cambria Math" w:hAnsi="Cambria Math"/>
                      </w:rPr>
                      <m:t>y</m:t>
                    </m:r>
                  </m:sub>
                </m:sSub>
              </m:oMath>
            </m:oMathPara>
          </w:p>
        </w:tc>
      </w:tr>
      <w:tr w:rsidR="004334D2" w:rsidRPr="0061068C" w14:paraId="6D894702" w14:textId="77777777" w:rsidTr="00073748">
        <w:tc>
          <w:tcPr>
            <w:tcW w:w="2405" w:type="dxa"/>
            <w:shd w:val="clear" w:color="auto" w:fill="E6E6E6"/>
          </w:tcPr>
          <w:p w14:paraId="2AF54324" w14:textId="77777777" w:rsidR="004334D2" w:rsidRPr="0061068C" w:rsidRDefault="004334D2" w:rsidP="00E06D0C">
            <w:pPr>
              <w:spacing w:before="60" w:after="60"/>
              <w:ind w:right="57"/>
              <w:rPr>
                <w:rFonts w:cs="Arial"/>
                <w:sz w:val="20"/>
              </w:rPr>
            </w:pPr>
            <w:r w:rsidRPr="0061068C">
              <w:rPr>
                <w:rFonts w:cs="Arial"/>
                <w:sz w:val="20"/>
              </w:rPr>
              <w:t>Description</w:t>
            </w:r>
          </w:p>
        </w:tc>
        <w:tc>
          <w:tcPr>
            <w:tcW w:w="6946" w:type="dxa"/>
            <w:gridSpan w:val="4"/>
          </w:tcPr>
          <w:p w14:paraId="1E1D8523" w14:textId="2D833CBB" w:rsidR="004334D2" w:rsidRPr="009D0653" w:rsidRDefault="009D0653" w:rsidP="00E06D0C">
            <w:pPr>
              <w:spacing w:before="60" w:after="60"/>
              <w:ind w:right="57"/>
              <w:rPr>
                <w:rFonts w:cs="Arial"/>
                <w:sz w:val="20"/>
              </w:rPr>
            </w:pPr>
            <w:r w:rsidRPr="009D0653">
              <w:rPr>
                <w:sz w:val="20"/>
              </w:rPr>
              <w:t>Quantity of electricity generated by the power plant in the activity scenario in year</w:t>
            </w:r>
            <w:r w:rsidRPr="009D0653">
              <w:rPr>
                <w:i/>
                <w:sz w:val="20"/>
              </w:rPr>
              <w:t> y</w:t>
            </w:r>
          </w:p>
        </w:tc>
      </w:tr>
      <w:tr w:rsidR="004334D2" w:rsidRPr="00131981" w14:paraId="0BF3ADC6" w14:textId="77777777" w:rsidTr="00073748">
        <w:tc>
          <w:tcPr>
            <w:tcW w:w="2405" w:type="dxa"/>
            <w:shd w:val="clear" w:color="auto" w:fill="E6E6E6"/>
          </w:tcPr>
          <w:p w14:paraId="467619E0"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3BCB93D9" w14:textId="77777777" w:rsidR="004334D2" w:rsidRPr="00131981" w:rsidRDefault="004334D2" w:rsidP="00E06D0C">
            <w:pPr>
              <w:spacing w:before="60" w:after="60"/>
              <w:ind w:right="57"/>
              <w:rPr>
                <w:rFonts w:cs="Arial"/>
                <w:sz w:val="20"/>
              </w:rPr>
            </w:pPr>
            <w:r w:rsidRPr="00361CA1">
              <w:rPr>
                <w:rFonts w:cs="Arial"/>
                <w:sz w:val="20"/>
              </w:rPr>
              <w:t>MWh/year</w:t>
            </w:r>
          </w:p>
        </w:tc>
      </w:tr>
      <w:tr w:rsidR="004334D2" w:rsidRPr="00131981" w14:paraId="650A8746" w14:textId="77777777" w:rsidTr="00073748">
        <w:tc>
          <w:tcPr>
            <w:tcW w:w="2405" w:type="dxa"/>
            <w:shd w:val="clear" w:color="auto" w:fill="E6E6E6"/>
          </w:tcPr>
          <w:p w14:paraId="1E5E326A"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1EC0C9CD" w14:textId="45DEABFB" w:rsidR="004334D2" w:rsidRPr="00131981" w:rsidRDefault="000D4DB3" w:rsidP="00E06D0C">
            <w:pPr>
              <w:spacing w:before="60" w:after="60"/>
              <w:ind w:right="57"/>
              <w:rPr>
                <w:rFonts w:cs="Arial"/>
                <w:sz w:val="20"/>
              </w:rPr>
            </w:pPr>
            <w:r>
              <w:rPr>
                <w:rFonts w:cs="Arial"/>
                <w:sz w:val="20"/>
              </w:rPr>
              <w:t>(1</w:t>
            </w:r>
            <w:r w:rsidR="00B0747A">
              <w:rPr>
                <w:rFonts w:cs="Arial"/>
                <w:sz w:val="20"/>
              </w:rPr>
              <w:t>5</w:t>
            </w:r>
            <w:r>
              <w:rPr>
                <w:rFonts w:cs="Arial"/>
                <w:sz w:val="20"/>
              </w:rPr>
              <w:t>)</w:t>
            </w:r>
            <w:r w:rsidR="00B0747A">
              <w:rPr>
                <w:rFonts w:cs="Arial"/>
                <w:sz w:val="20"/>
              </w:rPr>
              <w:t>, (</w:t>
            </w:r>
            <w:r w:rsidR="00B85456">
              <w:rPr>
                <w:rFonts w:cs="Arial"/>
                <w:sz w:val="20"/>
              </w:rPr>
              <w:t>16</w:t>
            </w:r>
            <w:r w:rsidR="00B0747A">
              <w:rPr>
                <w:rFonts w:cs="Arial"/>
                <w:sz w:val="20"/>
              </w:rPr>
              <w:t>)</w:t>
            </w:r>
            <w:r w:rsidR="00540343">
              <w:rPr>
                <w:rFonts w:cs="Arial"/>
                <w:sz w:val="20"/>
              </w:rPr>
              <w:t>, (17)</w:t>
            </w:r>
            <w:r w:rsidR="00BE5719">
              <w:rPr>
                <w:rFonts w:cs="Arial"/>
                <w:sz w:val="20"/>
              </w:rPr>
              <w:t>, (40)</w:t>
            </w:r>
          </w:p>
        </w:tc>
      </w:tr>
      <w:tr w:rsidR="004334D2" w:rsidRPr="00131981" w14:paraId="522CDC17" w14:textId="77777777" w:rsidTr="00073748">
        <w:tc>
          <w:tcPr>
            <w:tcW w:w="2405" w:type="dxa"/>
            <w:shd w:val="clear" w:color="auto" w:fill="E6E6E6"/>
          </w:tcPr>
          <w:p w14:paraId="5FF48569"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415" w:type="dxa"/>
            <w:gridSpan w:val="2"/>
          </w:tcPr>
          <w:p w14:paraId="42AEE616"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1"/>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Baseline emissions</w:t>
            </w:r>
          </w:p>
        </w:tc>
        <w:tc>
          <w:tcPr>
            <w:tcW w:w="2410" w:type="dxa"/>
          </w:tcPr>
          <w:p w14:paraId="4ABDA4C5" w14:textId="5CEDA4DC"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w:t>
            </w:r>
            <w:r w:rsidR="005704AC">
              <w:rPr>
                <w:rFonts w:cs="Arial"/>
                <w:sz w:val="20"/>
              </w:rPr>
              <w:t>Project emissions</w:t>
            </w:r>
          </w:p>
        </w:tc>
        <w:tc>
          <w:tcPr>
            <w:tcW w:w="2121" w:type="dxa"/>
          </w:tcPr>
          <w:p w14:paraId="6866FE0B"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Leakage emissions</w:t>
            </w:r>
          </w:p>
        </w:tc>
      </w:tr>
      <w:tr w:rsidR="004334D2" w:rsidRPr="00131981" w14:paraId="56875500" w14:textId="77777777" w:rsidTr="00073748">
        <w:tc>
          <w:tcPr>
            <w:tcW w:w="2405" w:type="dxa"/>
            <w:shd w:val="clear" w:color="auto" w:fill="E6E6E6"/>
          </w:tcPr>
          <w:p w14:paraId="1E042E02"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2165B96D" w14:textId="6A234FE0" w:rsidR="004334D2" w:rsidRPr="00071341" w:rsidRDefault="004334D2" w:rsidP="00E06D0C">
            <w:pPr>
              <w:pStyle w:val="ParaTickBox"/>
              <w:tabs>
                <w:tab w:val="clear" w:pos="510"/>
              </w:tabs>
              <w:ind w:left="-21" w:right="57" w:firstLine="0"/>
              <w:jc w:val="both"/>
              <w:rPr>
                <w:szCs w:val="20"/>
                <w:u w:val="single"/>
              </w:rPr>
            </w:pPr>
            <w:r>
              <w:t>Directly measured using electricity meters</w:t>
            </w:r>
          </w:p>
        </w:tc>
      </w:tr>
      <w:tr w:rsidR="004334D2" w:rsidRPr="00131981" w14:paraId="2E312805" w14:textId="77777777" w:rsidTr="00073748">
        <w:trPr>
          <w:trHeight w:val="107"/>
        </w:trPr>
        <w:tc>
          <w:tcPr>
            <w:tcW w:w="2405" w:type="dxa"/>
            <w:shd w:val="clear" w:color="auto" w:fill="E6E6E6"/>
          </w:tcPr>
          <w:p w14:paraId="20D4C901"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1E2FE356" w14:textId="77777777" w:rsidR="004334D2" w:rsidRPr="00131981" w:rsidRDefault="004334D2" w:rsidP="00E06D0C">
            <w:pPr>
              <w:spacing w:before="60" w:after="60"/>
              <w:ind w:right="57"/>
            </w:pPr>
            <w:r w:rsidRPr="00EA7940">
              <w:rPr>
                <w:rFonts w:cs="Arial"/>
                <w:sz w:val="20"/>
              </w:rPr>
              <w:t>Activity</w:t>
            </w:r>
            <w:r>
              <w:t xml:space="preserve"> participants</w:t>
            </w:r>
          </w:p>
        </w:tc>
      </w:tr>
      <w:tr w:rsidR="004334D2" w:rsidRPr="00131981" w14:paraId="7C6CD46E" w14:textId="77777777" w:rsidTr="00073748">
        <w:trPr>
          <w:trHeight w:val="107"/>
        </w:trPr>
        <w:tc>
          <w:tcPr>
            <w:tcW w:w="2405" w:type="dxa"/>
            <w:vMerge w:val="restart"/>
            <w:shd w:val="clear" w:color="auto" w:fill="E6E6E6"/>
          </w:tcPr>
          <w:p w14:paraId="2ED91020"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848" w:type="dxa"/>
          </w:tcPr>
          <w:p w14:paraId="584C59F7" w14:textId="77777777" w:rsidR="004334D2" w:rsidRPr="00131981" w:rsidRDefault="004334D2" w:rsidP="00E06D0C">
            <w:pPr>
              <w:spacing w:before="60" w:after="60"/>
              <w:ind w:left="142" w:right="57"/>
              <w:jc w:val="right"/>
              <w:rPr>
                <w:rFonts w:cs="Arial"/>
                <w:i/>
                <w:iCs/>
                <w:sz w:val="20"/>
              </w:rPr>
            </w:pPr>
            <w:r w:rsidRPr="00131981">
              <w:rPr>
                <w:rFonts w:cs="Arial"/>
                <w:i/>
                <w:iCs/>
                <w:sz w:val="20"/>
              </w:rPr>
              <w:t>Type of instrument</w:t>
            </w:r>
          </w:p>
        </w:tc>
        <w:tc>
          <w:tcPr>
            <w:tcW w:w="5098" w:type="dxa"/>
            <w:gridSpan w:val="3"/>
          </w:tcPr>
          <w:p w14:paraId="0424375E" w14:textId="77777777" w:rsidR="004334D2" w:rsidRPr="00131981" w:rsidRDefault="004334D2" w:rsidP="00E06D0C">
            <w:pPr>
              <w:spacing w:before="60" w:after="60"/>
              <w:ind w:right="57"/>
              <w:rPr>
                <w:rFonts w:cs="Arial"/>
                <w:sz w:val="20"/>
              </w:rPr>
            </w:pPr>
            <w:r>
              <w:rPr>
                <w:rFonts w:cs="Arial"/>
                <w:sz w:val="20"/>
              </w:rPr>
              <w:t>B</w:t>
            </w:r>
            <w:r w:rsidRPr="00A107F0">
              <w:rPr>
                <w:rFonts w:cs="Arial"/>
                <w:sz w:val="20"/>
              </w:rPr>
              <w:t>i-directional energy meter</w:t>
            </w:r>
          </w:p>
        </w:tc>
      </w:tr>
      <w:tr w:rsidR="004334D2" w:rsidRPr="00131981" w14:paraId="510F5C7B" w14:textId="77777777" w:rsidTr="00073748">
        <w:trPr>
          <w:trHeight w:val="104"/>
        </w:trPr>
        <w:tc>
          <w:tcPr>
            <w:tcW w:w="2405" w:type="dxa"/>
            <w:vMerge/>
          </w:tcPr>
          <w:p w14:paraId="761E8482" w14:textId="77777777" w:rsidR="004334D2" w:rsidRPr="00131981" w:rsidRDefault="004334D2" w:rsidP="00E06D0C">
            <w:pPr>
              <w:spacing w:before="60" w:after="60"/>
              <w:ind w:right="57"/>
              <w:rPr>
                <w:rFonts w:cs="Arial"/>
                <w:sz w:val="20"/>
              </w:rPr>
            </w:pPr>
          </w:p>
        </w:tc>
        <w:tc>
          <w:tcPr>
            <w:tcW w:w="1848" w:type="dxa"/>
          </w:tcPr>
          <w:p w14:paraId="0BCE5582" w14:textId="77777777" w:rsidR="004334D2" w:rsidRPr="00131981" w:rsidRDefault="004334D2" w:rsidP="00E06D0C">
            <w:pPr>
              <w:spacing w:before="60" w:after="60"/>
              <w:ind w:left="142" w:right="57"/>
              <w:jc w:val="right"/>
              <w:rPr>
                <w:rFonts w:cs="Arial"/>
                <w:i/>
                <w:iCs/>
                <w:sz w:val="20"/>
              </w:rPr>
            </w:pPr>
            <w:r w:rsidRPr="00131981">
              <w:rPr>
                <w:rFonts w:cs="Arial"/>
                <w:i/>
                <w:iCs/>
                <w:sz w:val="20"/>
              </w:rPr>
              <w:t>Accuracy class</w:t>
            </w:r>
          </w:p>
        </w:tc>
        <w:tc>
          <w:tcPr>
            <w:tcW w:w="5098" w:type="dxa"/>
            <w:gridSpan w:val="3"/>
          </w:tcPr>
          <w:p w14:paraId="05B30D75" w14:textId="77777777" w:rsidR="004334D2" w:rsidRDefault="004334D2" w:rsidP="00E06D0C">
            <w:pPr>
              <w:spacing w:before="60" w:after="60"/>
              <w:ind w:right="57"/>
              <w:rPr>
                <w:rFonts w:cs="Arial"/>
                <w:sz w:val="20"/>
              </w:rPr>
            </w:pPr>
            <w:r>
              <w:rPr>
                <w:rFonts w:cs="Arial"/>
                <w:sz w:val="20"/>
              </w:rPr>
              <w:t xml:space="preserve">Regulated electricity-meters: </w:t>
            </w:r>
            <w:r w:rsidRPr="0071521A">
              <w:rPr>
                <w:rFonts w:cs="Arial"/>
                <w:sz w:val="20"/>
              </w:rPr>
              <w:t>in accordance with the stipulation of the meter supplier and/or as per the requirements set by the grid operators or national requirements</w:t>
            </w:r>
          </w:p>
          <w:p w14:paraId="411801F1" w14:textId="77777777" w:rsidR="004334D2" w:rsidRPr="00131981" w:rsidRDefault="004334D2" w:rsidP="00E06D0C">
            <w:pPr>
              <w:spacing w:before="60" w:after="60"/>
              <w:ind w:right="57"/>
              <w:rPr>
                <w:rFonts w:cs="Arial"/>
                <w:sz w:val="20"/>
              </w:rPr>
            </w:pPr>
            <w:r>
              <w:rPr>
                <w:rFonts w:cs="Arial"/>
                <w:sz w:val="20"/>
              </w:rPr>
              <w:t xml:space="preserve">Non-regulated electricity-meters: </w:t>
            </w:r>
            <w:r w:rsidRPr="0071521A">
              <w:rPr>
                <w:rFonts w:cs="Arial"/>
                <w:sz w:val="20"/>
              </w:rPr>
              <w:t>in accordance with the stipulation of the meter supplier or national requirements</w:t>
            </w:r>
            <w:r>
              <w:rPr>
                <w:rFonts w:cs="Arial"/>
                <w:sz w:val="20"/>
              </w:rPr>
              <w:t xml:space="preserve"> (i</w:t>
            </w:r>
            <w:r w:rsidRPr="0071521A">
              <w:rPr>
                <w:rFonts w:cs="Arial"/>
                <w:sz w:val="20"/>
              </w:rPr>
              <w:t>f the standards are not available and meter supplier does not specify, calibrate the meters every 3 years and use the meters with at least 0.5 accuracy class</w:t>
            </w:r>
            <w:r>
              <w:rPr>
                <w:rFonts w:cs="Arial"/>
                <w:sz w:val="20"/>
              </w:rPr>
              <w:t>)</w:t>
            </w:r>
          </w:p>
        </w:tc>
      </w:tr>
      <w:tr w:rsidR="004334D2" w:rsidRPr="00131981" w14:paraId="75A2BF7A" w14:textId="77777777" w:rsidTr="00073748">
        <w:trPr>
          <w:trHeight w:val="104"/>
        </w:trPr>
        <w:tc>
          <w:tcPr>
            <w:tcW w:w="2405" w:type="dxa"/>
            <w:vMerge/>
          </w:tcPr>
          <w:p w14:paraId="555BC408" w14:textId="77777777" w:rsidR="004334D2" w:rsidRPr="00131981" w:rsidRDefault="004334D2" w:rsidP="00E06D0C">
            <w:pPr>
              <w:spacing w:before="60" w:after="60"/>
              <w:ind w:right="57"/>
              <w:rPr>
                <w:rFonts w:cs="Arial"/>
                <w:sz w:val="20"/>
              </w:rPr>
            </w:pPr>
          </w:p>
        </w:tc>
        <w:tc>
          <w:tcPr>
            <w:tcW w:w="1848" w:type="dxa"/>
          </w:tcPr>
          <w:p w14:paraId="3C7C4F95" w14:textId="77777777" w:rsidR="004334D2" w:rsidRPr="00131981" w:rsidRDefault="004334D2" w:rsidP="00E06D0C">
            <w:pPr>
              <w:spacing w:before="60" w:after="60"/>
              <w:ind w:left="142" w:right="57"/>
              <w:jc w:val="right"/>
              <w:rPr>
                <w:rFonts w:cs="Arial"/>
                <w:i/>
                <w:iCs/>
                <w:sz w:val="20"/>
              </w:rPr>
            </w:pPr>
            <w:r w:rsidRPr="00131981">
              <w:rPr>
                <w:rFonts w:cs="Arial"/>
                <w:i/>
                <w:iCs/>
                <w:sz w:val="20"/>
              </w:rPr>
              <w:t>Calibration requirements</w:t>
            </w:r>
          </w:p>
        </w:tc>
        <w:tc>
          <w:tcPr>
            <w:tcW w:w="5098" w:type="dxa"/>
            <w:gridSpan w:val="3"/>
          </w:tcPr>
          <w:p w14:paraId="0805D775" w14:textId="77777777" w:rsidR="004334D2" w:rsidRDefault="004334D2" w:rsidP="00E06D0C">
            <w:pPr>
              <w:spacing w:before="60" w:after="60"/>
              <w:ind w:right="57"/>
              <w:rPr>
                <w:rFonts w:cs="Arial"/>
                <w:sz w:val="20"/>
              </w:rPr>
            </w:pPr>
            <w:r>
              <w:rPr>
                <w:rFonts w:cs="Arial"/>
                <w:sz w:val="20"/>
              </w:rPr>
              <w:t xml:space="preserve">Regulated electricity-meters: </w:t>
            </w:r>
            <w:r w:rsidRPr="0071521A">
              <w:rPr>
                <w:rFonts w:cs="Arial"/>
                <w:sz w:val="20"/>
              </w:rPr>
              <w:t>in accordance with national standards or requirements set by the meter supplier or requirements set by the grid operators</w:t>
            </w:r>
          </w:p>
          <w:p w14:paraId="63274C30" w14:textId="77777777" w:rsidR="004334D2" w:rsidRPr="00EA7940" w:rsidRDefault="004334D2" w:rsidP="00E06D0C">
            <w:pPr>
              <w:spacing w:before="60" w:after="60"/>
              <w:ind w:right="57"/>
              <w:rPr>
                <w:rFonts w:cs="Arial"/>
                <w:sz w:val="20"/>
              </w:rPr>
            </w:pPr>
            <w:r>
              <w:rPr>
                <w:rFonts w:cs="Arial"/>
                <w:sz w:val="20"/>
              </w:rPr>
              <w:t xml:space="preserve">Non-regulated electricity-meters: </w:t>
            </w:r>
            <w:r w:rsidRPr="0071521A">
              <w:rPr>
                <w:rFonts w:cs="Arial"/>
                <w:sz w:val="20"/>
              </w:rPr>
              <w:t>in accordance with national standards or requirements set by the meter supplier</w:t>
            </w:r>
          </w:p>
        </w:tc>
      </w:tr>
      <w:tr w:rsidR="004334D2" w:rsidRPr="00131981" w14:paraId="3BA41A9C" w14:textId="77777777" w:rsidTr="00073748">
        <w:trPr>
          <w:trHeight w:val="104"/>
        </w:trPr>
        <w:tc>
          <w:tcPr>
            <w:tcW w:w="2405" w:type="dxa"/>
            <w:vMerge/>
          </w:tcPr>
          <w:p w14:paraId="7F9896B0" w14:textId="77777777" w:rsidR="004334D2" w:rsidRPr="00131981" w:rsidRDefault="004334D2" w:rsidP="00E06D0C">
            <w:pPr>
              <w:spacing w:before="60" w:after="60"/>
              <w:ind w:right="57"/>
              <w:rPr>
                <w:rFonts w:cs="Arial"/>
                <w:sz w:val="20"/>
              </w:rPr>
            </w:pPr>
          </w:p>
        </w:tc>
        <w:tc>
          <w:tcPr>
            <w:tcW w:w="1848" w:type="dxa"/>
          </w:tcPr>
          <w:p w14:paraId="1BD9E962" w14:textId="77777777" w:rsidR="004334D2" w:rsidRPr="00131981" w:rsidRDefault="004334D2" w:rsidP="00E06D0C">
            <w:pPr>
              <w:spacing w:before="60" w:after="60"/>
              <w:ind w:left="142" w:right="57"/>
              <w:jc w:val="right"/>
              <w:rPr>
                <w:rFonts w:cs="Arial"/>
                <w:i/>
                <w:iCs/>
                <w:sz w:val="20"/>
              </w:rPr>
            </w:pPr>
            <w:r w:rsidRPr="00131981">
              <w:rPr>
                <w:rFonts w:cs="Arial"/>
                <w:i/>
                <w:iCs/>
                <w:sz w:val="20"/>
              </w:rPr>
              <w:t>Location</w:t>
            </w:r>
          </w:p>
        </w:tc>
        <w:tc>
          <w:tcPr>
            <w:tcW w:w="5098" w:type="dxa"/>
            <w:gridSpan w:val="3"/>
          </w:tcPr>
          <w:p w14:paraId="11DB096E" w14:textId="77777777" w:rsidR="004334D2" w:rsidRDefault="004334D2" w:rsidP="00E06D0C">
            <w:pPr>
              <w:spacing w:before="60" w:after="60"/>
              <w:ind w:right="57"/>
              <w:rPr>
                <w:rFonts w:cs="Arial"/>
                <w:sz w:val="20"/>
              </w:rPr>
            </w:pPr>
            <w:r>
              <w:rPr>
                <w:rFonts w:cs="Arial"/>
                <w:sz w:val="20"/>
              </w:rPr>
              <w:t xml:space="preserve">For electricity supplied to the electric grid: installed at </w:t>
            </w:r>
            <w:r w:rsidRPr="00E64680">
              <w:rPr>
                <w:rFonts w:cs="Arial"/>
                <w:sz w:val="20"/>
              </w:rPr>
              <w:t>the grid interface.</w:t>
            </w:r>
          </w:p>
          <w:p w14:paraId="1B05769D" w14:textId="67BC3DC2" w:rsidR="004334D2" w:rsidRPr="00131981" w:rsidRDefault="004334D2" w:rsidP="00E06D0C">
            <w:pPr>
              <w:spacing w:before="60" w:after="60"/>
              <w:ind w:right="57"/>
              <w:rPr>
                <w:rFonts w:cs="Arial"/>
                <w:sz w:val="20"/>
              </w:rPr>
            </w:pPr>
            <w:r w:rsidRPr="00E64680">
              <w:rPr>
                <w:rFonts w:cs="Arial"/>
                <w:sz w:val="20"/>
              </w:rPr>
              <w:t xml:space="preserve">For </w:t>
            </w:r>
            <w:r>
              <w:rPr>
                <w:rFonts w:cs="Arial"/>
                <w:sz w:val="20"/>
              </w:rPr>
              <w:t xml:space="preserve">electricity </w:t>
            </w:r>
            <w:r w:rsidRPr="00E64680">
              <w:rPr>
                <w:rFonts w:cs="Arial"/>
                <w:sz w:val="20"/>
              </w:rPr>
              <w:t>suppl</w:t>
            </w:r>
            <w:r>
              <w:rPr>
                <w:rFonts w:cs="Arial"/>
                <w:sz w:val="20"/>
              </w:rPr>
              <w:t>ied</w:t>
            </w:r>
            <w:r w:rsidRPr="00E64680">
              <w:rPr>
                <w:rFonts w:cs="Arial"/>
                <w:sz w:val="20"/>
              </w:rPr>
              <w:t xml:space="preserve"> to captive consumers</w:t>
            </w:r>
            <w:r>
              <w:rPr>
                <w:rFonts w:cs="Arial"/>
                <w:sz w:val="20"/>
              </w:rPr>
              <w:t xml:space="preserve">: </w:t>
            </w:r>
            <w:r w:rsidRPr="00E64680">
              <w:rPr>
                <w:rFonts w:cs="Arial"/>
                <w:sz w:val="20"/>
              </w:rPr>
              <w:t>installed at the entrance of the electricity consuming facility</w:t>
            </w:r>
          </w:p>
        </w:tc>
      </w:tr>
      <w:tr w:rsidR="004334D2" w:rsidRPr="00131981" w14:paraId="67D9D3D6" w14:textId="77777777" w:rsidTr="00073748">
        <w:tc>
          <w:tcPr>
            <w:tcW w:w="2405" w:type="dxa"/>
            <w:shd w:val="clear" w:color="auto" w:fill="E6E6E6"/>
          </w:tcPr>
          <w:p w14:paraId="219DA7A5"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383517AB" w14:textId="77777777" w:rsidR="004334D2" w:rsidRPr="00890534" w:rsidRDefault="004334D2" w:rsidP="00E06D0C">
            <w:pPr>
              <w:spacing w:before="60" w:after="60"/>
              <w:ind w:right="57"/>
              <w:rPr>
                <w:rFonts w:cs="Arial"/>
                <w:sz w:val="20"/>
              </w:rPr>
            </w:pPr>
            <w:r w:rsidRPr="00E8419C">
              <w:rPr>
                <w:rFonts w:cs="Arial"/>
                <w:sz w:val="20"/>
              </w:rPr>
              <w:t>Continuous measurement and at least monthly recording</w:t>
            </w:r>
          </w:p>
        </w:tc>
      </w:tr>
      <w:tr w:rsidR="004334D2" w:rsidRPr="00131981" w14:paraId="542D8713" w14:textId="77777777" w:rsidTr="00073748">
        <w:tc>
          <w:tcPr>
            <w:tcW w:w="2405" w:type="dxa"/>
            <w:shd w:val="clear" w:color="auto" w:fill="E6E6E6"/>
          </w:tcPr>
          <w:p w14:paraId="2AA094FB"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6D802BA9" w14:textId="77777777" w:rsidR="004334D2" w:rsidRPr="00C50F47" w:rsidRDefault="004334D2" w:rsidP="00E06D0C">
            <w:pPr>
              <w:spacing w:before="60" w:after="60"/>
              <w:ind w:right="57"/>
              <w:rPr>
                <w:rFonts w:cs="Arial"/>
                <w:sz w:val="20"/>
              </w:rPr>
            </w:pPr>
            <w:r>
              <w:rPr>
                <w:rFonts w:cs="Arial"/>
                <w:sz w:val="20"/>
              </w:rPr>
              <w:t>E</w:t>
            </w:r>
            <w:r w:rsidRPr="00C50F47">
              <w:rPr>
                <w:rFonts w:cs="Arial"/>
                <w:sz w:val="20"/>
              </w:rPr>
              <w:t>lectricity meters will be subject to regular maintenance and testing in accordance with the stipulation of the meter supplier and/or as per the requirements set by the grid operators or national requirements.</w:t>
            </w:r>
          </w:p>
          <w:p w14:paraId="6917E15C" w14:textId="3B9A1F35" w:rsidR="004334D2" w:rsidRPr="002B6CB9" w:rsidRDefault="004334D2" w:rsidP="00E06D0C">
            <w:pPr>
              <w:spacing w:before="60" w:after="60"/>
              <w:ind w:right="57"/>
              <w:rPr>
                <w:rFonts w:cs="Arial"/>
                <w:sz w:val="20"/>
              </w:rPr>
            </w:pPr>
            <w:r w:rsidRPr="00C50F47">
              <w:rPr>
                <w:rFonts w:cs="Arial"/>
                <w:sz w:val="20"/>
              </w:rPr>
              <w:t>The electricity generation (gross or net) shall be cross-checked with records of electricity sale (e.g. sales receipt)</w:t>
            </w:r>
          </w:p>
        </w:tc>
      </w:tr>
      <w:tr w:rsidR="004334D2" w:rsidRPr="00131981" w14:paraId="15E7BE05" w14:textId="77777777" w:rsidTr="00073748">
        <w:tc>
          <w:tcPr>
            <w:tcW w:w="2405" w:type="dxa"/>
            <w:shd w:val="clear" w:color="auto" w:fill="E6E6E6"/>
          </w:tcPr>
          <w:p w14:paraId="71A3B905" w14:textId="77777777" w:rsidR="004334D2" w:rsidRPr="00131981" w:rsidRDefault="004334D2" w:rsidP="00E06D0C">
            <w:pPr>
              <w:spacing w:before="60" w:after="60"/>
              <w:ind w:right="57"/>
              <w:jc w:val="left"/>
              <w:rPr>
                <w:rFonts w:cs="Arial"/>
                <w:sz w:val="20"/>
              </w:rPr>
            </w:pPr>
            <w:r>
              <w:rPr>
                <w:rFonts w:cs="Arial"/>
                <w:sz w:val="20"/>
              </w:rPr>
              <w:t>Treatment of uncertainties</w:t>
            </w:r>
          </w:p>
        </w:tc>
        <w:tc>
          <w:tcPr>
            <w:tcW w:w="6946" w:type="dxa"/>
            <w:gridSpan w:val="4"/>
          </w:tcPr>
          <w:p w14:paraId="30FDDBD8" w14:textId="77777777" w:rsidR="004334D2" w:rsidRPr="00506FD8" w:rsidRDefault="004334D2" w:rsidP="00E06D0C">
            <w:pPr>
              <w:spacing w:before="60" w:after="60"/>
              <w:ind w:right="57"/>
              <w:rPr>
                <w:rFonts w:cs="Arial"/>
                <w:sz w:val="20"/>
              </w:rPr>
            </w:pPr>
            <w:r w:rsidRPr="00E24B77">
              <w:rPr>
                <w:rFonts w:cs="Arial"/>
                <w:sz w:val="20"/>
              </w:rPr>
              <w:t>Uncertainties are determined based on the measuring instruments</w:t>
            </w:r>
          </w:p>
        </w:tc>
      </w:tr>
      <w:tr w:rsidR="004334D2" w:rsidRPr="00131981" w14:paraId="388FFF13" w14:textId="77777777" w:rsidTr="00073748">
        <w:tc>
          <w:tcPr>
            <w:tcW w:w="2405" w:type="dxa"/>
            <w:shd w:val="clear" w:color="auto" w:fill="E6E6E6"/>
          </w:tcPr>
          <w:p w14:paraId="76718368"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7BCB1275" w14:textId="77777777" w:rsidR="004334D2" w:rsidRPr="00131981" w:rsidRDefault="004334D2" w:rsidP="00E06D0C">
            <w:pPr>
              <w:spacing w:before="60" w:after="60"/>
              <w:ind w:right="57"/>
              <w:rPr>
                <w:rFonts w:cs="Arial"/>
                <w:sz w:val="20"/>
              </w:rPr>
            </w:pPr>
            <w:r>
              <w:rPr>
                <w:rFonts w:cs="Arial"/>
                <w:sz w:val="20"/>
              </w:rPr>
              <w:t>-</w:t>
            </w:r>
          </w:p>
        </w:tc>
      </w:tr>
    </w:tbl>
    <w:p w14:paraId="07395D63" w14:textId="5E6AB026"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21</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848"/>
        <w:gridCol w:w="567"/>
        <w:gridCol w:w="2410"/>
        <w:gridCol w:w="2121"/>
      </w:tblGrid>
      <w:tr w:rsidR="004334D2" w:rsidRPr="00131981" w14:paraId="294A4CFF" w14:textId="77777777" w:rsidTr="00073748">
        <w:tc>
          <w:tcPr>
            <w:tcW w:w="2405" w:type="dxa"/>
            <w:shd w:val="clear" w:color="auto" w:fill="E6E6E6"/>
          </w:tcPr>
          <w:p w14:paraId="3EC05E81" w14:textId="77777777" w:rsidR="004334D2" w:rsidRPr="00131981" w:rsidRDefault="004334D2" w:rsidP="00744658">
            <w:pPr>
              <w:keepNext/>
              <w:spacing w:before="60" w:after="60"/>
              <w:ind w:right="57"/>
              <w:rPr>
                <w:rFonts w:cs="Arial"/>
                <w:b/>
                <w:bCs/>
                <w:sz w:val="20"/>
              </w:rPr>
            </w:pPr>
            <w:r w:rsidRPr="00131981">
              <w:rPr>
                <w:rFonts w:cs="Arial"/>
                <w:b/>
                <w:bCs/>
                <w:sz w:val="20"/>
              </w:rPr>
              <w:t>Data/parameter</w:t>
            </w:r>
          </w:p>
        </w:tc>
        <w:tc>
          <w:tcPr>
            <w:tcW w:w="6946" w:type="dxa"/>
            <w:gridSpan w:val="4"/>
          </w:tcPr>
          <w:p w14:paraId="74F655E6" w14:textId="77777777" w:rsidR="004334D2" w:rsidRPr="006B32D1" w:rsidRDefault="00302468" w:rsidP="00744658">
            <w:pPr>
              <w:keepNext/>
              <w:spacing w:before="60" w:after="60"/>
              <w:ind w:right="57"/>
              <w:rPr>
                <w:rFonts w:cs="Arial"/>
                <w:b/>
                <w:bCs/>
                <w:i/>
                <w:sz w:val="20"/>
              </w:rPr>
            </w:pPr>
            <m:oMath>
              <m:sSub>
                <m:sSubPr>
                  <m:ctrlPr>
                    <w:rPr>
                      <w:rFonts w:ascii="Cambria Math" w:hAnsi="Cambria Math"/>
                      <w:b/>
                      <w:bCs/>
                      <w:i/>
                    </w:rPr>
                  </m:ctrlPr>
                </m:sSubPr>
                <m:e>
                  <m:r>
                    <m:rPr>
                      <m:sty m:val="bi"/>
                    </m:rPr>
                    <w:rPr>
                      <w:rFonts w:ascii="Cambria Math" w:hAnsi="Cambria Math"/>
                    </w:rPr>
                    <m:t>EC</m:t>
                  </m:r>
                </m:e>
                <m:sub>
                  <m:r>
                    <m:rPr>
                      <m:sty m:val="bi"/>
                    </m:rPr>
                    <w:rPr>
                      <w:rFonts w:ascii="Cambria Math" w:hAnsi="Cambria Math"/>
                    </w:rPr>
                    <m:t>grid,y</m:t>
                  </m:r>
                </m:sub>
              </m:sSub>
            </m:oMath>
            <w:r w:rsidR="004334D2">
              <w:rPr>
                <w:rFonts w:cs="Arial"/>
                <w:b/>
                <w:bCs/>
                <w:i/>
              </w:rPr>
              <w:t xml:space="preserve"> ; </w:t>
            </w:r>
            <m:oMath>
              <m:sSub>
                <m:sSubPr>
                  <m:ctrlPr>
                    <w:rPr>
                      <w:rFonts w:ascii="Cambria Math" w:hAnsi="Cambria Math"/>
                      <w:b/>
                      <w:bCs/>
                      <w:i/>
                    </w:rPr>
                  </m:ctrlPr>
                </m:sSubPr>
                <m:e>
                  <m:r>
                    <m:rPr>
                      <m:sty m:val="bi"/>
                    </m:rPr>
                    <w:rPr>
                      <w:rFonts w:ascii="Cambria Math" w:hAnsi="Cambria Math"/>
                    </w:rPr>
                    <m:t>EC</m:t>
                  </m:r>
                </m:e>
                <m:sub>
                  <m:r>
                    <m:rPr>
                      <m:sty m:val="bi"/>
                    </m:rPr>
                    <w:rPr>
                      <w:rFonts w:ascii="Cambria Math" w:hAnsi="Cambria Math"/>
                    </w:rPr>
                    <m:t>captive,y</m:t>
                  </m:r>
                </m:sub>
              </m:sSub>
            </m:oMath>
          </w:p>
        </w:tc>
      </w:tr>
      <w:tr w:rsidR="004334D2" w:rsidRPr="0061068C" w14:paraId="5EF15E8D" w14:textId="77777777" w:rsidTr="00073748">
        <w:tc>
          <w:tcPr>
            <w:tcW w:w="2405" w:type="dxa"/>
            <w:shd w:val="clear" w:color="auto" w:fill="E6E6E6"/>
          </w:tcPr>
          <w:p w14:paraId="2278909B" w14:textId="77777777" w:rsidR="004334D2" w:rsidRPr="0061068C" w:rsidRDefault="004334D2" w:rsidP="00E06D0C">
            <w:pPr>
              <w:spacing w:before="60" w:after="60"/>
              <w:ind w:right="57"/>
              <w:rPr>
                <w:rFonts w:cs="Arial"/>
                <w:sz w:val="20"/>
              </w:rPr>
            </w:pPr>
            <w:r w:rsidRPr="0061068C">
              <w:rPr>
                <w:rFonts w:cs="Arial"/>
                <w:sz w:val="20"/>
              </w:rPr>
              <w:t>Description</w:t>
            </w:r>
          </w:p>
        </w:tc>
        <w:tc>
          <w:tcPr>
            <w:tcW w:w="6946" w:type="dxa"/>
            <w:gridSpan w:val="4"/>
          </w:tcPr>
          <w:p w14:paraId="0650461B" w14:textId="751BD867" w:rsidR="004334D2" w:rsidRDefault="00302468" w:rsidP="00E06D0C">
            <w:pPr>
              <w:spacing w:before="60" w:after="60"/>
              <w:ind w:right="57"/>
              <w:rPr>
                <w:rFonts w:cs="Arial"/>
                <w:sz w:val="20"/>
              </w:rPr>
            </w:pPr>
            <m:oMath>
              <m:sSub>
                <m:sSubPr>
                  <m:ctrlPr>
                    <w:rPr>
                      <w:rFonts w:ascii="Cambria Math" w:hAnsi="Cambria Math"/>
                      <w:b/>
                      <w:bCs/>
                      <w:i/>
                    </w:rPr>
                  </m:ctrlPr>
                </m:sSubPr>
                <m:e>
                  <m:r>
                    <m:rPr>
                      <m:sty m:val="bi"/>
                    </m:rPr>
                    <w:rPr>
                      <w:rFonts w:ascii="Cambria Math" w:hAnsi="Cambria Math"/>
                    </w:rPr>
                    <m:t>EC</m:t>
                  </m:r>
                </m:e>
                <m:sub>
                  <m:r>
                    <m:rPr>
                      <m:sty m:val="bi"/>
                    </m:rPr>
                    <w:rPr>
                      <w:rFonts w:ascii="Cambria Math" w:hAnsi="Cambria Math"/>
                    </w:rPr>
                    <m:t>grid,y</m:t>
                  </m:r>
                </m:sub>
              </m:sSub>
            </m:oMath>
            <w:r w:rsidR="004334D2">
              <w:rPr>
                <w:rFonts w:cs="Arial"/>
                <w:b/>
                <w:bCs/>
              </w:rPr>
              <w:t xml:space="preserve">: </w:t>
            </w:r>
            <w:r w:rsidR="004334D2" w:rsidRPr="00407F0B">
              <w:rPr>
                <w:rFonts w:cs="Arial"/>
                <w:sz w:val="20"/>
              </w:rPr>
              <w:t>Quantity of electricity consumed from the electric grid in year</w:t>
            </w:r>
            <w:r w:rsidR="00744658">
              <w:rPr>
                <w:rFonts w:cs="Arial"/>
                <w:sz w:val="20"/>
              </w:rPr>
              <w:t> </w:t>
            </w:r>
            <w:r w:rsidR="004334D2" w:rsidRPr="00407F0B">
              <w:rPr>
                <w:rFonts w:cs="Arial"/>
                <w:sz w:val="20"/>
              </w:rPr>
              <w:t>y</w:t>
            </w:r>
          </w:p>
          <w:p w14:paraId="509E2B56" w14:textId="5236FF53" w:rsidR="004334D2" w:rsidRPr="00B9350F" w:rsidRDefault="00302468" w:rsidP="00E06D0C">
            <w:pPr>
              <w:spacing w:before="60" w:after="60"/>
              <w:ind w:right="57"/>
              <w:rPr>
                <w:rFonts w:cs="Arial"/>
                <w:sz w:val="20"/>
              </w:rPr>
            </w:pPr>
            <m:oMath>
              <m:sSub>
                <m:sSubPr>
                  <m:ctrlPr>
                    <w:rPr>
                      <w:rFonts w:ascii="Cambria Math" w:hAnsi="Cambria Math"/>
                      <w:b/>
                      <w:bCs/>
                      <w:i/>
                    </w:rPr>
                  </m:ctrlPr>
                </m:sSubPr>
                <m:e>
                  <m:r>
                    <m:rPr>
                      <m:sty m:val="bi"/>
                    </m:rPr>
                    <w:rPr>
                      <w:rFonts w:ascii="Cambria Math" w:hAnsi="Cambria Math"/>
                    </w:rPr>
                    <m:t>EC</m:t>
                  </m:r>
                </m:e>
                <m:sub>
                  <m:r>
                    <m:rPr>
                      <m:sty m:val="bi"/>
                    </m:rPr>
                    <w:rPr>
                      <w:rFonts w:ascii="Cambria Math" w:hAnsi="Cambria Math"/>
                    </w:rPr>
                    <m:t>captive,y</m:t>
                  </m:r>
                </m:sub>
              </m:sSub>
            </m:oMath>
            <w:r w:rsidR="004334D2">
              <w:rPr>
                <w:rFonts w:cs="Arial"/>
                <w:b/>
                <w:bCs/>
              </w:rPr>
              <w:t xml:space="preserve">: </w:t>
            </w:r>
            <w:r w:rsidR="004334D2" w:rsidRPr="00407F0B">
              <w:rPr>
                <w:rFonts w:cs="Arial"/>
                <w:sz w:val="20"/>
              </w:rPr>
              <w:t>Quantity of electricity consumed from the captive fossil fuel fired power plant in year</w:t>
            </w:r>
            <w:r w:rsidR="00744658">
              <w:rPr>
                <w:rFonts w:cs="Arial"/>
                <w:sz w:val="20"/>
              </w:rPr>
              <w:t> </w:t>
            </w:r>
            <w:r w:rsidR="004334D2" w:rsidRPr="00407F0B">
              <w:rPr>
                <w:rFonts w:cs="Arial"/>
                <w:sz w:val="20"/>
              </w:rPr>
              <w:t>y</w:t>
            </w:r>
          </w:p>
        </w:tc>
      </w:tr>
      <w:tr w:rsidR="004334D2" w:rsidRPr="00131981" w14:paraId="0EF9C6DB" w14:textId="77777777" w:rsidTr="00073748">
        <w:tc>
          <w:tcPr>
            <w:tcW w:w="2405" w:type="dxa"/>
            <w:shd w:val="clear" w:color="auto" w:fill="E6E6E6"/>
          </w:tcPr>
          <w:p w14:paraId="6CC53F08"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661000C1" w14:textId="77777777" w:rsidR="004334D2" w:rsidRPr="00131981" w:rsidRDefault="004334D2" w:rsidP="00E06D0C">
            <w:pPr>
              <w:spacing w:before="60" w:after="60"/>
              <w:ind w:right="57"/>
              <w:rPr>
                <w:rFonts w:cs="Arial"/>
                <w:sz w:val="20"/>
              </w:rPr>
            </w:pPr>
            <w:r w:rsidRPr="00361CA1">
              <w:rPr>
                <w:rFonts w:cs="Arial"/>
                <w:sz w:val="20"/>
              </w:rPr>
              <w:t>MWh/year</w:t>
            </w:r>
          </w:p>
        </w:tc>
      </w:tr>
      <w:tr w:rsidR="004334D2" w:rsidRPr="00131981" w14:paraId="03647BCE" w14:textId="77777777" w:rsidTr="00073748">
        <w:tc>
          <w:tcPr>
            <w:tcW w:w="2405" w:type="dxa"/>
            <w:shd w:val="clear" w:color="auto" w:fill="E6E6E6"/>
          </w:tcPr>
          <w:p w14:paraId="1F4E71C3"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1F6F1424" w14:textId="13CB4CAC" w:rsidR="004334D2" w:rsidRPr="00131981" w:rsidRDefault="005C4825" w:rsidP="00E06D0C">
            <w:pPr>
              <w:spacing w:before="60" w:after="60"/>
              <w:ind w:right="57"/>
              <w:rPr>
                <w:rFonts w:cs="Arial"/>
                <w:sz w:val="20"/>
              </w:rPr>
            </w:pPr>
            <w:r>
              <w:rPr>
                <w:rFonts w:cs="Arial"/>
                <w:sz w:val="20"/>
              </w:rPr>
              <w:t>(4</w:t>
            </w:r>
            <w:r w:rsidR="009D0653">
              <w:rPr>
                <w:rFonts w:cs="Arial"/>
                <w:sz w:val="20"/>
              </w:rPr>
              <w:t>6</w:t>
            </w:r>
            <w:r>
              <w:rPr>
                <w:rFonts w:cs="Arial"/>
                <w:sz w:val="20"/>
              </w:rPr>
              <w:t>)</w:t>
            </w:r>
          </w:p>
        </w:tc>
      </w:tr>
      <w:tr w:rsidR="004334D2" w:rsidRPr="00131981" w14:paraId="1A54E874" w14:textId="77777777" w:rsidTr="00073748">
        <w:tc>
          <w:tcPr>
            <w:tcW w:w="2405" w:type="dxa"/>
            <w:shd w:val="clear" w:color="auto" w:fill="E6E6E6"/>
          </w:tcPr>
          <w:p w14:paraId="40EE2F54"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415" w:type="dxa"/>
            <w:gridSpan w:val="2"/>
          </w:tcPr>
          <w:p w14:paraId="0C9A8AC7" w14:textId="77777777" w:rsidR="004334D2" w:rsidRPr="00131981" w:rsidRDefault="004334D2" w:rsidP="00E06D0C">
            <w:pPr>
              <w:tabs>
                <w:tab w:val="left" w:pos="121"/>
              </w:tabs>
              <w:spacing w:before="60" w:after="60"/>
              <w:ind w:right="159"/>
              <w:rPr>
                <w:rFonts w:cs="Arial"/>
                <w:sz w:val="20"/>
              </w:rPr>
            </w:pPr>
            <w:r>
              <w:rPr>
                <w:rFonts w:cs="Arial"/>
                <w:sz w:val="20"/>
              </w:rPr>
              <w:fldChar w:fldCharType="begin">
                <w:ffData>
                  <w:name w:val="Check2"/>
                  <w:enabled/>
                  <w:calcOnExit w:val="0"/>
                  <w:checkBox>
                    <w:size w:val="20"/>
                    <w:default w:val="0"/>
                  </w:checkBox>
                </w:ffData>
              </w:fldChar>
            </w:r>
            <w:bookmarkStart w:id="430" w:name="Check2"/>
            <w:r>
              <w:rPr>
                <w:rFonts w:cs="Arial"/>
                <w:sz w:val="20"/>
              </w:rPr>
              <w:instrText xml:space="preserve"> FORMCHECKBOX </w:instrText>
            </w:r>
            <w:r w:rsidR="00302468">
              <w:rPr>
                <w:rFonts w:cs="Arial"/>
                <w:sz w:val="20"/>
              </w:rPr>
            </w:r>
            <w:r w:rsidR="00302468">
              <w:rPr>
                <w:rFonts w:cs="Arial"/>
                <w:sz w:val="20"/>
              </w:rPr>
              <w:fldChar w:fldCharType="separate"/>
            </w:r>
            <w:r>
              <w:rPr>
                <w:rFonts w:cs="Arial"/>
                <w:sz w:val="20"/>
              </w:rPr>
              <w:fldChar w:fldCharType="end"/>
            </w:r>
            <w:bookmarkEnd w:id="430"/>
            <w:r w:rsidRPr="00E564B0">
              <w:rPr>
                <w:rFonts w:cs="Arial"/>
                <w:sz w:val="20"/>
              </w:rPr>
              <w:t xml:space="preserve"> Baseline emissions</w:t>
            </w:r>
          </w:p>
        </w:tc>
        <w:tc>
          <w:tcPr>
            <w:tcW w:w="2410" w:type="dxa"/>
          </w:tcPr>
          <w:p w14:paraId="1FCA9EEE" w14:textId="23DA7F2A" w:rsidR="004334D2" w:rsidRPr="00131981" w:rsidRDefault="004334D2" w:rsidP="00E06D0C">
            <w:pPr>
              <w:tabs>
                <w:tab w:val="left" w:pos="121"/>
              </w:tabs>
              <w:spacing w:before="60" w:after="60"/>
              <w:ind w:right="159"/>
              <w:rPr>
                <w:rFonts w:cs="Arial"/>
                <w:sz w:val="20"/>
              </w:rPr>
            </w:pPr>
            <w:r>
              <w:rPr>
                <w:rFonts w:cs="Arial"/>
                <w:sz w:val="20"/>
              </w:rPr>
              <w:fldChar w:fldCharType="begin">
                <w:ffData>
                  <w:name w:val=""/>
                  <w:enabled/>
                  <w:calcOnExit w:val="0"/>
                  <w:checkBox>
                    <w:size w:val="20"/>
                    <w:default w:val="1"/>
                  </w:checkBox>
                </w:ffData>
              </w:fldChar>
            </w:r>
            <w:r>
              <w:rPr>
                <w:rFonts w:cs="Arial"/>
                <w:sz w:val="20"/>
              </w:rPr>
              <w:instrText xml:space="preserve"> FORMCHECKBOX </w:instrText>
            </w:r>
            <w:r w:rsidR="00302468">
              <w:rPr>
                <w:rFonts w:cs="Arial"/>
                <w:sz w:val="20"/>
              </w:rPr>
            </w:r>
            <w:r w:rsidR="00302468">
              <w:rPr>
                <w:rFonts w:cs="Arial"/>
                <w:sz w:val="20"/>
              </w:rPr>
              <w:fldChar w:fldCharType="separate"/>
            </w:r>
            <w:r>
              <w:rPr>
                <w:rFonts w:cs="Arial"/>
                <w:sz w:val="20"/>
              </w:rPr>
              <w:fldChar w:fldCharType="end"/>
            </w:r>
            <w:r w:rsidRPr="00E564B0">
              <w:rPr>
                <w:rFonts w:cs="Arial"/>
                <w:sz w:val="20"/>
              </w:rPr>
              <w:t xml:space="preserve"> </w:t>
            </w:r>
            <w:r w:rsidR="005704AC">
              <w:rPr>
                <w:rFonts w:cs="Arial"/>
                <w:sz w:val="20"/>
              </w:rPr>
              <w:t>Project emissions</w:t>
            </w:r>
          </w:p>
        </w:tc>
        <w:tc>
          <w:tcPr>
            <w:tcW w:w="2121" w:type="dxa"/>
          </w:tcPr>
          <w:p w14:paraId="3B3FD180"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Leakage emissions</w:t>
            </w:r>
          </w:p>
        </w:tc>
      </w:tr>
      <w:tr w:rsidR="004334D2" w:rsidRPr="00131981" w14:paraId="4CF11B6C" w14:textId="77777777" w:rsidTr="00073748">
        <w:tc>
          <w:tcPr>
            <w:tcW w:w="2405" w:type="dxa"/>
            <w:shd w:val="clear" w:color="auto" w:fill="E6E6E6"/>
          </w:tcPr>
          <w:p w14:paraId="46667285"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634443FD" w14:textId="22EDEF2B" w:rsidR="004334D2" w:rsidRPr="00071341" w:rsidRDefault="004334D2" w:rsidP="00E06D0C">
            <w:pPr>
              <w:pStyle w:val="ParaTickBox"/>
              <w:tabs>
                <w:tab w:val="clear" w:pos="510"/>
              </w:tabs>
              <w:ind w:left="-21" w:right="57" w:firstLine="0"/>
              <w:jc w:val="both"/>
              <w:rPr>
                <w:szCs w:val="20"/>
                <w:u w:val="single"/>
              </w:rPr>
            </w:pPr>
            <w:r>
              <w:t>Directly measured using electricity meters</w:t>
            </w:r>
          </w:p>
        </w:tc>
      </w:tr>
      <w:tr w:rsidR="004334D2" w:rsidRPr="00131981" w14:paraId="5DB7932C" w14:textId="77777777" w:rsidTr="00073748">
        <w:trPr>
          <w:trHeight w:val="107"/>
        </w:trPr>
        <w:tc>
          <w:tcPr>
            <w:tcW w:w="2405" w:type="dxa"/>
            <w:shd w:val="clear" w:color="auto" w:fill="E6E6E6"/>
          </w:tcPr>
          <w:p w14:paraId="58B5E842"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559C06A4" w14:textId="77777777" w:rsidR="004334D2" w:rsidRPr="00131981" w:rsidRDefault="004334D2" w:rsidP="00E06D0C">
            <w:pPr>
              <w:spacing w:before="60" w:after="60"/>
              <w:ind w:right="57"/>
            </w:pPr>
            <w:r w:rsidRPr="00EA7940">
              <w:rPr>
                <w:rFonts w:cs="Arial"/>
                <w:sz w:val="20"/>
              </w:rPr>
              <w:t>Activity</w:t>
            </w:r>
            <w:r>
              <w:t xml:space="preserve"> participants</w:t>
            </w:r>
          </w:p>
        </w:tc>
      </w:tr>
      <w:tr w:rsidR="004334D2" w:rsidRPr="00131981" w14:paraId="5485B376" w14:textId="77777777" w:rsidTr="00073748">
        <w:trPr>
          <w:trHeight w:val="107"/>
        </w:trPr>
        <w:tc>
          <w:tcPr>
            <w:tcW w:w="2405" w:type="dxa"/>
            <w:vMerge w:val="restart"/>
            <w:shd w:val="clear" w:color="auto" w:fill="E6E6E6"/>
          </w:tcPr>
          <w:p w14:paraId="6695F7C4"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848" w:type="dxa"/>
          </w:tcPr>
          <w:p w14:paraId="224F12EA" w14:textId="77777777" w:rsidR="004334D2" w:rsidRPr="00131981" w:rsidRDefault="004334D2" w:rsidP="00744658">
            <w:pPr>
              <w:spacing w:before="60" w:after="60"/>
              <w:ind w:left="142" w:right="57"/>
              <w:jc w:val="left"/>
              <w:rPr>
                <w:rFonts w:cs="Arial"/>
                <w:i/>
                <w:iCs/>
                <w:sz w:val="20"/>
              </w:rPr>
            </w:pPr>
            <w:r w:rsidRPr="00131981">
              <w:rPr>
                <w:rFonts w:cs="Arial"/>
                <w:i/>
                <w:iCs/>
                <w:sz w:val="20"/>
              </w:rPr>
              <w:t>Type of instrument</w:t>
            </w:r>
          </w:p>
        </w:tc>
        <w:tc>
          <w:tcPr>
            <w:tcW w:w="5098" w:type="dxa"/>
            <w:gridSpan w:val="3"/>
          </w:tcPr>
          <w:p w14:paraId="4E956663" w14:textId="77777777" w:rsidR="004334D2" w:rsidRPr="00131981" w:rsidRDefault="004334D2" w:rsidP="00744658">
            <w:pPr>
              <w:spacing w:before="60" w:after="60"/>
              <w:ind w:right="57"/>
              <w:jc w:val="left"/>
              <w:rPr>
                <w:rFonts w:cs="Arial"/>
                <w:sz w:val="20"/>
              </w:rPr>
            </w:pPr>
            <w:r>
              <w:rPr>
                <w:rFonts w:cs="Arial"/>
                <w:sz w:val="20"/>
              </w:rPr>
              <w:t>Electricity-meters</w:t>
            </w:r>
          </w:p>
        </w:tc>
      </w:tr>
      <w:tr w:rsidR="004334D2" w:rsidRPr="00131981" w14:paraId="1D73E3A1" w14:textId="77777777" w:rsidTr="00073748">
        <w:trPr>
          <w:trHeight w:val="104"/>
        </w:trPr>
        <w:tc>
          <w:tcPr>
            <w:tcW w:w="2405" w:type="dxa"/>
            <w:vMerge/>
          </w:tcPr>
          <w:p w14:paraId="2842AB5B" w14:textId="77777777" w:rsidR="004334D2" w:rsidRPr="00131981" w:rsidRDefault="004334D2" w:rsidP="00E06D0C">
            <w:pPr>
              <w:spacing w:before="60" w:after="60"/>
              <w:ind w:right="57"/>
              <w:rPr>
                <w:rFonts w:cs="Arial"/>
                <w:sz w:val="20"/>
              </w:rPr>
            </w:pPr>
          </w:p>
        </w:tc>
        <w:tc>
          <w:tcPr>
            <w:tcW w:w="1848" w:type="dxa"/>
          </w:tcPr>
          <w:p w14:paraId="20B494B5" w14:textId="77777777" w:rsidR="004334D2" w:rsidRPr="00131981" w:rsidRDefault="004334D2" w:rsidP="00D32B8D">
            <w:pPr>
              <w:spacing w:before="60" w:after="60"/>
              <w:ind w:left="142" w:right="57"/>
              <w:jc w:val="right"/>
              <w:rPr>
                <w:rFonts w:cs="Arial"/>
                <w:i/>
                <w:iCs/>
                <w:sz w:val="20"/>
              </w:rPr>
            </w:pPr>
            <w:r w:rsidRPr="00131981">
              <w:rPr>
                <w:rFonts w:cs="Arial"/>
                <w:i/>
                <w:iCs/>
                <w:sz w:val="20"/>
              </w:rPr>
              <w:t>Accuracy class</w:t>
            </w:r>
          </w:p>
        </w:tc>
        <w:tc>
          <w:tcPr>
            <w:tcW w:w="5098" w:type="dxa"/>
            <w:gridSpan w:val="3"/>
          </w:tcPr>
          <w:p w14:paraId="4AB9A4A4" w14:textId="77777777" w:rsidR="004334D2" w:rsidRDefault="004334D2" w:rsidP="00744658">
            <w:pPr>
              <w:spacing w:before="60" w:after="60"/>
              <w:ind w:right="57"/>
              <w:jc w:val="left"/>
              <w:rPr>
                <w:rFonts w:cs="Arial"/>
                <w:sz w:val="20"/>
              </w:rPr>
            </w:pPr>
            <w:r>
              <w:rPr>
                <w:rFonts w:cs="Arial"/>
                <w:sz w:val="20"/>
              </w:rPr>
              <w:t xml:space="preserve">Regulated electricity-meters: </w:t>
            </w:r>
            <w:r w:rsidRPr="0071521A">
              <w:rPr>
                <w:rFonts w:cs="Arial"/>
                <w:sz w:val="20"/>
              </w:rPr>
              <w:t>in accordance with the stipulation of the meter supplier and/or as per the requirements set by the grid operators or national requirements</w:t>
            </w:r>
          </w:p>
          <w:p w14:paraId="4EEE0CF5" w14:textId="77777777" w:rsidR="004334D2" w:rsidRPr="00131981" w:rsidRDefault="004334D2" w:rsidP="00744658">
            <w:pPr>
              <w:spacing w:before="60" w:after="60"/>
              <w:ind w:right="57"/>
              <w:jc w:val="left"/>
              <w:rPr>
                <w:rFonts w:cs="Arial"/>
                <w:sz w:val="20"/>
              </w:rPr>
            </w:pPr>
            <w:r>
              <w:rPr>
                <w:rFonts w:cs="Arial"/>
                <w:sz w:val="20"/>
              </w:rPr>
              <w:t xml:space="preserve">Non-regulated electricity-meters: </w:t>
            </w:r>
            <w:r w:rsidRPr="0071521A">
              <w:rPr>
                <w:rFonts w:cs="Arial"/>
                <w:sz w:val="20"/>
              </w:rPr>
              <w:t>in accordance with the stipulation of the meter supplier or national requirements</w:t>
            </w:r>
            <w:r>
              <w:rPr>
                <w:rFonts w:cs="Arial"/>
                <w:sz w:val="20"/>
              </w:rPr>
              <w:t xml:space="preserve"> (i</w:t>
            </w:r>
            <w:r w:rsidRPr="0071521A">
              <w:rPr>
                <w:rFonts w:cs="Arial"/>
                <w:sz w:val="20"/>
              </w:rPr>
              <w:t>f the standards are not available and meter supplier does not specify, calibrate the meters every 3 years and use the meters with at least 0.5 accuracy class</w:t>
            </w:r>
            <w:r>
              <w:rPr>
                <w:rFonts w:cs="Arial"/>
                <w:sz w:val="20"/>
              </w:rPr>
              <w:t>)</w:t>
            </w:r>
          </w:p>
        </w:tc>
      </w:tr>
      <w:tr w:rsidR="004334D2" w:rsidRPr="00131981" w14:paraId="50BD2BC7" w14:textId="77777777" w:rsidTr="00073748">
        <w:trPr>
          <w:trHeight w:val="104"/>
        </w:trPr>
        <w:tc>
          <w:tcPr>
            <w:tcW w:w="2405" w:type="dxa"/>
            <w:vMerge/>
          </w:tcPr>
          <w:p w14:paraId="01F05C0D" w14:textId="77777777" w:rsidR="004334D2" w:rsidRPr="00131981" w:rsidRDefault="004334D2" w:rsidP="00E06D0C">
            <w:pPr>
              <w:spacing w:before="60" w:after="60"/>
              <w:ind w:right="57"/>
              <w:rPr>
                <w:rFonts w:cs="Arial"/>
                <w:sz w:val="20"/>
              </w:rPr>
            </w:pPr>
          </w:p>
        </w:tc>
        <w:tc>
          <w:tcPr>
            <w:tcW w:w="1848" w:type="dxa"/>
          </w:tcPr>
          <w:p w14:paraId="7D0819EA" w14:textId="77777777" w:rsidR="004334D2" w:rsidRPr="00131981" w:rsidRDefault="004334D2" w:rsidP="00D32B8D">
            <w:pPr>
              <w:spacing w:before="60" w:after="60"/>
              <w:ind w:left="142" w:right="57"/>
              <w:jc w:val="right"/>
              <w:rPr>
                <w:rFonts w:cs="Arial"/>
                <w:i/>
                <w:iCs/>
                <w:sz w:val="20"/>
              </w:rPr>
            </w:pPr>
            <w:r w:rsidRPr="00131981">
              <w:rPr>
                <w:rFonts w:cs="Arial"/>
                <w:i/>
                <w:iCs/>
                <w:sz w:val="20"/>
              </w:rPr>
              <w:t>Calibration requirements</w:t>
            </w:r>
          </w:p>
        </w:tc>
        <w:tc>
          <w:tcPr>
            <w:tcW w:w="5098" w:type="dxa"/>
            <w:gridSpan w:val="3"/>
          </w:tcPr>
          <w:p w14:paraId="3AD712E2" w14:textId="77777777" w:rsidR="004334D2" w:rsidRDefault="004334D2" w:rsidP="00744658">
            <w:pPr>
              <w:spacing w:before="60" w:after="60"/>
              <w:ind w:right="57"/>
              <w:jc w:val="left"/>
              <w:rPr>
                <w:rFonts w:cs="Arial"/>
                <w:sz w:val="20"/>
              </w:rPr>
            </w:pPr>
            <w:r>
              <w:rPr>
                <w:rFonts w:cs="Arial"/>
                <w:sz w:val="20"/>
              </w:rPr>
              <w:t xml:space="preserve">Regulated electricity-meters: </w:t>
            </w:r>
            <w:r w:rsidRPr="0071521A">
              <w:rPr>
                <w:rFonts w:cs="Arial"/>
                <w:sz w:val="20"/>
              </w:rPr>
              <w:t>in accordance with national standards or requirements set by the meter supplier or requirements set by the grid operators</w:t>
            </w:r>
          </w:p>
          <w:p w14:paraId="67FC2FA8" w14:textId="77777777" w:rsidR="004334D2" w:rsidRPr="00EA7940" w:rsidRDefault="004334D2" w:rsidP="00744658">
            <w:pPr>
              <w:spacing w:before="60" w:after="60"/>
              <w:ind w:right="57"/>
              <w:jc w:val="left"/>
              <w:rPr>
                <w:rFonts w:cs="Arial"/>
                <w:sz w:val="20"/>
              </w:rPr>
            </w:pPr>
            <w:r>
              <w:rPr>
                <w:rFonts w:cs="Arial"/>
                <w:sz w:val="20"/>
              </w:rPr>
              <w:t xml:space="preserve">Non-regulated electricity-meters: </w:t>
            </w:r>
            <w:r w:rsidRPr="0071521A">
              <w:rPr>
                <w:rFonts w:cs="Arial"/>
                <w:sz w:val="20"/>
              </w:rPr>
              <w:t>in accordance with national standards or requirements set by the meter supplier</w:t>
            </w:r>
          </w:p>
        </w:tc>
      </w:tr>
      <w:tr w:rsidR="004334D2" w:rsidRPr="00131981" w14:paraId="63A83805" w14:textId="77777777" w:rsidTr="00073748">
        <w:trPr>
          <w:trHeight w:val="104"/>
        </w:trPr>
        <w:tc>
          <w:tcPr>
            <w:tcW w:w="2405" w:type="dxa"/>
            <w:vMerge/>
          </w:tcPr>
          <w:p w14:paraId="044552C7" w14:textId="77777777" w:rsidR="004334D2" w:rsidRPr="00131981" w:rsidRDefault="004334D2" w:rsidP="00E06D0C">
            <w:pPr>
              <w:spacing w:before="60" w:after="60"/>
              <w:ind w:right="57"/>
              <w:rPr>
                <w:rFonts w:cs="Arial"/>
                <w:sz w:val="20"/>
              </w:rPr>
            </w:pPr>
          </w:p>
        </w:tc>
        <w:tc>
          <w:tcPr>
            <w:tcW w:w="1848" w:type="dxa"/>
          </w:tcPr>
          <w:p w14:paraId="72855BD4" w14:textId="77777777" w:rsidR="004334D2" w:rsidRPr="00131981" w:rsidRDefault="004334D2" w:rsidP="00D32B8D">
            <w:pPr>
              <w:spacing w:before="60" w:after="60"/>
              <w:ind w:left="142" w:right="57"/>
              <w:jc w:val="right"/>
              <w:rPr>
                <w:rFonts w:cs="Arial"/>
                <w:i/>
                <w:iCs/>
                <w:sz w:val="20"/>
              </w:rPr>
            </w:pPr>
            <w:r w:rsidRPr="00131981">
              <w:rPr>
                <w:rFonts w:cs="Arial"/>
                <w:i/>
                <w:iCs/>
                <w:sz w:val="20"/>
              </w:rPr>
              <w:t>Location</w:t>
            </w:r>
          </w:p>
        </w:tc>
        <w:tc>
          <w:tcPr>
            <w:tcW w:w="5098" w:type="dxa"/>
            <w:gridSpan w:val="3"/>
          </w:tcPr>
          <w:p w14:paraId="0120D56C" w14:textId="77777777" w:rsidR="004334D2" w:rsidRPr="00131981" w:rsidRDefault="004334D2" w:rsidP="00744658">
            <w:pPr>
              <w:spacing w:before="60" w:after="60"/>
              <w:ind w:right="57"/>
              <w:jc w:val="left"/>
              <w:rPr>
                <w:rFonts w:cs="Arial"/>
                <w:sz w:val="20"/>
              </w:rPr>
            </w:pPr>
            <w:r>
              <w:rPr>
                <w:rFonts w:cs="Arial"/>
                <w:sz w:val="20"/>
              </w:rPr>
              <w:t>Installed at the electricity consumption sources</w:t>
            </w:r>
          </w:p>
        </w:tc>
      </w:tr>
      <w:tr w:rsidR="004334D2" w:rsidRPr="00131981" w14:paraId="1395AABD" w14:textId="77777777" w:rsidTr="00073748">
        <w:tc>
          <w:tcPr>
            <w:tcW w:w="2405" w:type="dxa"/>
            <w:shd w:val="clear" w:color="auto" w:fill="E6E6E6"/>
          </w:tcPr>
          <w:p w14:paraId="477A02F7"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2ED0994B" w14:textId="77777777" w:rsidR="004334D2" w:rsidRPr="00890534" w:rsidRDefault="004334D2" w:rsidP="00E06D0C">
            <w:pPr>
              <w:spacing w:before="60" w:after="60"/>
              <w:ind w:right="57"/>
              <w:rPr>
                <w:rFonts w:cs="Arial"/>
                <w:sz w:val="20"/>
              </w:rPr>
            </w:pPr>
            <w:r w:rsidRPr="00E8419C">
              <w:rPr>
                <w:rFonts w:cs="Arial"/>
                <w:sz w:val="20"/>
              </w:rPr>
              <w:t>Continuous measurement and at least monthly recording</w:t>
            </w:r>
          </w:p>
        </w:tc>
      </w:tr>
      <w:tr w:rsidR="004334D2" w:rsidRPr="00131981" w14:paraId="494F2474" w14:textId="77777777" w:rsidTr="00073748">
        <w:tc>
          <w:tcPr>
            <w:tcW w:w="2405" w:type="dxa"/>
            <w:shd w:val="clear" w:color="auto" w:fill="E6E6E6"/>
          </w:tcPr>
          <w:p w14:paraId="6FC3DBFD"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47DB761D" w14:textId="1CFCFA33" w:rsidR="004334D2" w:rsidRPr="002B6CB9" w:rsidRDefault="004334D2" w:rsidP="00E06D0C">
            <w:pPr>
              <w:spacing w:before="60" w:after="60"/>
              <w:ind w:right="57"/>
              <w:rPr>
                <w:rFonts w:cs="Arial"/>
                <w:sz w:val="20"/>
              </w:rPr>
            </w:pPr>
            <w:r>
              <w:rPr>
                <w:rFonts w:cs="Arial"/>
                <w:sz w:val="20"/>
              </w:rPr>
              <w:t>E</w:t>
            </w:r>
            <w:r w:rsidRPr="0071521A">
              <w:rPr>
                <w:rFonts w:cs="Arial"/>
                <w:sz w:val="20"/>
              </w:rPr>
              <w:t>lectricity meters will be subject to regular maintenance and testing in accordance with the stipulation of the meter supplier and/or as per the requirements set by the grid operators or national requirements</w:t>
            </w:r>
          </w:p>
        </w:tc>
      </w:tr>
      <w:tr w:rsidR="004334D2" w:rsidRPr="00131981" w14:paraId="7C8783E3" w14:textId="77777777" w:rsidTr="00073748">
        <w:tc>
          <w:tcPr>
            <w:tcW w:w="2405" w:type="dxa"/>
            <w:shd w:val="clear" w:color="auto" w:fill="E6E6E6"/>
          </w:tcPr>
          <w:p w14:paraId="7C3661E2" w14:textId="77777777" w:rsidR="004334D2" w:rsidRPr="00131981" w:rsidRDefault="004334D2" w:rsidP="00E06D0C">
            <w:pPr>
              <w:spacing w:before="60" w:after="60"/>
              <w:ind w:right="57"/>
              <w:jc w:val="left"/>
              <w:rPr>
                <w:rFonts w:cs="Arial"/>
                <w:sz w:val="20"/>
              </w:rPr>
            </w:pPr>
            <w:r>
              <w:rPr>
                <w:rFonts w:cs="Arial"/>
                <w:sz w:val="20"/>
              </w:rPr>
              <w:t>Treatment of uncertainties</w:t>
            </w:r>
          </w:p>
        </w:tc>
        <w:tc>
          <w:tcPr>
            <w:tcW w:w="6946" w:type="dxa"/>
            <w:gridSpan w:val="4"/>
          </w:tcPr>
          <w:p w14:paraId="4D5622F2" w14:textId="77777777" w:rsidR="004334D2" w:rsidRPr="00506FD8" w:rsidRDefault="004334D2" w:rsidP="00E06D0C">
            <w:pPr>
              <w:spacing w:before="60" w:after="60"/>
              <w:ind w:right="57"/>
              <w:rPr>
                <w:rFonts w:cs="Arial"/>
                <w:sz w:val="20"/>
              </w:rPr>
            </w:pPr>
            <w:r w:rsidRPr="00E24B77">
              <w:rPr>
                <w:rFonts w:cs="Arial"/>
                <w:sz w:val="20"/>
              </w:rPr>
              <w:t>Uncertainties are determined based on the measuring instruments</w:t>
            </w:r>
          </w:p>
        </w:tc>
      </w:tr>
      <w:tr w:rsidR="004334D2" w:rsidRPr="00131981" w14:paraId="70BF1B4A" w14:textId="77777777" w:rsidTr="00073748">
        <w:tc>
          <w:tcPr>
            <w:tcW w:w="2405" w:type="dxa"/>
            <w:shd w:val="clear" w:color="auto" w:fill="E6E6E6"/>
          </w:tcPr>
          <w:p w14:paraId="75DBA3D5"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062912B3" w14:textId="77777777" w:rsidR="004334D2" w:rsidRPr="00131981" w:rsidRDefault="004334D2" w:rsidP="00E06D0C">
            <w:pPr>
              <w:spacing w:before="60" w:after="60"/>
              <w:ind w:right="57"/>
              <w:rPr>
                <w:rFonts w:cs="Arial"/>
                <w:sz w:val="20"/>
              </w:rPr>
            </w:pPr>
            <w:r>
              <w:rPr>
                <w:rFonts w:cs="Arial"/>
                <w:sz w:val="20"/>
              </w:rPr>
              <w:t>-</w:t>
            </w:r>
          </w:p>
        </w:tc>
      </w:tr>
    </w:tbl>
    <w:p w14:paraId="6E86E3E9" w14:textId="7D105128"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22</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842"/>
        <w:gridCol w:w="571"/>
        <w:gridCol w:w="2406"/>
        <w:gridCol w:w="2127"/>
      </w:tblGrid>
      <w:tr w:rsidR="004334D2" w:rsidRPr="00131981" w14:paraId="0B9D87CE" w14:textId="77777777" w:rsidTr="00073748">
        <w:tc>
          <w:tcPr>
            <w:tcW w:w="2405" w:type="dxa"/>
            <w:shd w:val="clear" w:color="auto" w:fill="E6E6E6"/>
          </w:tcPr>
          <w:p w14:paraId="47E24F90" w14:textId="77777777" w:rsidR="004334D2" w:rsidRPr="00131981" w:rsidRDefault="004334D2" w:rsidP="00744658">
            <w:pPr>
              <w:keepNext/>
              <w:spacing w:before="60" w:after="60"/>
              <w:ind w:right="57"/>
              <w:rPr>
                <w:rFonts w:cs="Arial"/>
                <w:b/>
                <w:bCs/>
                <w:sz w:val="20"/>
              </w:rPr>
            </w:pPr>
            <w:r w:rsidRPr="00131981">
              <w:rPr>
                <w:rFonts w:cs="Arial"/>
                <w:b/>
                <w:bCs/>
                <w:sz w:val="20"/>
              </w:rPr>
              <w:t>Data/parameter</w:t>
            </w:r>
          </w:p>
        </w:tc>
        <w:tc>
          <w:tcPr>
            <w:tcW w:w="6946" w:type="dxa"/>
            <w:gridSpan w:val="4"/>
          </w:tcPr>
          <w:p w14:paraId="50133322" w14:textId="77777777" w:rsidR="004334D2" w:rsidRPr="002B695D" w:rsidRDefault="00302468" w:rsidP="00744658">
            <w:pPr>
              <w:keepNext/>
              <w:spacing w:before="60" w:after="60"/>
              <w:ind w:right="57"/>
              <w:rPr>
                <w:rFonts w:cs="Arial"/>
                <w:b/>
                <w:bCs/>
                <w:i/>
                <w:sz w:val="20"/>
              </w:rPr>
            </w:pPr>
            <m:oMathPara>
              <m:oMathParaPr>
                <m:jc m:val="left"/>
              </m:oMathParaPr>
              <m:oMath>
                <m:sSub>
                  <m:sSubPr>
                    <m:ctrlPr>
                      <w:rPr>
                        <w:rFonts w:ascii="Cambria Math" w:hAnsi="Cambria Math"/>
                        <w:b/>
                        <w:bCs/>
                        <w:i/>
                      </w:rPr>
                    </m:ctrlPr>
                  </m:sSubPr>
                  <m:e>
                    <m:r>
                      <m:rPr>
                        <m:sty m:val="bi"/>
                      </m:rPr>
                      <w:rPr>
                        <w:rFonts w:ascii="Cambria Math" w:hAnsi="Cambria Math"/>
                      </w:rPr>
                      <m:t>FC</m:t>
                    </m:r>
                  </m:e>
                  <m:sub>
                    <m:r>
                      <m:rPr>
                        <m:sty m:val="bi"/>
                      </m:rPr>
                      <w:rPr>
                        <w:rFonts w:ascii="Cambria Math" w:hAnsi="Cambria Math"/>
                      </w:rPr>
                      <m:t>i,y</m:t>
                    </m:r>
                  </m:sub>
                </m:sSub>
              </m:oMath>
            </m:oMathPara>
          </w:p>
        </w:tc>
      </w:tr>
      <w:tr w:rsidR="004334D2" w:rsidRPr="0061068C" w14:paraId="4972F919" w14:textId="77777777" w:rsidTr="00073748">
        <w:tc>
          <w:tcPr>
            <w:tcW w:w="2405" w:type="dxa"/>
            <w:shd w:val="clear" w:color="auto" w:fill="E6E6E6"/>
          </w:tcPr>
          <w:p w14:paraId="356FA541" w14:textId="77777777" w:rsidR="004334D2" w:rsidRPr="0061068C" w:rsidRDefault="004334D2" w:rsidP="00E06D0C">
            <w:pPr>
              <w:spacing w:before="60" w:after="60"/>
              <w:ind w:right="57"/>
              <w:rPr>
                <w:rFonts w:cs="Arial"/>
                <w:sz w:val="20"/>
              </w:rPr>
            </w:pPr>
            <w:r w:rsidRPr="0061068C">
              <w:rPr>
                <w:rFonts w:cs="Arial"/>
                <w:sz w:val="20"/>
              </w:rPr>
              <w:t>Description</w:t>
            </w:r>
          </w:p>
        </w:tc>
        <w:tc>
          <w:tcPr>
            <w:tcW w:w="6946" w:type="dxa"/>
            <w:gridSpan w:val="4"/>
          </w:tcPr>
          <w:p w14:paraId="17238A07" w14:textId="000DE1D9" w:rsidR="004334D2" w:rsidRPr="0061068C" w:rsidRDefault="004334D2" w:rsidP="00E06D0C">
            <w:pPr>
              <w:spacing w:before="60" w:after="60"/>
              <w:ind w:right="57"/>
              <w:rPr>
                <w:rFonts w:cs="Arial"/>
                <w:sz w:val="20"/>
              </w:rPr>
            </w:pPr>
            <w:r w:rsidRPr="00C10F7B">
              <w:rPr>
                <w:sz w:val="20"/>
                <w:szCs w:val="18"/>
              </w:rPr>
              <w:t xml:space="preserve">Is the </w:t>
            </w:r>
            <w:r w:rsidRPr="00EA7940">
              <w:rPr>
                <w:rFonts w:cs="Arial"/>
                <w:sz w:val="20"/>
              </w:rPr>
              <w:t>quantity</w:t>
            </w:r>
            <w:r w:rsidRPr="00C10F7B">
              <w:rPr>
                <w:sz w:val="20"/>
                <w:szCs w:val="18"/>
              </w:rPr>
              <w:t xml:space="preserve"> of fuel type </w:t>
            </w:r>
            <w:r w:rsidRPr="00096FAB">
              <w:rPr>
                <w:i/>
                <w:iCs/>
                <w:sz w:val="20"/>
                <w:szCs w:val="18"/>
              </w:rPr>
              <w:t>i</w:t>
            </w:r>
            <w:r w:rsidRPr="00C10F7B">
              <w:rPr>
                <w:sz w:val="20"/>
                <w:szCs w:val="18"/>
              </w:rPr>
              <w:t xml:space="preserve"> combusted in process</w:t>
            </w:r>
            <w:r w:rsidR="00744658">
              <w:rPr>
                <w:sz w:val="20"/>
                <w:szCs w:val="18"/>
              </w:rPr>
              <w:t> </w:t>
            </w:r>
            <w:r w:rsidRPr="00C10F7B">
              <w:rPr>
                <w:i/>
                <w:iCs/>
                <w:sz w:val="20"/>
                <w:szCs w:val="18"/>
              </w:rPr>
              <w:t>j</w:t>
            </w:r>
            <w:r w:rsidRPr="00C10F7B">
              <w:rPr>
                <w:sz w:val="20"/>
                <w:szCs w:val="18"/>
              </w:rPr>
              <w:t xml:space="preserve"> during the year</w:t>
            </w:r>
            <w:r w:rsidR="00744658">
              <w:rPr>
                <w:sz w:val="20"/>
                <w:szCs w:val="18"/>
              </w:rPr>
              <w:t> </w:t>
            </w:r>
            <w:r w:rsidRPr="00C10F7B">
              <w:rPr>
                <w:i/>
                <w:iCs/>
                <w:sz w:val="20"/>
                <w:szCs w:val="18"/>
              </w:rPr>
              <w:t>y</w:t>
            </w:r>
          </w:p>
        </w:tc>
      </w:tr>
      <w:tr w:rsidR="004334D2" w:rsidRPr="00131981" w14:paraId="03EF0C27" w14:textId="77777777" w:rsidTr="00073748">
        <w:tc>
          <w:tcPr>
            <w:tcW w:w="2405" w:type="dxa"/>
            <w:shd w:val="clear" w:color="auto" w:fill="E6E6E6"/>
          </w:tcPr>
          <w:p w14:paraId="5ACB03A8"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39581A20" w14:textId="77777777" w:rsidR="004334D2" w:rsidRPr="00131981" w:rsidRDefault="004334D2" w:rsidP="00E06D0C">
            <w:pPr>
              <w:spacing w:before="60" w:after="60"/>
              <w:ind w:right="57"/>
              <w:rPr>
                <w:rFonts w:cs="Arial"/>
                <w:sz w:val="20"/>
              </w:rPr>
            </w:pPr>
            <w:r w:rsidRPr="00EA7940">
              <w:rPr>
                <w:rFonts w:cs="Arial"/>
                <w:sz w:val="20"/>
              </w:rPr>
              <w:t>Mass</w:t>
            </w:r>
            <w:r w:rsidRPr="00C10F7B">
              <w:rPr>
                <w:sz w:val="20"/>
                <w:szCs w:val="18"/>
              </w:rPr>
              <w:t xml:space="preserve"> or volume unit/year</w:t>
            </w:r>
          </w:p>
        </w:tc>
      </w:tr>
      <w:tr w:rsidR="004334D2" w:rsidRPr="00131981" w14:paraId="2D3F5A4F" w14:textId="77777777" w:rsidTr="00073748">
        <w:tc>
          <w:tcPr>
            <w:tcW w:w="2405" w:type="dxa"/>
            <w:shd w:val="clear" w:color="auto" w:fill="E6E6E6"/>
          </w:tcPr>
          <w:p w14:paraId="04B1F56F"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3A215ED1" w14:textId="61D96B85" w:rsidR="004334D2" w:rsidRPr="00131981" w:rsidRDefault="005C4825" w:rsidP="00E06D0C">
            <w:pPr>
              <w:spacing w:before="60" w:after="60"/>
              <w:ind w:right="57"/>
              <w:rPr>
                <w:rFonts w:cs="Arial"/>
                <w:sz w:val="20"/>
              </w:rPr>
            </w:pPr>
            <w:r>
              <w:rPr>
                <w:rFonts w:cs="Arial"/>
                <w:sz w:val="20"/>
              </w:rPr>
              <w:t>(4</w:t>
            </w:r>
            <w:r w:rsidR="00D81AEA">
              <w:rPr>
                <w:rFonts w:cs="Arial"/>
                <w:sz w:val="20"/>
              </w:rPr>
              <w:t>7</w:t>
            </w:r>
            <w:r>
              <w:rPr>
                <w:rFonts w:cs="Arial"/>
                <w:sz w:val="20"/>
              </w:rPr>
              <w:t>)</w:t>
            </w:r>
          </w:p>
        </w:tc>
      </w:tr>
      <w:tr w:rsidR="004334D2" w:rsidRPr="00131981" w14:paraId="440ECCAF" w14:textId="77777777" w:rsidTr="00073748">
        <w:tc>
          <w:tcPr>
            <w:tcW w:w="2405" w:type="dxa"/>
            <w:shd w:val="clear" w:color="auto" w:fill="E6E6E6"/>
          </w:tcPr>
          <w:p w14:paraId="72784F21"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413" w:type="dxa"/>
            <w:gridSpan w:val="2"/>
          </w:tcPr>
          <w:p w14:paraId="0C809B4E" w14:textId="77777777" w:rsidR="004334D2" w:rsidRPr="00131981" w:rsidRDefault="004334D2" w:rsidP="00E06D0C">
            <w:pPr>
              <w:tabs>
                <w:tab w:val="left" w:pos="121"/>
              </w:tabs>
              <w:spacing w:before="60" w:after="60"/>
              <w:ind w:right="159"/>
              <w:rPr>
                <w:rFonts w:cs="Arial"/>
                <w:sz w:val="20"/>
              </w:rPr>
            </w:pPr>
            <w:r>
              <w:rPr>
                <w:rFonts w:cs="Arial"/>
                <w:sz w:val="20"/>
              </w:rPr>
              <w:fldChar w:fldCharType="begin">
                <w:ffData>
                  <w:name w:val=""/>
                  <w:enabled/>
                  <w:calcOnExit w:val="0"/>
                  <w:checkBox>
                    <w:size w:val="20"/>
                    <w:default w:val="0"/>
                  </w:checkBox>
                </w:ffData>
              </w:fldChar>
            </w:r>
            <w:r>
              <w:rPr>
                <w:rFonts w:cs="Arial"/>
                <w:sz w:val="20"/>
              </w:rPr>
              <w:instrText xml:space="preserve"> FORMCHECKBOX </w:instrText>
            </w:r>
            <w:r w:rsidR="00302468">
              <w:rPr>
                <w:rFonts w:cs="Arial"/>
                <w:sz w:val="20"/>
              </w:rPr>
            </w:r>
            <w:r w:rsidR="00302468">
              <w:rPr>
                <w:rFonts w:cs="Arial"/>
                <w:sz w:val="20"/>
              </w:rPr>
              <w:fldChar w:fldCharType="separate"/>
            </w:r>
            <w:r>
              <w:rPr>
                <w:rFonts w:cs="Arial"/>
                <w:sz w:val="20"/>
              </w:rPr>
              <w:fldChar w:fldCharType="end"/>
            </w:r>
            <w:r w:rsidRPr="00E564B0">
              <w:rPr>
                <w:rFonts w:cs="Arial"/>
                <w:sz w:val="20"/>
              </w:rPr>
              <w:t xml:space="preserve"> Baseline emissions</w:t>
            </w:r>
          </w:p>
        </w:tc>
        <w:tc>
          <w:tcPr>
            <w:tcW w:w="2406" w:type="dxa"/>
          </w:tcPr>
          <w:p w14:paraId="3CD2AB9E" w14:textId="104D2FAC" w:rsidR="004334D2" w:rsidRPr="00131981" w:rsidRDefault="004334D2" w:rsidP="00E06D0C">
            <w:pPr>
              <w:tabs>
                <w:tab w:val="left" w:pos="121"/>
              </w:tabs>
              <w:spacing w:before="60" w:after="60"/>
              <w:ind w:right="159"/>
              <w:rPr>
                <w:rFonts w:cs="Arial"/>
                <w:sz w:val="20"/>
              </w:rPr>
            </w:pPr>
            <w:r>
              <w:rPr>
                <w:rFonts w:cs="Arial"/>
                <w:sz w:val="20"/>
              </w:rPr>
              <w:fldChar w:fldCharType="begin">
                <w:ffData>
                  <w:name w:val=""/>
                  <w:enabled/>
                  <w:calcOnExit w:val="0"/>
                  <w:checkBox>
                    <w:size w:val="20"/>
                    <w:default w:val="1"/>
                  </w:checkBox>
                </w:ffData>
              </w:fldChar>
            </w:r>
            <w:r>
              <w:rPr>
                <w:rFonts w:cs="Arial"/>
                <w:sz w:val="20"/>
              </w:rPr>
              <w:instrText xml:space="preserve"> FORMCHECKBOX </w:instrText>
            </w:r>
            <w:r w:rsidR="00302468">
              <w:rPr>
                <w:rFonts w:cs="Arial"/>
                <w:sz w:val="20"/>
              </w:rPr>
            </w:r>
            <w:r w:rsidR="00302468">
              <w:rPr>
                <w:rFonts w:cs="Arial"/>
                <w:sz w:val="20"/>
              </w:rPr>
              <w:fldChar w:fldCharType="separate"/>
            </w:r>
            <w:r>
              <w:rPr>
                <w:rFonts w:cs="Arial"/>
                <w:sz w:val="20"/>
              </w:rPr>
              <w:fldChar w:fldCharType="end"/>
            </w:r>
            <w:r w:rsidRPr="00E564B0">
              <w:rPr>
                <w:rFonts w:cs="Arial"/>
                <w:sz w:val="20"/>
              </w:rPr>
              <w:t xml:space="preserve"> </w:t>
            </w:r>
            <w:r w:rsidR="005704AC">
              <w:rPr>
                <w:rFonts w:cs="Arial"/>
                <w:sz w:val="20"/>
              </w:rPr>
              <w:t>Project emissions</w:t>
            </w:r>
          </w:p>
        </w:tc>
        <w:tc>
          <w:tcPr>
            <w:tcW w:w="2127" w:type="dxa"/>
          </w:tcPr>
          <w:p w14:paraId="790EB3A5"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Leakage emissions</w:t>
            </w:r>
          </w:p>
        </w:tc>
      </w:tr>
      <w:tr w:rsidR="004334D2" w:rsidRPr="00131981" w14:paraId="75270737" w14:textId="77777777" w:rsidTr="00073748">
        <w:tc>
          <w:tcPr>
            <w:tcW w:w="2405" w:type="dxa"/>
            <w:shd w:val="clear" w:color="auto" w:fill="E6E6E6"/>
          </w:tcPr>
          <w:p w14:paraId="06CF2647"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53FC16F5" w14:textId="77777777" w:rsidR="004334D2" w:rsidRPr="00B6264B" w:rsidRDefault="004334D2" w:rsidP="00E06D0C">
            <w:pPr>
              <w:spacing w:before="60" w:after="60"/>
              <w:ind w:right="57"/>
              <w:rPr>
                <w:rFonts w:cs="Arial"/>
                <w:sz w:val="20"/>
              </w:rPr>
            </w:pPr>
            <w:r w:rsidRPr="00B6264B">
              <w:rPr>
                <w:rFonts w:cs="Arial"/>
                <w:sz w:val="20"/>
              </w:rPr>
              <w:t xml:space="preserve">Use either mass or volume meters. In cases where fuel is supplied from small daily tanks, rulers can be used to determine mass or volume of the fuel consumed, with the following conditions: </w:t>
            </w:r>
            <w:r>
              <w:rPr>
                <w:rFonts w:cs="Arial"/>
                <w:sz w:val="20"/>
              </w:rPr>
              <w:t>t</w:t>
            </w:r>
            <w:r w:rsidRPr="00B6264B">
              <w:rPr>
                <w:rFonts w:cs="Arial"/>
                <w:sz w:val="20"/>
              </w:rPr>
              <w:t>he ruler gauge must be part of the daily tank and calibrated at least once a year and have a book of control for recording the measurements (on a daily basis or per shift);</w:t>
            </w:r>
          </w:p>
          <w:p w14:paraId="09099271" w14:textId="77777777" w:rsidR="004334D2" w:rsidRDefault="004334D2" w:rsidP="00E06D0C">
            <w:pPr>
              <w:spacing w:before="60" w:after="60"/>
              <w:ind w:right="57"/>
              <w:rPr>
                <w:rFonts w:cs="Arial"/>
                <w:sz w:val="20"/>
              </w:rPr>
            </w:pPr>
            <w:r w:rsidRPr="00B6264B">
              <w:rPr>
                <w:rFonts w:cs="Arial"/>
                <w:sz w:val="20"/>
              </w:rPr>
              <w:t>Accessories such as transducers, sonar and piezoelectronic devices are accepted if they are properly calibrated with the ruler gauge and receiving a reasonable maintenance</w:t>
            </w:r>
            <w:r>
              <w:rPr>
                <w:rFonts w:cs="Arial"/>
                <w:sz w:val="20"/>
              </w:rPr>
              <w:t>.</w:t>
            </w:r>
          </w:p>
          <w:p w14:paraId="4F43BFEF" w14:textId="77777777" w:rsidR="004334D2" w:rsidRPr="00B6264B" w:rsidRDefault="004334D2" w:rsidP="00E06D0C">
            <w:pPr>
              <w:spacing w:before="60" w:after="60"/>
              <w:ind w:right="57"/>
              <w:rPr>
                <w:rFonts w:cs="Arial"/>
                <w:sz w:val="20"/>
              </w:rPr>
            </w:pPr>
            <w:r w:rsidRPr="00B6264B">
              <w:rPr>
                <w:rFonts w:cs="Arial"/>
                <w:sz w:val="20"/>
              </w:rPr>
              <w:t>In case of daily tanks with pre-heaters for heavy oil, the calibration will be made with the system at typical operational conditions</w:t>
            </w:r>
          </w:p>
        </w:tc>
      </w:tr>
      <w:tr w:rsidR="004334D2" w:rsidRPr="00131981" w14:paraId="42185E8F" w14:textId="77777777" w:rsidTr="00073748">
        <w:trPr>
          <w:trHeight w:val="107"/>
        </w:trPr>
        <w:tc>
          <w:tcPr>
            <w:tcW w:w="2405" w:type="dxa"/>
            <w:shd w:val="clear" w:color="auto" w:fill="E6E6E6"/>
          </w:tcPr>
          <w:p w14:paraId="754CCF8C"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1EC336C1" w14:textId="77777777" w:rsidR="004334D2" w:rsidRPr="00B06D76" w:rsidRDefault="004334D2" w:rsidP="00E06D0C">
            <w:pPr>
              <w:spacing w:before="60" w:after="60"/>
              <w:ind w:right="57"/>
              <w:rPr>
                <w:rFonts w:cs="Arial"/>
                <w:sz w:val="20"/>
              </w:rPr>
            </w:pPr>
            <w:r w:rsidRPr="00B06D76">
              <w:rPr>
                <w:rFonts w:cs="Arial"/>
                <w:sz w:val="20"/>
              </w:rPr>
              <w:t>Activity participants</w:t>
            </w:r>
          </w:p>
        </w:tc>
      </w:tr>
      <w:tr w:rsidR="004334D2" w:rsidRPr="00131981" w14:paraId="61B88255" w14:textId="77777777" w:rsidTr="00073748">
        <w:trPr>
          <w:trHeight w:val="107"/>
        </w:trPr>
        <w:tc>
          <w:tcPr>
            <w:tcW w:w="2405" w:type="dxa"/>
            <w:vMerge w:val="restart"/>
            <w:shd w:val="clear" w:color="auto" w:fill="E6E6E6"/>
          </w:tcPr>
          <w:p w14:paraId="3BF062A0"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842" w:type="dxa"/>
          </w:tcPr>
          <w:p w14:paraId="10046354" w14:textId="77777777" w:rsidR="004334D2" w:rsidRPr="00131981" w:rsidRDefault="004334D2" w:rsidP="00E06D0C">
            <w:pPr>
              <w:spacing w:before="60" w:after="60"/>
              <w:ind w:left="142" w:right="57"/>
              <w:jc w:val="right"/>
              <w:rPr>
                <w:rFonts w:cs="Arial"/>
                <w:i/>
                <w:iCs/>
                <w:sz w:val="20"/>
              </w:rPr>
            </w:pPr>
            <w:r w:rsidRPr="00131981">
              <w:rPr>
                <w:rFonts w:cs="Arial"/>
                <w:i/>
                <w:iCs/>
                <w:sz w:val="20"/>
              </w:rPr>
              <w:t>Type of instrument</w:t>
            </w:r>
          </w:p>
        </w:tc>
        <w:tc>
          <w:tcPr>
            <w:tcW w:w="5104" w:type="dxa"/>
            <w:gridSpan w:val="3"/>
          </w:tcPr>
          <w:p w14:paraId="136340C5" w14:textId="3E6B7F73" w:rsidR="004334D2" w:rsidRPr="00131981" w:rsidRDefault="004334D2" w:rsidP="00E06D0C">
            <w:pPr>
              <w:spacing w:before="60" w:after="60"/>
              <w:ind w:right="57"/>
              <w:rPr>
                <w:rFonts w:cs="Arial"/>
                <w:sz w:val="20"/>
              </w:rPr>
            </w:pPr>
            <w:r>
              <w:rPr>
                <w:rFonts w:cs="Arial"/>
                <w:sz w:val="20"/>
              </w:rPr>
              <w:t xml:space="preserve">Mass or volume meters, ruler gauge (that is part of daily tanks), </w:t>
            </w:r>
            <w:r w:rsidRPr="00B6264B">
              <w:rPr>
                <w:rFonts w:cs="Arial"/>
                <w:sz w:val="20"/>
              </w:rPr>
              <w:t>transducers, sonar and piezoelectronic</w:t>
            </w:r>
            <w:r>
              <w:rPr>
                <w:rFonts w:cs="Arial"/>
                <w:sz w:val="20"/>
              </w:rPr>
              <w:t xml:space="preserve"> </w:t>
            </w:r>
            <w:r w:rsidR="00BD08EB">
              <w:rPr>
                <w:rFonts w:cs="Arial"/>
                <w:sz w:val="20"/>
              </w:rPr>
              <w:t>devices</w:t>
            </w:r>
          </w:p>
        </w:tc>
      </w:tr>
      <w:tr w:rsidR="004334D2" w:rsidRPr="00131981" w14:paraId="056DBF4F" w14:textId="77777777" w:rsidTr="00073748">
        <w:trPr>
          <w:trHeight w:val="104"/>
        </w:trPr>
        <w:tc>
          <w:tcPr>
            <w:tcW w:w="2405" w:type="dxa"/>
            <w:vMerge/>
          </w:tcPr>
          <w:p w14:paraId="7E6CDCA1" w14:textId="77777777" w:rsidR="004334D2" w:rsidRPr="00131981" w:rsidRDefault="004334D2" w:rsidP="00247E9F">
            <w:pPr>
              <w:numPr>
                <w:ilvl w:val="1"/>
                <w:numId w:val="3"/>
              </w:numPr>
              <w:spacing w:before="60" w:after="60"/>
              <w:ind w:right="57"/>
              <w:rPr>
                <w:rFonts w:cs="Arial"/>
                <w:sz w:val="20"/>
              </w:rPr>
            </w:pPr>
          </w:p>
        </w:tc>
        <w:tc>
          <w:tcPr>
            <w:tcW w:w="1842" w:type="dxa"/>
          </w:tcPr>
          <w:p w14:paraId="3158FFF4" w14:textId="77777777" w:rsidR="004334D2" w:rsidRPr="00131981" w:rsidRDefault="004334D2" w:rsidP="00E06D0C">
            <w:pPr>
              <w:spacing w:before="60" w:after="60"/>
              <w:ind w:left="142" w:right="57"/>
              <w:jc w:val="right"/>
              <w:rPr>
                <w:rFonts w:cs="Arial"/>
                <w:i/>
                <w:iCs/>
                <w:sz w:val="20"/>
              </w:rPr>
            </w:pPr>
            <w:r w:rsidRPr="00131981">
              <w:rPr>
                <w:rFonts w:cs="Arial"/>
                <w:i/>
                <w:iCs/>
                <w:sz w:val="20"/>
              </w:rPr>
              <w:t>Accuracy class</w:t>
            </w:r>
          </w:p>
        </w:tc>
        <w:tc>
          <w:tcPr>
            <w:tcW w:w="5104" w:type="dxa"/>
            <w:gridSpan w:val="3"/>
          </w:tcPr>
          <w:p w14:paraId="3E600A09"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3554C227" w14:textId="77777777" w:rsidTr="00073748">
        <w:trPr>
          <w:trHeight w:val="104"/>
        </w:trPr>
        <w:tc>
          <w:tcPr>
            <w:tcW w:w="2405" w:type="dxa"/>
            <w:vMerge/>
          </w:tcPr>
          <w:p w14:paraId="5E50EA7A" w14:textId="77777777" w:rsidR="004334D2" w:rsidRPr="00131981" w:rsidRDefault="004334D2" w:rsidP="00247E9F">
            <w:pPr>
              <w:numPr>
                <w:ilvl w:val="1"/>
                <w:numId w:val="3"/>
              </w:numPr>
              <w:spacing w:before="60" w:after="60"/>
              <w:ind w:right="57"/>
              <w:rPr>
                <w:rFonts w:cs="Arial"/>
                <w:sz w:val="20"/>
              </w:rPr>
            </w:pPr>
          </w:p>
        </w:tc>
        <w:tc>
          <w:tcPr>
            <w:tcW w:w="1842" w:type="dxa"/>
          </w:tcPr>
          <w:p w14:paraId="61402DAC" w14:textId="77777777" w:rsidR="004334D2" w:rsidRPr="00131981" w:rsidRDefault="004334D2" w:rsidP="00E06D0C">
            <w:pPr>
              <w:spacing w:before="60" w:after="60"/>
              <w:ind w:left="142" w:right="57"/>
              <w:jc w:val="right"/>
              <w:rPr>
                <w:rFonts w:cs="Arial"/>
                <w:i/>
                <w:iCs/>
                <w:sz w:val="20"/>
              </w:rPr>
            </w:pPr>
            <w:r w:rsidRPr="00131981">
              <w:rPr>
                <w:rFonts w:cs="Arial"/>
                <w:i/>
                <w:iCs/>
                <w:sz w:val="20"/>
              </w:rPr>
              <w:t>Calibration requirements</w:t>
            </w:r>
          </w:p>
        </w:tc>
        <w:tc>
          <w:tcPr>
            <w:tcW w:w="5104" w:type="dxa"/>
            <w:gridSpan w:val="3"/>
          </w:tcPr>
          <w:p w14:paraId="76251A24" w14:textId="1D7BA84A" w:rsidR="004334D2" w:rsidRPr="002F643A" w:rsidRDefault="004334D2" w:rsidP="00E06D0C">
            <w:pPr>
              <w:spacing w:before="60" w:after="60"/>
              <w:ind w:right="57"/>
              <w:rPr>
                <w:rFonts w:cs="Arial"/>
                <w:sz w:val="20"/>
              </w:rPr>
            </w:pPr>
            <w:r w:rsidRPr="002F643A">
              <w:rPr>
                <w:rFonts w:cs="Arial"/>
                <w:sz w:val="20"/>
              </w:rPr>
              <w:t xml:space="preserve">Ruler gauge must </w:t>
            </w:r>
            <w:r w:rsidR="00BC0D2B">
              <w:rPr>
                <w:rFonts w:cs="Arial"/>
                <w:sz w:val="20"/>
              </w:rPr>
              <w:t xml:space="preserve">be </w:t>
            </w:r>
            <w:r w:rsidRPr="002F643A">
              <w:rPr>
                <w:rFonts w:cs="Arial"/>
                <w:sz w:val="20"/>
              </w:rPr>
              <w:t>calibrated at least once a year.</w:t>
            </w:r>
          </w:p>
          <w:p w14:paraId="0868BE2F" w14:textId="77777777" w:rsidR="004334D2" w:rsidRPr="00B06D76" w:rsidRDefault="004334D2" w:rsidP="00E06D0C">
            <w:pPr>
              <w:spacing w:before="60" w:after="60"/>
              <w:ind w:right="57"/>
              <w:rPr>
                <w:rFonts w:cs="Arial"/>
                <w:sz w:val="20"/>
              </w:rPr>
            </w:pPr>
            <w:r>
              <w:rPr>
                <w:rFonts w:cs="Arial"/>
                <w:sz w:val="20"/>
              </w:rPr>
              <w:t>T</w:t>
            </w:r>
            <w:r w:rsidRPr="00B6264B">
              <w:rPr>
                <w:rFonts w:cs="Arial"/>
                <w:sz w:val="20"/>
              </w:rPr>
              <w:t xml:space="preserve">ransducers, sonar and piezoelectronic devices </w:t>
            </w:r>
            <w:r>
              <w:rPr>
                <w:rFonts w:cs="Arial"/>
                <w:sz w:val="20"/>
              </w:rPr>
              <w:t xml:space="preserve">must be </w:t>
            </w:r>
            <w:r w:rsidRPr="00B6264B">
              <w:rPr>
                <w:rFonts w:cs="Arial"/>
                <w:sz w:val="20"/>
              </w:rPr>
              <w:t>calibrated with the ruler gauge and receiving a reasonable maintenance</w:t>
            </w:r>
          </w:p>
        </w:tc>
      </w:tr>
      <w:tr w:rsidR="004334D2" w:rsidRPr="00131981" w14:paraId="01A29502" w14:textId="77777777" w:rsidTr="00073748">
        <w:trPr>
          <w:trHeight w:val="104"/>
        </w:trPr>
        <w:tc>
          <w:tcPr>
            <w:tcW w:w="2405" w:type="dxa"/>
            <w:vMerge/>
          </w:tcPr>
          <w:p w14:paraId="0FA92B09" w14:textId="77777777" w:rsidR="004334D2" w:rsidRPr="00131981" w:rsidRDefault="004334D2" w:rsidP="00247E9F">
            <w:pPr>
              <w:numPr>
                <w:ilvl w:val="1"/>
                <w:numId w:val="3"/>
              </w:numPr>
              <w:spacing w:before="60" w:after="60"/>
              <w:ind w:right="57"/>
              <w:rPr>
                <w:rFonts w:cs="Arial"/>
                <w:sz w:val="20"/>
              </w:rPr>
            </w:pPr>
          </w:p>
        </w:tc>
        <w:tc>
          <w:tcPr>
            <w:tcW w:w="1842" w:type="dxa"/>
          </w:tcPr>
          <w:p w14:paraId="67E4BC14" w14:textId="77777777" w:rsidR="004334D2" w:rsidRPr="00131981" w:rsidRDefault="004334D2" w:rsidP="00E06D0C">
            <w:pPr>
              <w:spacing w:before="60" w:after="60"/>
              <w:ind w:left="142" w:right="57"/>
              <w:jc w:val="right"/>
              <w:rPr>
                <w:rFonts w:cs="Arial"/>
                <w:i/>
                <w:iCs/>
                <w:sz w:val="20"/>
              </w:rPr>
            </w:pPr>
            <w:r w:rsidRPr="00131981">
              <w:rPr>
                <w:rFonts w:cs="Arial"/>
                <w:i/>
                <w:iCs/>
                <w:sz w:val="20"/>
              </w:rPr>
              <w:t>Location</w:t>
            </w:r>
          </w:p>
        </w:tc>
        <w:tc>
          <w:tcPr>
            <w:tcW w:w="5104" w:type="dxa"/>
            <w:gridSpan w:val="3"/>
          </w:tcPr>
          <w:p w14:paraId="4D1033DD" w14:textId="77777777" w:rsidR="004334D2" w:rsidRPr="00131981" w:rsidRDefault="004334D2" w:rsidP="00E06D0C">
            <w:pPr>
              <w:spacing w:before="60" w:after="60"/>
              <w:ind w:right="57"/>
              <w:rPr>
                <w:rFonts w:cs="Arial"/>
                <w:sz w:val="20"/>
              </w:rPr>
            </w:pPr>
            <w:r>
              <w:rPr>
                <w:rFonts w:cs="Arial"/>
                <w:sz w:val="20"/>
              </w:rPr>
              <w:t>N/A</w:t>
            </w:r>
          </w:p>
        </w:tc>
      </w:tr>
      <w:tr w:rsidR="004334D2" w:rsidRPr="00131981" w14:paraId="5C163DE5" w14:textId="77777777" w:rsidTr="00073748">
        <w:tc>
          <w:tcPr>
            <w:tcW w:w="2405" w:type="dxa"/>
            <w:shd w:val="clear" w:color="auto" w:fill="E6E6E6"/>
          </w:tcPr>
          <w:p w14:paraId="553B1A88"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5775C513" w14:textId="77777777" w:rsidR="004334D2" w:rsidRPr="00890534" w:rsidRDefault="004334D2" w:rsidP="00E06D0C">
            <w:pPr>
              <w:spacing w:before="60" w:after="60"/>
              <w:ind w:right="57"/>
              <w:rPr>
                <w:rFonts w:cs="Arial"/>
                <w:sz w:val="20"/>
              </w:rPr>
            </w:pPr>
            <w:r>
              <w:rPr>
                <w:rFonts w:cs="Arial"/>
                <w:sz w:val="20"/>
              </w:rPr>
              <w:t>Continuously</w:t>
            </w:r>
          </w:p>
        </w:tc>
      </w:tr>
      <w:tr w:rsidR="004334D2" w:rsidRPr="00131981" w14:paraId="65817008" w14:textId="77777777" w:rsidTr="00073748">
        <w:tc>
          <w:tcPr>
            <w:tcW w:w="2405" w:type="dxa"/>
            <w:shd w:val="clear" w:color="auto" w:fill="E6E6E6"/>
          </w:tcPr>
          <w:p w14:paraId="5C516BC8"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3AA0BF95" w14:textId="77777777" w:rsidR="004334D2" w:rsidRPr="00F334B8" w:rsidRDefault="004334D2" w:rsidP="00E06D0C">
            <w:pPr>
              <w:spacing w:before="60" w:after="60"/>
              <w:ind w:right="57"/>
              <w:rPr>
                <w:rFonts w:cs="Arial"/>
                <w:sz w:val="20"/>
              </w:rPr>
            </w:pPr>
            <w:r w:rsidRPr="00F334B8">
              <w:rPr>
                <w:rFonts w:cs="Arial"/>
                <w:sz w:val="20"/>
              </w:rPr>
              <w:t>The consistency of metered fuel consumption quantities should be cross-checked by an annual energy balance that is based on purchased quantities and stock changes.</w:t>
            </w:r>
          </w:p>
          <w:p w14:paraId="43E28E7F" w14:textId="77777777" w:rsidR="004334D2" w:rsidRPr="002B6CB9" w:rsidRDefault="004334D2" w:rsidP="00E06D0C">
            <w:pPr>
              <w:spacing w:before="60" w:after="60"/>
              <w:ind w:right="57"/>
              <w:rPr>
                <w:rFonts w:cs="Arial"/>
                <w:sz w:val="20"/>
              </w:rPr>
            </w:pPr>
            <w:r w:rsidRPr="00F334B8">
              <w:rPr>
                <w:rFonts w:cs="Arial"/>
                <w:sz w:val="20"/>
              </w:rPr>
              <w:t xml:space="preserve">Where the purchased fuel invoices can be identified specifically for the </w:t>
            </w:r>
            <w:r>
              <w:rPr>
                <w:rFonts w:cs="Arial"/>
                <w:sz w:val="20"/>
              </w:rPr>
              <w:t>Article 6.4 activity</w:t>
            </w:r>
            <w:r w:rsidRPr="00F334B8">
              <w:rPr>
                <w:rFonts w:cs="Arial"/>
                <w:sz w:val="20"/>
              </w:rPr>
              <w:t>, the metered fuel consumption quantities should also be cross-checked with available purchase invoices from the financial record</w:t>
            </w:r>
          </w:p>
        </w:tc>
      </w:tr>
      <w:tr w:rsidR="004334D2" w:rsidRPr="00131981" w14:paraId="34E4ADFE" w14:textId="77777777" w:rsidTr="00073748">
        <w:tc>
          <w:tcPr>
            <w:tcW w:w="2405" w:type="dxa"/>
            <w:shd w:val="clear" w:color="auto" w:fill="E6E6E6"/>
          </w:tcPr>
          <w:p w14:paraId="31B3D134" w14:textId="77777777" w:rsidR="004334D2" w:rsidRPr="00131981" w:rsidRDefault="004334D2" w:rsidP="00E06D0C">
            <w:pPr>
              <w:spacing w:before="60" w:after="60"/>
              <w:ind w:right="57"/>
              <w:jc w:val="left"/>
              <w:rPr>
                <w:rFonts w:cs="Arial"/>
                <w:sz w:val="20"/>
              </w:rPr>
            </w:pPr>
            <w:r>
              <w:rPr>
                <w:rFonts w:cs="Arial"/>
                <w:sz w:val="20"/>
              </w:rPr>
              <w:t>Treatment of uncertainties</w:t>
            </w:r>
          </w:p>
        </w:tc>
        <w:tc>
          <w:tcPr>
            <w:tcW w:w="6946" w:type="dxa"/>
            <w:gridSpan w:val="4"/>
          </w:tcPr>
          <w:p w14:paraId="5A6D79C0" w14:textId="77777777" w:rsidR="004334D2" w:rsidRPr="00506FD8" w:rsidRDefault="004334D2" w:rsidP="00E06D0C">
            <w:pPr>
              <w:spacing w:before="60" w:after="60"/>
              <w:ind w:right="57"/>
              <w:rPr>
                <w:rFonts w:cs="Arial"/>
                <w:sz w:val="20"/>
              </w:rPr>
            </w:pPr>
            <w:r w:rsidRPr="00E24B77">
              <w:rPr>
                <w:rFonts w:cs="Arial"/>
                <w:sz w:val="20"/>
              </w:rPr>
              <w:t>Uncertainties are determined based on the measuring instruments</w:t>
            </w:r>
          </w:p>
        </w:tc>
      </w:tr>
      <w:tr w:rsidR="004334D2" w:rsidRPr="00131981" w14:paraId="1E1943EE" w14:textId="77777777" w:rsidTr="00073748">
        <w:tc>
          <w:tcPr>
            <w:tcW w:w="2405" w:type="dxa"/>
            <w:shd w:val="clear" w:color="auto" w:fill="E6E6E6"/>
          </w:tcPr>
          <w:p w14:paraId="43F3AAB0"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75E7EB5D" w14:textId="77777777" w:rsidR="004334D2" w:rsidRPr="00112D0C" w:rsidRDefault="004334D2" w:rsidP="00DA05CE">
            <w:pPr>
              <w:keepNext/>
              <w:spacing w:before="60" w:after="60"/>
              <w:ind w:right="57"/>
              <w:rPr>
                <w:sz w:val="20"/>
              </w:rPr>
            </w:pPr>
            <w:r w:rsidRPr="00112D0C">
              <w:rPr>
                <w:rFonts w:cs="Arial"/>
                <w:sz w:val="20"/>
              </w:rPr>
              <w:t>Article</w:t>
            </w:r>
            <w:r w:rsidRPr="00112D0C">
              <w:rPr>
                <w:sz w:val="20"/>
              </w:rPr>
              <w:t xml:space="preserve"> 6.4 </w:t>
            </w:r>
            <w:r w:rsidRPr="00112D0C">
              <w:rPr>
                <w:rFonts w:cs="Arial"/>
                <w:sz w:val="20"/>
              </w:rPr>
              <w:t>activities</w:t>
            </w:r>
            <w:r w:rsidRPr="00112D0C">
              <w:rPr>
                <w:sz w:val="20"/>
              </w:rPr>
              <w:t xml:space="preserve"> faced with data gaps due to meter failure or other reasons unforeseen, may estimate the quantity of fuel, using one of the following options, provided the gap period does not exceed 30 consecutive days within six consecutive months:</w:t>
            </w:r>
          </w:p>
          <w:p w14:paraId="5D3D4F49" w14:textId="77777777" w:rsidR="004334D2" w:rsidRPr="00112D0C" w:rsidRDefault="004334D2" w:rsidP="003630AA">
            <w:pPr>
              <w:pStyle w:val="ListParagraph"/>
              <w:numPr>
                <w:ilvl w:val="0"/>
                <w:numId w:val="30"/>
              </w:numPr>
              <w:tabs>
                <w:tab w:val="left" w:pos="263"/>
              </w:tabs>
              <w:spacing w:before="60" w:after="60"/>
              <w:ind w:right="57"/>
              <w:rPr>
                <w:sz w:val="20"/>
              </w:rPr>
            </w:pPr>
            <w:r w:rsidRPr="00112D0C">
              <w:rPr>
                <w:sz w:val="20"/>
              </w:rPr>
              <w:t>The purchased fuel/energy invoices/bills, where the purchased fuel can be identified specifically for the Article 6.4 activity;</w:t>
            </w:r>
          </w:p>
          <w:p w14:paraId="14179125" w14:textId="7FD84103" w:rsidR="004334D2" w:rsidRPr="00112D0C" w:rsidRDefault="004334D2" w:rsidP="003630AA">
            <w:pPr>
              <w:pStyle w:val="ListParagraph"/>
              <w:numPr>
                <w:ilvl w:val="0"/>
                <w:numId w:val="30"/>
              </w:numPr>
              <w:tabs>
                <w:tab w:val="left" w:pos="263"/>
              </w:tabs>
              <w:spacing w:before="60" w:after="60"/>
              <w:ind w:right="57"/>
              <w:rPr>
                <w:sz w:val="20"/>
              </w:rPr>
            </w:pPr>
            <w:r w:rsidRPr="00112D0C">
              <w:rPr>
                <w:sz w:val="20"/>
              </w:rPr>
              <w:t>The energy produced by the equipment, adjusted by efficiency. A conservative value for efficiency of the equipment is of 40</w:t>
            </w:r>
            <w:r w:rsidR="003F7966">
              <w:rPr>
                <w:sz w:val="20"/>
              </w:rPr>
              <w:t xml:space="preserve"> per cent</w:t>
            </w:r>
            <w:r w:rsidRPr="00112D0C">
              <w:rPr>
                <w:sz w:val="20"/>
              </w:rPr>
              <w:t xml:space="preserve"> for combustion engines and generator and 80</w:t>
            </w:r>
            <w:r w:rsidR="003F7966">
              <w:rPr>
                <w:sz w:val="20"/>
              </w:rPr>
              <w:t xml:space="preserve"> per cent</w:t>
            </w:r>
            <w:r w:rsidRPr="00112D0C">
              <w:rPr>
                <w:sz w:val="20"/>
              </w:rPr>
              <w:t xml:space="preserve"> for thermal heaters shall be used, while energy produced is measured directly or calculated based on operation hours;</w:t>
            </w:r>
          </w:p>
          <w:p w14:paraId="6727E1F3" w14:textId="77777777" w:rsidR="004334D2" w:rsidRPr="00112D0C" w:rsidRDefault="004334D2" w:rsidP="003630AA">
            <w:pPr>
              <w:pStyle w:val="ListParagraph"/>
              <w:numPr>
                <w:ilvl w:val="0"/>
                <w:numId w:val="30"/>
              </w:numPr>
              <w:tabs>
                <w:tab w:val="left" w:pos="263"/>
              </w:tabs>
              <w:spacing w:before="60" w:after="60"/>
              <w:ind w:right="57"/>
              <w:rPr>
                <w:sz w:val="20"/>
              </w:rPr>
            </w:pPr>
            <w:r w:rsidRPr="00112D0C">
              <w:rPr>
                <w:sz w:val="20"/>
              </w:rPr>
              <w:t>The highest value of the parameter for the same calendar period of the previous years;</w:t>
            </w:r>
          </w:p>
          <w:p w14:paraId="0014193F" w14:textId="77777777" w:rsidR="004334D2" w:rsidRPr="00131981" w:rsidRDefault="004334D2" w:rsidP="003630AA">
            <w:pPr>
              <w:pStyle w:val="ListParagraph"/>
              <w:numPr>
                <w:ilvl w:val="0"/>
                <w:numId w:val="30"/>
              </w:numPr>
              <w:tabs>
                <w:tab w:val="left" w:pos="263"/>
              </w:tabs>
              <w:spacing w:before="60" w:after="60"/>
              <w:ind w:right="57"/>
              <w:rPr>
                <w:rFonts w:cs="Arial"/>
                <w:sz w:val="20"/>
              </w:rPr>
            </w:pPr>
            <w:r w:rsidRPr="00112D0C">
              <w:rPr>
                <w:sz w:val="20"/>
              </w:rPr>
              <w:t>The fuel consumption of a representative sample of the first batch1 of project devices. It may be assumed that the fuel consumption measured in a representative sample of the first batch of project devices apply to all subsequent batches</w:t>
            </w:r>
          </w:p>
        </w:tc>
      </w:tr>
    </w:tbl>
    <w:p w14:paraId="4A4FC439" w14:textId="14667661"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23</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842"/>
        <w:gridCol w:w="571"/>
        <w:gridCol w:w="2406"/>
        <w:gridCol w:w="2127"/>
      </w:tblGrid>
      <w:tr w:rsidR="004334D2" w:rsidRPr="00131981" w14:paraId="77C675D3" w14:textId="77777777" w:rsidTr="00073748">
        <w:tc>
          <w:tcPr>
            <w:tcW w:w="2405" w:type="dxa"/>
            <w:shd w:val="clear" w:color="auto" w:fill="E6E6E6"/>
          </w:tcPr>
          <w:p w14:paraId="7127A01C" w14:textId="77777777" w:rsidR="004334D2" w:rsidRPr="00131981" w:rsidRDefault="004334D2" w:rsidP="00E06D0C">
            <w:pPr>
              <w:spacing w:before="60" w:after="60"/>
              <w:ind w:right="57"/>
              <w:rPr>
                <w:rFonts w:cs="Arial"/>
                <w:b/>
                <w:bCs/>
                <w:sz w:val="20"/>
              </w:rPr>
            </w:pPr>
            <w:r w:rsidRPr="00131981">
              <w:rPr>
                <w:rFonts w:cs="Arial"/>
                <w:b/>
                <w:bCs/>
                <w:sz w:val="20"/>
              </w:rPr>
              <w:t>Data/parameter</w:t>
            </w:r>
          </w:p>
        </w:tc>
        <w:tc>
          <w:tcPr>
            <w:tcW w:w="6946" w:type="dxa"/>
            <w:gridSpan w:val="4"/>
          </w:tcPr>
          <w:p w14:paraId="18365779" w14:textId="77777777" w:rsidR="004334D2" w:rsidRPr="002B695D" w:rsidRDefault="00302468" w:rsidP="00E06D0C">
            <w:pPr>
              <w:spacing w:before="60" w:after="60"/>
              <w:ind w:right="57"/>
              <w:rPr>
                <w:rFonts w:cs="Arial"/>
                <w:b/>
                <w:bCs/>
                <w:i/>
                <w:sz w:val="20"/>
              </w:rPr>
            </w:pPr>
            <m:oMathPara>
              <m:oMathParaPr>
                <m:jc m:val="left"/>
              </m:oMathParaPr>
              <m:oMath>
                <m:sSub>
                  <m:sSubPr>
                    <m:ctrlPr>
                      <w:rPr>
                        <w:rFonts w:ascii="Cambria Math" w:hAnsi="Cambria Math"/>
                        <w:b/>
                        <w:bCs/>
                        <w:i/>
                      </w:rPr>
                    </m:ctrlPr>
                  </m:sSubPr>
                  <m:e>
                    <m:r>
                      <m:rPr>
                        <m:sty m:val="bi"/>
                      </m:rPr>
                      <w:rPr>
                        <w:rFonts w:ascii="Cambria Math" w:hAnsi="Cambria Math"/>
                      </w:rPr>
                      <m:t>D</m:t>
                    </m:r>
                  </m:e>
                  <m:sub>
                    <m:r>
                      <m:rPr>
                        <m:sty m:val="bi"/>
                      </m:rPr>
                      <w:rPr>
                        <w:rFonts w:ascii="Cambria Math" w:hAnsi="Cambria Math"/>
                      </w:rPr>
                      <m:t>f</m:t>
                    </m:r>
                  </m:sub>
                </m:sSub>
              </m:oMath>
            </m:oMathPara>
          </w:p>
        </w:tc>
      </w:tr>
      <w:tr w:rsidR="004334D2" w:rsidRPr="0061068C" w14:paraId="01DD741D" w14:textId="77777777" w:rsidTr="00073748">
        <w:tc>
          <w:tcPr>
            <w:tcW w:w="2405" w:type="dxa"/>
            <w:shd w:val="clear" w:color="auto" w:fill="E6E6E6"/>
          </w:tcPr>
          <w:p w14:paraId="13A31AB0" w14:textId="77777777" w:rsidR="004334D2" w:rsidRPr="0061068C" w:rsidRDefault="004334D2" w:rsidP="00E06D0C">
            <w:pPr>
              <w:spacing w:before="60" w:after="60"/>
              <w:ind w:right="57"/>
              <w:rPr>
                <w:rFonts w:cs="Arial"/>
                <w:sz w:val="20"/>
              </w:rPr>
            </w:pPr>
            <w:r w:rsidRPr="0061068C">
              <w:rPr>
                <w:rFonts w:cs="Arial"/>
                <w:sz w:val="20"/>
              </w:rPr>
              <w:t>Description</w:t>
            </w:r>
          </w:p>
        </w:tc>
        <w:tc>
          <w:tcPr>
            <w:tcW w:w="6946" w:type="dxa"/>
            <w:gridSpan w:val="4"/>
          </w:tcPr>
          <w:p w14:paraId="73438F4D" w14:textId="5E712007" w:rsidR="004334D2" w:rsidRPr="0038485B" w:rsidRDefault="004334D2" w:rsidP="00E06D0C">
            <w:pPr>
              <w:spacing w:before="60" w:after="60"/>
              <w:ind w:right="57"/>
              <w:rPr>
                <w:rFonts w:cs="Arial"/>
                <w:sz w:val="20"/>
              </w:rPr>
            </w:pPr>
            <w:r w:rsidRPr="00B06D76">
              <w:rPr>
                <w:rFonts w:cs="Arial"/>
                <w:sz w:val="20"/>
              </w:rPr>
              <w:t>Return</w:t>
            </w:r>
            <w:r w:rsidRPr="0038485B">
              <w:rPr>
                <w:sz w:val="20"/>
              </w:rPr>
              <w:t xml:space="preserve"> trip distance between the origin and destination of freight transportation activity</w:t>
            </w:r>
            <w:r w:rsidR="00744658">
              <w:rPr>
                <w:sz w:val="20"/>
              </w:rPr>
              <w:t> </w:t>
            </w:r>
            <w:r w:rsidRPr="0038485B">
              <w:rPr>
                <w:i/>
                <w:iCs/>
                <w:sz w:val="20"/>
              </w:rPr>
              <w:t>f</w:t>
            </w:r>
          </w:p>
        </w:tc>
      </w:tr>
      <w:tr w:rsidR="004334D2" w:rsidRPr="00131981" w14:paraId="7EDDD7BA" w14:textId="77777777" w:rsidTr="00073748">
        <w:tc>
          <w:tcPr>
            <w:tcW w:w="2405" w:type="dxa"/>
            <w:shd w:val="clear" w:color="auto" w:fill="E6E6E6"/>
          </w:tcPr>
          <w:p w14:paraId="27BC28D2"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7876C12D" w14:textId="77777777" w:rsidR="004334D2" w:rsidRPr="0038485B" w:rsidRDefault="004334D2" w:rsidP="00E06D0C">
            <w:pPr>
              <w:spacing w:before="60" w:after="60"/>
              <w:ind w:right="57"/>
              <w:rPr>
                <w:rFonts w:cs="Arial"/>
                <w:sz w:val="20"/>
              </w:rPr>
            </w:pPr>
            <w:r w:rsidRPr="0038485B">
              <w:rPr>
                <w:sz w:val="20"/>
              </w:rPr>
              <w:t>km</w:t>
            </w:r>
          </w:p>
        </w:tc>
      </w:tr>
      <w:tr w:rsidR="004334D2" w:rsidRPr="00131981" w14:paraId="0D0E92E3" w14:textId="77777777" w:rsidTr="00073748">
        <w:tc>
          <w:tcPr>
            <w:tcW w:w="2405" w:type="dxa"/>
            <w:shd w:val="clear" w:color="auto" w:fill="E6E6E6"/>
          </w:tcPr>
          <w:p w14:paraId="1FA9E87E"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5448EF3B" w14:textId="5F2E2414" w:rsidR="004334D2" w:rsidRPr="0038485B" w:rsidRDefault="005C4825" w:rsidP="00E06D0C">
            <w:pPr>
              <w:spacing w:before="60" w:after="60"/>
              <w:ind w:right="57"/>
              <w:rPr>
                <w:rFonts w:cs="Arial"/>
                <w:sz w:val="20"/>
              </w:rPr>
            </w:pPr>
            <w:r>
              <w:rPr>
                <w:rFonts w:cs="Arial"/>
                <w:sz w:val="20"/>
              </w:rPr>
              <w:t>(</w:t>
            </w:r>
            <w:r w:rsidR="00096FAB">
              <w:rPr>
                <w:rFonts w:cs="Arial"/>
                <w:sz w:val="20"/>
              </w:rPr>
              <w:t>52</w:t>
            </w:r>
            <w:r>
              <w:rPr>
                <w:rFonts w:cs="Arial"/>
                <w:sz w:val="20"/>
              </w:rPr>
              <w:t>)</w:t>
            </w:r>
          </w:p>
        </w:tc>
      </w:tr>
      <w:tr w:rsidR="004334D2" w:rsidRPr="00131981" w14:paraId="73DB40DC" w14:textId="77777777" w:rsidTr="00073748">
        <w:tc>
          <w:tcPr>
            <w:tcW w:w="2405" w:type="dxa"/>
            <w:shd w:val="clear" w:color="auto" w:fill="E6E6E6"/>
          </w:tcPr>
          <w:p w14:paraId="0325C9E3"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413" w:type="dxa"/>
            <w:gridSpan w:val="2"/>
          </w:tcPr>
          <w:p w14:paraId="5BBEBE83" w14:textId="77777777" w:rsidR="004334D2" w:rsidRPr="00131981" w:rsidRDefault="004334D2" w:rsidP="00E06D0C">
            <w:pPr>
              <w:tabs>
                <w:tab w:val="left" w:pos="121"/>
              </w:tabs>
              <w:spacing w:before="60" w:after="60"/>
              <w:ind w:right="159"/>
              <w:rPr>
                <w:rFonts w:cs="Arial"/>
                <w:sz w:val="20"/>
              </w:rPr>
            </w:pPr>
            <w:r>
              <w:rPr>
                <w:rFonts w:cs="Arial"/>
                <w:sz w:val="20"/>
              </w:rPr>
              <w:fldChar w:fldCharType="begin">
                <w:ffData>
                  <w:name w:val=""/>
                  <w:enabled/>
                  <w:calcOnExit w:val="0"/>
                  <w:checkBox>
                    <w:size w:val="20"/>
                    <w:default w:val="0"/>
                  </w:checkBox>
                </w:ffData>
              </w:fldChar>
            </w:r>
            <w:r>
              <w:rPr>
                <w:rFonts w:cs="Arial"/>
                <w:sz w:val="20"/>
              </w:rPr>
              <w:instrText xml:space="preserve"> FORMCHECKBOX </w:instrText>
            </w:r>
            <w:r w:rsidR="00302468">
              <w:rPr>
                <w:rFonts w:cs="Arial"/>
                <w:sz w:val="20"/>
              </w:rPr>
            </w:r>
            <w:r w:rsidR="00302468">
              <w:rPr>
                <w:rFonts w:cs="Arial"/>
                <w:sz w:val="20"/>
              </w:rPr>
              <w:fldChar w:fldCharType="separate"/>
            </w:r>
            <w:r>
              <w:rPr>
                <w:rFonts w:cs="Arial"/>
                <w:sz w:val="20"/>
              </w:rPr>
              <w:fldChar w:fldCharType="end"/>
            </w:r>
            <w:r w:rsidRPr="00E564B0">
              <w:rPr>
                <w:rFonts w:cs="Arial"/>
                <w:sz w:val="20"/>
              </w:rPr>
              <w:t xml:space="preserve"> Baseline emissions</w:t>
            </w:r>
          </w:p>
        </w:tc>
        <w:tc>
          <w:tcPr>
            <w:tcW w:w="2406" w:type="dxa"/>
          </w:tcPr>
          <w:p w14:paraId="3F9F9882" w14:textId="7C2AA2E9" w:rsidR="004334D2" w:rsidRPr="00131981" w:rsidRDefault="004334D2" w:rsidP="00E06D0C">
            <w:pPr>
              <w:tabs>
                <w:tab w:val="left" w:pos="121"/>
              </w:tabs>
              <w:spacing w:before="60" w:after="60"/>
              <w:ind w:right="159"/>
              <w:rPr>
                <w:rFonts w:cs="Arial"/>
                <w:sz w:val="20"/>
              </w:rPr>
            </w:pPr>
            <w:r>
              <w:rPr>
                <w:rFonts w:cs="Arial"/>
                <w:sz w:val="20"/>
              </w:rPr>
              <w:fldChar w:fldCharType="begin">
                <w:ffData>
                  <w:name w:val=""/>
                  <w:enabled/>
                  <w:calcOnExit w:val="0"/>
                  <w:checkBox>
                    <w:size w:val="20"/>
                    <w:default w:val="1"/>
                  </w:checkBox>
                </w:ffData>
              </w:fldChar>
            </w:r>
            <w:r>
              <w:rPr>
                <w:rFonts w:cs="Arial"/>
                <w:sz w:val="20"/>
              </w:rPr>
              <w:instrText xml:space="preserve"> FORMCHECKBOX </w:instrText>
            </w:r>
            <w:r w:rsidR="00302468">
              <w:rPr>
                <w:rFonts w:cs="Arial"/>
                <w:sz w:val="20"/>
              </w:rPr>
            </w:r>
            <w:r w:rsidR="00302468">
              <w:rPr>
                <w:rFonts w:cs="Arial"/>
                <w:sz w:val="20"/>
              </w:rPr>
              <w:fldChar w:fldCharType="separate"/>
            </w:r>
            <w:r>
              <w:rPr>
                <w:rFonts w:cs="Arial"/>
                <w:sz w:val="20"/>
              </w:rPr>
              <w:fldChar w:fldCharType="end"/>
            </w:r>
            <w:r w:rsidRPr="00E564B0">
              <w:rPr>
                <w:rFonts w:cs="Arial"/>
                <w:sz w:val="20"/>
              </w:rPr>
              <w:t xml:space="preserve"> </w:t>
            </w:r>
            <w:r w:rsidR="005704AC">
              <w:rPr>
                <w:rFonts w:cs="Arial"/>
                <w:sz w:val="20"/>
              </w:rPr>
              <w:t>Project emissions</w:t>
            </w:r>
          </w:p>
        </w:tc>
        <w:tc>
          <w:tcPr>
            <w:tcW w:w="2127" w:type="dxa"/>
          </w:tcPr>
          <w:p w14:paraId="68AA99CD"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Leakage emissions</w:t>
            </w:r>
          </w:p>
        </w:tc>
      </w:tr>
      <w:tr w:rsidR="004334D2" w:rsidRPr="00131981" w14:paraId="5BC5352D" w14:textId="77777777" w:rsidTr="00073748">
        <w:tc>
          <w:tcPr>
            <w:tcW w:w="2405" w:type="dxa"/>
            <w:shd w:val="clear" w:color="auto" w:fill="E6E6E6"/>
          </w:tcPr>
          <w:p w14:paraId="3D542DA2"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6167877A" w14:textId="0BA9E4AC" w:rsidR="004334D2" w:rsidRPr="0038485B" w:rsidRDefault="004334D2" w:rsidP="00E06D0C">
            <w:pPr>
              <w:spacing w:before="60" w:after="60"/>
              <w:ind w:right="57"/>
              <w:rPr>
                <w:rFonts w:cs="Arial"/>
                <w:sz w:val="20"/>
              </w:rPr>
            </w:pPr>
            <w:r w:rsidRPr="0038485B">
              <w:rPr>
                <w:sz w:val="20"/>
              </w:rPr>
              <w:t>Determined for each freight transportation activity</w:t>
            </w:r>
            <w:r w:rsidR="00744658">
              <w:rPr>
                <w:sz w:val="20"/>
              </w:rPr>
              <w:t> </w:t>
            </w:r>
            <w:r w:rsidRPr="0038485B">
              <w:rPr>
                <w:i/>
                <w:iCs/>
                <w:sz w:val="20"/>
              </w:rPr>
              <w:t>f</w:t>
            </w:r>
            <w:r w:rsidRPr="0038485B">
              <w:rPr>
                <w:sz w:val="20"/>
              </w:rPr>
              <w:t xml:space="preserve"> for a reference trip</w:t>
            </w:r>
          </w:p>
        </w:tc>
      </w:tr>
      <w:tr w:rsidR="004334D2" w:rsidRPr="00131981" w14:paraId="31FFAB19" w14:textId="77777777" w:rsidTr="00073748">
        <w:trPr>
          <w:trHeight w:val="107"/>
        </w:trPr>
        <w:tc>
          <w:tcPr>
            <w:tcW w:w="2405" w:type="dxa"/>
            <w:shd w:val="clear" w:color="auto" w:fill="E6E6E6"/>
          </w:tcPr>
          <w:p w14:paraId="3795E1BB"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0C01895F" w14:textId="77777777" w:rsidR="004334D2" w:rsidRPr="00B06D76" w:rsidRDefault="004334D2" w:rsidP="00E06D0C">
            <w:pPr>
              <w:spacing w:before="60" w:after="60"/>
              <w:ind w:right="57"/>
              <w:rPr>
                <w:sz w:val="20"/>
              </w:rPr>
            </w:pPr>
            <w:r w:rsidRPr="00B06D76">
              <w:rPr>
                <w:sz w:val="20"/>
              </w:rPr>
              <w:t>Activity participants or vehicle operator (if the trucks are not owned by the activity participants)</w:t>
            </w:r>
          </w:p>
        </w:tc>
      </w:tr>
      <w:tr w:rsidR="004334D2" w:rsidRPr="00131981" w14:paraId="3F19CF8B" w14:textId="77777777" w:rsidTr="00073748">
        <w:trPr>
          <w:trHeight w:val="107"/>
        </w:trPr>
        <w:tc>
          <w:tcPr>
            <w:tcW w:w="2405" w:type="dxa"/>
            <w:vMerge w:val="restart"/>
            <w:shd w:val="clear" w:color="auto" w:fill="E6E6E6"/>
          </w:tcPr>
          <w:p w14:paraId="3853B0A7"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842" w:type="dxa"/>
          </w:tcPr>
          <w:p w14:paraId="7DACD6F3" w14:textId="77777777" w:rsidR="004334D2" w:rsidRPr="0038485B" w:rsidRDefault="004334D2" w:rsidP="00744658">
            <w:pPr>
              <w:spacing w:before="60" w:after="60"/>
              <w:ind w:left="142" w:right="57"/>
              <w:jc w:val="right"/>
              <w:rPr>
                <w:rFonts w:cs="Arial"/>
                <w:i/>
                <w:iCs/>
                <w:sz w:val="20"/>
              </w:rPr>
            </w:pPr>
            <w:r w:rsidRPr="0038485B">
              <w:rPr>
                <w:rFonts w:cs="Arial"/>
                <w:i/>
                <w:iCs/>
                <w:sz w:val="20"/>
              </w:rPr>
              <w:t>Type of instrument</w:t>
            </w:r>
          </w:p>
        </w:tc>
        <w:tc>
          <w:tcPr>
            <w:tcW w:w="5104" w:type="dxa"/>
            <w:gridSpan w:val="3"/>
          </w:tcPr>
          <w:p w14:paraId="6ABF11C6" w14:textId="77777777" w:rsidR="004334D2" w:rsidRPr="00B06D76" w:rsidRDefault="004334D2" w:rsidP="00744658">
            <w:pPr>
              <w:spacing w:before="60" w:after="60"/>
              <w:ind w:right="57"/>
              <w:jc w:val="left"/>
              <w:rPr>
                <w:sz w:val="20"/>
              </w:rPr>
            </w:pPr>
            <w:r w:rsidRPr="00B06D76">
              <w:rPr>
                <w:sz w:val="20"/>
              </w:rPr>
              <w:t xml:space="preserve">Vehicle odometer, </w:t>
            </w:r>
            <w:r w:rsidRPr="0038485B">
              <w:rPr>
                <w:sz w:val="20"/>
              </w:rPr>
              <w:t>other appropriate sources (e.g. on-line sources)</w:t>
            </w:r>
          </w:p>
        </w:tc>
      </w:tr>
      <w:tr w:rsidR="004334D2" w:rsidRPr="00131981" w14:paraId="1F9F923A" w14:textId="77777777" w:rsidTr="00073748">
        <w:trPr>
          <w:trHeight w:val="104"/>
        </w:trPr>
        <w:tc>
          <w:tcPr>
            <w:tcW w:w="2405" w:type="dxa"/>
            <w:vMerge/>
          </w:tcPr>
          <w:p w14:paraId="5C3BCF93" w14:textId="77777777" w:rsidR="004334D2" w:rsidRPr="00131981" w:rsidRDefault="004334D2" w:rsidP="00247E9F">
            <w:pPr>
              <w:numPr>
                <w:ilvl w:val="1"/>
                <w:numId w:val="3"/>
              </w:numPr>
              <w:spacing w:before="60" w:after="60"/>
              <w:ind w:right="57"/>
              <w:rPr>
                <w:rFonts w:cs="Arial"/>
                <w:sz w:val="20"/>
              </w:rPr>
            </w:pPr>
          </w:p>
        </w:tc>
        <w:tc>
          <w:tcPr>
            <w:tcW w:w="1842" w:type="dxa"/>
          </w:tcPr>
          <w:p w14:paraId="7D973090" w14:textId="77777777" w:rsidR="004334D2" w:rsidRPr="0038485B" w:rsidRDefault="004334D2" w:rsidP="00744658">
            <w:pPr>
              <w:spacing w:before="60" w:after="60"/>
              <w:ind w:left="142" w:right="57"/>
              <w:jc w:val="right"/>
              <w:rPr>
                <w:rFonts w:cs="Arial"/>
                <w:i/>
                <w:iCs/>
                <w:sz w:val="20"/>
              </w:rPr>
            </w:pPr>
            <w:r w:rsidRPr="0038485B">
              <w:rPr>
                <w:rFonts w:cs="Arial"/>
                <w:i/>
                <w:iCs/>
                <w:sz w:val="20"/>
              </w:rPr>
              <w:t>Accuracy class</w:t>
            </w:r>
          </w:p>
        </w:tc>
        <w:tc>
          <w:tcPr>
            <w:tcW w:w="5104" w:type="dxa"/>
            <w:gridSpan w:val="3"/>
          </w:tcPr>
          <w:p w14:paraId="2C2EEF50" w14:textId="77777777" w:rsidR="004334D2" w:rsidRPr="00B06D76" w:rsidRDefault="004334D2" w:rsidP="00744658">
            <w:pPr>
              <w:spacing w:before="60" w:after="60"/>
              <w:ind w:right="57"/>
              <w:jc w:val="left"/>
              <w:rPr>
                <w:sz w:val="20"/>
              </w:rPr>
            </w:pPr>
            <w:r w:rsidRPr="00B06D76">
              <w:rPr>
                <w:sz w:val="20"/>
              </w:rPr>
              <w:t>N/A</w:t>
            </w:r>
          </w:p>
        </w:tc>
      </w:tr>
      <w:tr w:rsidR="004334D2" w:rsidRPr="00131981" w14:paraId="58E01CAF" w14:textId="77777777" w:rsidTr="00073748">
        <w:trPr>
          <w:trHeight w:val="104"/>
        </w:trPr>
        <w:tc>
          <w:tcPr>
            <w:tcW w:w="2405" w:type="dxa"/>
            <w:vMerge/>
          </w:tcPr>
          <w:p w14:paraId="47B97D75" w14:textId="77777777" w:rsidR="004334D2" w:rsidRPr="00131981" w:rsidRDefault="004334D2" w:rsidP="00247E9F">
            <w:pPr>
              <w:numPr>
                <w:ilvl w:val="1"/>
                <w:numId w:val="3"/>
              </w:numPr>
              <w:spacing w:before="60" w:after="60"/>
              <w:ind w:right="57"/>
              <w:rPr>
                <w:rFonts w:cs="Arial"/>
                <w:sz w:val="20"/>
              </w:rPr>
            </w:pPr>
          </w:p>
        </w:tc>
        <w:tc>
          <w:tcPr>
            <w:tcW w:w="1842" w:type="dxa"/>
          </w:tcPr>
          <w:p w14:paraId="320EC8CC" w14:textId="77777777" w:rsidR="004334D2" w:rsidRPr="0038485B" w:rsidRDefault="004334D2" w:rsidP="00744658">
            <w:pPr>
              <w:spacing w:before="60" w:after="60"/>
              <w:ind w:left="142" w:right="57"/>
              <w:jc w:val="right"/>
              <w:rPr>
                <w:rFonts w:cs="Arial"/>
                <w:i/>
                <w:iCs/>
                <w:sz w:val="20"/>
              </w:rPr>
            </w:pPr>
            <w:r w:rsidRPr="0038485B">
              <w:rPr>
                <w:rFonts w:cs="Arial"/>
                <w:i/>
                <w:iCs/>
                <w:sz w:val="20"/>
              </w:rPr>
              <w:t>Calibration requirements</w:t>
            </w:r>
          </w:p>
        </w:tc>
        <w:tc>
          <w:tcPr>
            <w:tcW w:w="5104" w:type="dxa"/>
            <w:gridSpan w:val="3"/>
          </w:tcPr>
          <w:p w14:paraId="7C3A0509" w14:textId="77777777" w:rsidR="004334D2" w:rsidRPr="00B06D76" w:rsidRDefault="004334D2" w:rsidP="00744658">
            <w:pPr>
              <w:spacing w:before="60" w:after="60"/>
              <w:ind w:right="57"/>
              <w:jc w:val="left"/>
              <w:rPr>
                <w:sz w:val="20"/>
              </w:rPr>
            </w:pPr>
            <w:r w:rsidRPr="00B06D76">
              <w:rPr>
                <w:sz w:val="20"/>
              </w:rPr>
              <w:t>N/A</w:t>
            </w:r>
          </w:p>
        </w:tc>
      </w:tr>
      <w:tr w:rsidR="004334D2" w:rsidRPr="00131981" w14:paraId="03BF2ECB" w14:textId="77777777" w:rsidTr="00073748">
        <w:trPr>
          <w:trHeight w:val="104"/>
        </w:trPr>
        <w:tc>
          <w:tcPr>
            <w:tcW w:w="2405" w:type="dxa"/>
            <w:vMerge/>
          </w:tcPr>
          <w:p w14:paraId="28B94D80" w14:textId="77777777" w:rsidR="004334D2" w:rsidRPr="00131981" w:rsidRDefault="004334D2" w:rsidP="00247E9F">
            <w:pPr>
              <w:numPr>
                <w:ilvl w:val="1"/>
                <w:numId w:val="3"/>
              </w:numPr>
              <w:spacing w:before="60" w:after="60"/>
              <w:ind w:right="57"/>
              <w:rPr>
                <w:rFonts w:cs="Arial"/>
                <w:sz w:val="20"/>
              </w:rPr>
            </w:pPr>
          </w:p>
        </w:tc>
        <w:tc>
          <w:tcPr>
            <w:tcW w:w="1842" w:type="dxa"/>
          </w:tcPr>
          <w:p w14:paraId="67DEFEDD" w14:textId="77777777" w:rsidR="004334D2" w:rsidRPr="0038485B" w:rsidRDefault="004334D2" w:rsidP="00744658">
            <w:pPr>
              <w:spacing w:before="60" w:after="60"/>
              <w:ind w:left="142" w:right="57"/>
              <w:jc w:val="right"/>
              <w:rPr>
                <w:rFonts w:cs="Arial"/>
                <w:i/>
                <w:iCs/>
                <w:sz w:val="20"/>
              </w:rPr>
            </w:pPr>
            <w:r w:rsidRPr="0038485B">
              <w:rPr>
                <w:rFonts w:cs="Arial"/>
                <w:i/>
                <w:iCs/>
                <w:sz w:val="20"/>
              </w:rPr>
              <w:t>Location</w:t>
            </w:r>
          </w:p>
        </w:tc>
        <w:tc>
          <w:tcPr>
            <w:tcW w:w="5104" w:type="dxa"/>
            <w:gridSpan w:val="3"/>
          </w:tcPr>
          <w:p w14:paraId="70E45C8B" w14:textId="77777777" w:rsidR="004334D2" w:rsidRPr="00B06D76" w:rsidRDefault="004334D2" w:rsidP="00744658">
            <w:pPr>
              <w:spacing w:before="60" w:after="60"/>
              <w:ind w:right="57"/>
              <w:jc w:val="left"/>
              <w:rPr>
                <w:sz w:val="20"/>
              </w:rPr>
            </w:pPr>
            <w:r w:rsidRPr="00B06D76">
              <w:rPr>
                <w:sz w:val="20"/>
              </w:rPr>
              <w:t>N/A</w:t>
            </w:r>
          </w:p>
        </w:tc>
      </w:tr>
      <w:tr w:rsidR="004334D2" w:rsidRPr="00131981" w14:paraId="76BF76A2" w14:textId="77777777" w:rsidTr="00073748">
        <w:tc>
          <w:tcPr>
            <w:tcW w:w="2405" w:type="dxa"/>
            <w:shd w:val="clear" w:color="auto" w:fill="E6E6E6"/>
          </w:tcPr>
          <w:p w14:paraId="5872E39B"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4A92A48C" w14:textId="6956DDBC" w:rsidR="004334D2" w:rsidRPr="00B06D76" w:rsidRDefault="004334D2" w:rsidP="00E06D0C">
            <w:pPr>
              <w:spacing w:before="60" w:after="60"/>
              <w:ind w:right="57"/>
              <w:rPr>
                <w:sz w:val="20"/>
              </w:rPr>
            </w:pPr>
            <w:r w:rsidRPr="00B06D76">
              <w:rPr>
                <w:sz w:val="20"/>
              </w:rPr>
              <w:t xml:space="preserve">Determined once for </w:t>
            </w:r>
            <w:r w:rsidRPr="0038485B">
              <w:rPr>
                <w:sz w:val="20"/>
              </w:rPr>
              <w:t>each freight transportation activity</w:t>
            </w:r>
            <w:r w:rsidR="00E72F4C">
              <w:rPr>
                <w:sz w:val="20"/>
              </w:rPr>
              <w:t> </w:t>
            </w:r>
            <w:r w:rsidRPr="00B06D76">
              <w:rPr>
                <w:sz w:val="20"/>
              </w:rPr>
              <w:t>f</w:t>
            </w:r>
            <w:r>
              <w:rPr>
                <w:sz w:val="20"/>
              </w:rPr>
              <w:t xml:space="preserve">. </w:t>
            </w:r>
            <w:r w:rsidRPr="00B06D76">
              <w:rPr>
                <w:sz w:val="20"/>
              </w:rPr>
              <w:t>To be updated whenever the distance changes</w:t>
            </w:r>
          </w:p>
        </w:tc>
      </w:tr>
      <w:tr w:rsidR="004334D2" w:rsidRPr="00131981" w14:paraId="46B164D0" w14:textId="77777777" w:rsidTr="00073748">
        <w:tc>
          <w:tcPr>
            <w:tcW w:w="2405" w:type="dxa"/>
            <w:shd w:val="clear" w:color="auto" w:fill="E6E6E6"/>
          </w:tcPr>
          <w:p w14:paraId="2A3714A5"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1E1FD815" w14:textId="77777777" w:rsidR="004334D2" w:rsidRPr="00B06D76" w:rsidRDefault="004334D2" w:rsidP="00E06D0C">
            <w:pPr>
              <w:spacing w:before="60" w:after="60"/>
              <w:ind w:right="57"/>
              <w:rPr>
                <w:sz w:val="20"/>
              </w:rPr>
            </w:pPr>
          </w:p>
        </w:tc>
      </w:tr>
      <w:tr w:rsidR="004334D2" w:rsidRPr="00131981" w14:paraId="3FA84E75" w14:textId="77777777" w:rsidTr="00073748">
        <w:tc>
          <w:tcPr>
            <w:tcW w:w="2405" w:type="dxa"/>
            <w:shd w:val="clear" w:color="auto" w:fill="E6E6E6"/>
          </w:tcPr>
          <w:p w14:paraId="1E754878" w14:textId="77777777" w:rsidR="004334D2" w:rsidRPr="00131981" w:rsidRDefault="004334D2" w:rsidP="00E06D0C">
            <w:pPr>
              <w:spacing w:before="60" w:after="60"/>
              <w:ind w:right="57"/>
              <w:jc w:val="left"/>
              <w:rPr>
                <w:rFonts w:cs="Arial"/>
                <w:sz w:val="20"/>
              </w:rPr>
            </w:pPr>
            <w:r>
              <w:rPr>
                <w:rFonts w:cs="Arial"/>
                <w:sz w:val="20"/>
              </w:rPr>
              <w:t>Treatment of uncertainties</w:t>
            </w:r>
          </w:p>
        </w:tc>
        <w:tc>
          <w:tcPr>
            <w:tcW w:w="6946" w:type="dxa"/>
            <w:gridSpan w:val="4"/>
          </w:tcPr>
          <w:p w14:paraId="1469F352" w14:textId="77777777" w:rsidR="004334D2" w:rsidRPr="00506FD8" w:rsidRDefault="004334D2" w:rsidP="00E06D0C">
            <w:pPr>
              <w:spacing w:before="60" w:after="60"/>
              <w:ind w:right="57"/>
              <w:rPr>
                <w:rFonts w:cs="Arial"/>
                <w:sz w:val="20"/>
              </w:rPr>
            </w:pPr>
            <w:r w:rsidRPr="00E24B77">
              <w:rPr>
                <w:rFonts w:cs="Arial"/>
                <w:sz w:val="20"/>
              </w:rPr>
              <w:t>Uncertainties are determined based on the measuring instruments</w:t>
            </w:r>
          </w:p>
        </w:tc>
      </w:tr>
      <w:tr w:rsidR="004334D2" w:rsidRPr="00131981" w14:paraId="3E624C81" w14:textId="77777777" w:rsidTr="00073748">
        <w:tc>
          <w:tcPr>
            <w:tcW w:w="2405" w:type="dxa"/>
            <w:shd w:val="clear" w:color="auto" w:fill="E6E6E6"/>
          </w:tcPr>
          <w:p w14:paraId="36D6A4CA"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637C9B65" w14:textId="77777777" w:rsidR="004334D2" w:rsidRPr="00B06D76" w:rsidRDefault="004334D2" w:rsidP="00E06D0C">
            <w:pPr>
              <w:spacing w:before="60" w:after="60"/>
              <w:ind w:right="57"/>
              <w:rPr>
                <w:sz w:val="20"/>
              </w:rPr>
            </w:pPr>
          </w:p>
        </w:tc>
      </w:tr>
    </w:tbl>
    <w:p w14:paraId="5C1DD065" w14:textId="34E175F3"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24</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55"/>
        <w:gridCol w:w="660"/>
        <w:gridCol w:w="2410"/>
        <w:gridCol w:w="2121"/>
      </w:tblGrid>
      <w:tr w:rsidR="004334D2" w:rsidRPr="00131981" w14:paraId="6622A099" w14:textId="77777777" w:rsidTr="00073748">
        <w:tc>
          <w:tcPr>
            <w:tcW w:w="2405" w:type="dxa"/>
            <w:shd w:val="clear" w:color="auto" w:fill="E6E6E6"/>
          </w:tcPr>
          <w:p w14:paraId="7ED0A33B" w14:textId="77777777" w:rsidR="004334D2" w:rsidRPr="00131981" w:rsidRDefault="004334D2" w:rsidP="00E06D0C">
            <w:pPr>
              <w:spacing w:before="60" w:after="60"/>
              <w:ind w:right="57"/>
              <w:rPr>
                <w:rFonts w:cs="Arial"/>
                <w:b/>
                <w:bCs/>
                <w:sz w:val="20"/>
              </w:rPr>
            </w:pPr>
            <w:r w:rsidRPr="00131981">
              <w:rPr>
                <w:rFonts w:cs="Arial"/>
                <w:b/>
                <w:bCs/>
                <w:sz w:val="20"/>
              </w:rPr>
              <w:t>Data/parameter</w:t>
            </w:r>
          </w:p>
        </w:tc>
        <w:tc>
          <w:tcPr>
            <w:tcW w:w="6946" w:type="dxa"/>
            <w:gridSpan w:val="4"/>
          </w:tcPr>
          <w:p w14:paraId="251307E5" w14:textId="57BDD258" w:rsidR="004334D2" w:rsidRPr="002B695D" w:rsidRDefault="00302468" w:rsidP="00E06D0C">
            <w:pPr>
              <w:spacing w:before="60" w:after="60"/>
              <w:ind w:right="57"/>
              <w:rPr>
                <w:rFonts w:cs="Arial"/>
                <w:b/>
                <w:bCs/>
                <w:i/>
                <w:sz w:val="20"/>
              </w:rPr>
            </w:pPr>
            <m:oMathPara>
              <m:oMathParaPr>
                <m:jc m:val="left"/>
              </m:oMathParaPr>
              <m:oMath>
                <m:sSub>
                  <m:sSubPr>
                    <m:ctrlPr>
                      <w:rPr>
                        <w:rFonts w:ascii="Cambria Math" w:hAnsi="Cambria Math"/>
                        <w:b/>
                        <w:bCs/>
                        <w:i/>
                      </w:rPr>
                    </m:ctrlPr>
                  </m:sSubPr>
                  <m:e>
                    <m:r>
                      <m:rPr>
                        <m:sty m:val="bi"/>
                      </m:rPr>
                      <w:rPr>
                        <w:rFonts w:ascii="Cambria Math" w:hAnsi="Cambria Math"/>
                      </w:rPr>
                      <m:t>FR</m:t>
                    </m:r>
                  </m:e>
                  <m:sub>
                    <m:r>
                      <m:rPr>
                        <m:sty m:val="bi"/>
                      </m:rPr>
                      <w:rPr>
                        <w:rFonts w:ascii="Cambria Math" w:hAnsi="Cambria Math"/>
                      </w:rPr>
                      <m:t>f,i,y</m:t>
                    </m:r>
                  </m:sub>
                </m:sSub>
              </m:oMath>
            </m:oMathPara>
          </w:p>
        </w:tc>
      </w:tr>
      <w:tr w:rsidR="004334D2" w:rsidRPr="0061068C" w14:paraId="2C676FC4" w14:textId="77777777" w:rsidTr="00073748">
        <w:tc>
          <w:tcPr>
            <w:tcW w:w="2405" w:type="dxa"/>
            <w:shd w:val="clear" w:color="auto" w:fill="E6E6E6"/>
          </w:tcPr>
          <w:p w14:paraId="59780790" w14:textId="77777777" w:rsidR="004334D2" w:rsidRPr="0061068C" w:rsidRDefault="004334D2" w:rsidP="00E06D0C">
            <w:pPr>
              <w:spacing w:before="60" w:after="60"/>
              <w:ind w:right="57"/>
              <w:rPr>
                <w:rFonts w:cs="Arial"/>
                <w:sz w:val="20"/>
              </w:rPr>
            </w:pPr>
            <w:r w:rsidRPr="0061068C">
              <w:rPr>
                <w:rFonts w:cs="Arial"/>
                <w:sz w:val="20"/>
              </w:rPr>
              <w:t>Description</w:t>
            </w:r>
          </w:p>
        </w:tc>
        <w:tc>
          <w:tcPr>
            <w:tcW w:w="6946" w:type="dxa"/>
            <w:gridSpan w:val="4"/>
          </w:tcPr>
          <w:p w14:paraId="6CC7146C" w14:textId="0AD3C410" w:rsidR="004334D2" w:rsidRPr="001C34AC" w:rsidRDefault="001C34AC" w:rsidP="00E06D0C">
            <w:pPr>
              <w:spacing w:before="60" w:after="60"/>
              <w:ind w:right="57"/>
              <w:rPr>
                <w:rFonts w:cs="Arial"/>
                <w:sz w:val="20"/>
              </w:rPr>
            </w:pPr>
            <w:r w:rsidRPr="001C34AC">
              <w:rPr>
                <w:sz w:val="20"/>
              </w:rPr>
              <w:t xml:space="preserve">Total mass of freight transported in vehicle class </w:t>
            </w:r>
            <w:r w:rsidRPr="001C34AC">
              <w:rPr>
                <w:i/>
                <w:iCs/>
                <w:sz w:val="20"/>
              </w:rPr>
              <w:t>i</w:t>
            </w:r>
            <w:r w:rsidRPr="001C34AC">
              <w:rPr>
                <w:sz w:val="20"/>
              </w:rPr>
              <w:t xml:space="preserve"> and freight transportation activity</w:t>
            </w:r>
            <w:r w:rsidR="00744658">
              <w:rPr>
                <w:sz w:val="20"/>
              </w:rPr>
              <w:t> </w:t>
            </w:r>
            <w:r w:rsidRPr="001C34AC">
              <w:rPr>
                <w:i/>
                <w:iCs/>
                <w:sz w:val="20"/>
              </w:rPr>
              <w:t>f</w:t>
            </w:r>
            <w:r w:rsidRPr="001C34AC">
              <w:rPr>
                <w:sz w:val="20"/>
              </w:rPr>
              <w:t xml:space="preserve"> in year</w:t>
            </w:r>
            <w:r w:rsidR="00744658">
              <w:rPr>
                <w:sz w:val="20"/>
              </w:rPr>
              <w:t> </w:t>
            </w:r>
            <w:r w:rsidRPr="001C34AC">
              <w:rPr>
                <w:i/>
                <w:iCs/>
                <w:sz w:val="20"/>
              </w:rPr>
              <w:t>y</w:t>
            </w:r>
          </w:p>
        </w:tc>
      </w:tr>
      <w:tr w:rsidR="004334D2" w:rsidRPr="00131981" w14:paraId="26A376A3" w14:textId="77777777" w:rsidTr="00073748">
        <w:tc>
          <w:tcPr>
            <w:tcW w:w="2405" w:type="dxa"/>
            <w:shd w:val="clear" w:color="auto" w:fill="E6E6E6"/>
          </w:tcPr>
          <w:p w14:paraId="173787D9" w14:textId="77777777" w:rsidR="004334D2" w:rsidRPr="00131981" w:rsidRDefault="004334D2" w:rsidP="00E06D0C">
            <w:pPr>
              <w:spacing w:before="60" w:after="60"/>
              <w:ind w:right="57"/>
              <w:rPr>
                <w:rFonts w:cs="Arial"/>
                <w:sz w:val="20"/>
              </w:rPr>
            </w:pPr>
            <w:r w:rsidRPr="00131981">
              <w:rPr>
                <w:rFonts w:cs="Arial"/>
                <w:sz w:val="20"/>
              </w:rPr>
              <w:t>Data unit</w:t>
            </w:r>
          </w:p>
        </w:tc>
        <w:tc>
          <w:tcPr>
            <w:tcW w:w="6946" w:type="dxa"/>
            <w:gridSpan w:val="4"/>
          </w:tcPr>
          <w:p w14:paraId="48635AE9" w14:textId="77777777" w:rsidR="004334D2" w:rsidRPr="0038485B" w:rsidRDefault="004334D2" w:rsidP="00E06D0C">
            <w:pPr>
              <w:spacing w:before="60" w:after="60"/>
              <w:ind w:right="57"/>
              <w:rPr>
                <w:rFonts w:cs="Arial"/>
                <w:sz w:val="20"/>
              </w:rPr>
            </w:pPr>
            <w:r>
              <w:rPr>
                <w:sz w:val="20"/>
              </w:rPr>
              <w:t>Tonnes</w:t>
            </w:r>
          </w:p>
        </w:tc>
      </w:tr>
      <w:tr w:rsidR="004334D2" w:rsidRPr="00131981" w14:paraId="4ABC0C6D" w14:textId="77777777" w:rsidTr="00073748">
        <w:tc>
          <w:tcPr>
            <w:tcW w:w="2405" w:type="dxa"/>
            <w:shd w:val="clear" w:color="auto" w:fill="E6E6E6"/>
          </w:tcPr>
          <w:p w14:paraId="680B0475" w14:textId="77777777" w:rsidR="004334D2" w:rsidRPr="00131981" w:rsidRDefault="004334D2" w:rsidP="00E06D0C">
            <w:pPr>
              <w:spacing w:before="60" w:after="60"/>
              <w:ind w:right="57"/>
              <w:rPr>
                <w:rFonts w:cs="Arial"/>
                <w:sz w:val="20"/>
              </w:rPr>
            </w:pPr>
            <w:r w:rsidRPr="00131981">
              <w:rPr>
                <w:rFonts w:cs="Arial"/>
                <w:sz w:val="20"/>
              </w:rPr>
              <w:t>Equations referred</w:t>
            </w:r>
          </w:p>
        </w:tc>
        <w:tc>
          <w:tcPr>
            <w:tcW w:w="6946" w:type="dxa"/>
            <w:gridSpan w:val="4"/>
          </w:tcPr>
          <w:p w14:paraId="09B6F405" w14:textId="307D0B9A" w:rsidR="004334D2" w:rsidRPr="0038485B" w:rsidRDefault="00A35013" w:rsidP="00E06D0C">
            <w:pPr>
              <w:spacing w:before="60" w:after="60"/>
              <w:ind w:right="57"/>
              <w:rPr>
                <w:rFonts w:cs="Arial"/>
                <w:sz w:val="20"/>
              </w:rPr>
            </w:pPr>
            <w:r>
              <w:rPr>
                <w:rFonts w:cs="Arial"/>
                <w:sz w:val="20"/>
              </w:rPr>
              <w:t>(</w:t>
            </w:r>
            <w:r w:rsidR="00B6394F">
              <w:rPr>
                <w:rFonts w:cs="Arial"/>
                <w:sz w:val="20"/>
              </w:rPr>
              <w:t>52</w:t>
            </w:r>
            <w:r>
              <w:rPr>
                <w:rFonts w:cs="Arial"/>
                <w:sz w:val="20"/>
              </w:rPr>
              <w:t>)</w:t>
            </w:r>
          </w:p>
        </w:tc>
      </w:tr>
      <w:tr w:rsidR="004334D2" w:rsidRPr="00131981" w14:paraId="0CA6B402" w14:textId="77777777" w:rsidTr="00073748">
        <w:tc>
          <w:tcPr>
            <w:tcW w:w="2405" w:type="dxa"/>
            <w:shd w:val="clear" w:color="auto" w:fill="E6E6E6"/>
          </w:tcPr>
          <w:p w14:paraId="2B359CAC" w14:textId="77777777" w:rsidR="004334D2" w:rsidRPr="00131981" w:rsidRDefault="004334D2" w:rsidP="00E06D0C">
            <w:pPr>
              <w:spacing w:before="60" w:after="60"/>
              <w:ind w:right="57"/>
              <w:rPr>
                <w:rFonts w:cs="Arial"/>
                <w:sz w:val="20"/>
              </w:rPr>
            </w:pPr>
            <w:r w:rsidRPr="00131981">
              <w:rPr>
                <w:rFonts w:cs="Arial"/>
                <w:sz w:val="20"/>
              </w:rPr>
              <w:t>Purpose of data</w:t>
            </w:r>
          </w:p>
        </w:tc>
        <w:tc>
          <w:tcPr>
            <w:tcW w:w="2415" w:type="dxa"/>
            <w:gridSpan w:val="2"/>
          </w:tcPr>
          <w:p w14:paraId="42C83B9D" w14:textId="77777777" w:rsidR="004334D2" w:rsidRPr="00131981" w:rsidRDefault="004334D2" w:rsidP="00E06D0C">
            <w:pPr>
              <w:tabs>
                <w:tab w:val="left" w:pos="121"/>
              </w:tabs>
              <w:spacing w:before="60" w:after="60"/>
              <w:ind w:right="159"/>
              <w:rPr>
                <w:rFonts w:cs="Arial"/>
                <w:sz w:val="20"/>
              </w:rPr>
            </w:pPr>
            <w:r>
              <w:rPr>
                <w:rFonts w:cs="Arial"/>
                <w:sz w:val="20"/>
              </w:rPr>
              <w:fldChar w:fldCharType="begin">
                <w:ffData>
                  <w:name w:val=""/>
                  <w:enabled/>
                  <w:calcOnExit w:val="0"/>
                  <w:checkBox>
                    <w:size w:val="20"/>
                    <w:default w:val="0"/>
                  </w:checkBox>
                </w:ffData>
              </w:fldChar>
            </w:r>
            <w:r>
              <w:rPr>
                <w:rFonts w:cs="Arial"/>
                <w:sz w:val="20"/>
              </w:rPr>
              <w:instrText xml:space="preserve"> FORMCHECKBOX </w:instrText>
            </w:r>
            <w:r w:rsidR="00302468">
              <w:rPr>
                <w:rFonts w:cs="Arial"/>
                <w:sz w:val="20"/>
              </w:rPr>
            </w:r>
            <w:r w:rsidR="00302468">
              <w:rPr>
                <w:rFonts w:cs="Arial"/>
                <w:sz w:val="20"/>
              </w:rPr>
              <w:fldChar w:fldCharType="separate"/>
            </w:r>
            <w:r>
              <w:rPr>
                <w:rFonts w:cs="Arial"/>
                <w:sz w:val="20"/>
              </w:rPr>
              <w:fldChar w:fldCharType="end"/>
            </w:r>
            <w:r w:rsidRPr="00E564B0">
              <w:rPr>
                <w:rFonts w:cs="Arial"/>
                <w:sz w:val="20"/>
              </w:rPr>
              <w:t xml:space="preserve"> Baseline emissions</w:t>
            </w:r>
          </w:p>
        </w:tc>
        <w:tc>
          <w:tcPr>
            <w:tcW w:w="2410" w:type="dxa"/>
          </w:tcPr>
          <w:p w14:paraId="16A3DAAB" w14:textId="0AB8C526" w:rsidR="004334D2" w:rsidRPr="00131981" w:rsidRDefault="004334D2" w:rsidP="00E06D0C">
            <w:pPr>
              <w:tabs>
                <w:tab w:val="left" w:pos="121"/>
              </w:tabs>
              <w:spacing w:before="60" w:after="60"/>
              <w:ind w:right="159"/>
              <w:rPr>
                <w:rFonts w:cs="Arial"/>
                <w:sz w:val="20"/>
              </w:rPr>
            </w:pPr>
            <w:r>
              <w:rPr>
                <w:rFonts w:cs="Arial"/>
                <w:sz w:val="20"/>
              </w:rPr>
              <w:fldChar w:fldCharType="begin">
                <w:ffData>
                  <w:name w:val=""/>
                  <w:enabled/>
                  <w:calcOnExit w:val="0"/>
                  <w:checkBox>
                    <w:size w:val="20"/>
                    <w:default w:val="1"/>
                  </w:checkBox>
                </w:ffData>
              </w:fldChar>
            </w:r>
            <w:r>
              <w:rPr>
                <w:rFonts w:cs="Arial"/>
                <w:sz w:val="20"/>
              </w:rPr>
              <w:instrText xml:space="preserve"> FORMCHECKBOX </w:instrText>
            </w:r>
            <w:r w:rsidR="00302468">
              <w:rPr>
                <w:rFonts w:cs="Arial"/>
                <w:sz w:val="20"/>
              </w:rPr>
            </w:r>
            <w:r w:rsidR="00302468">
              <w:rPr>
                <w:rFonts w:cs="Arial"/>
                <w:sz w:val="20"/>
              </w:rPr>
              <w:fldChar w:fldCharType="separate"/>
            </w:r>
            <w:r>
              <w:rPr>
                <w:rFonts w:cs="Arial"/>
                <w:sz w:val="20"/>
              </w:rPr>
              <w:fldChar w:fldCharType="end"/>
            </w:r>
            <w:r w:rsidRPr="00E564B0">
              <w:rPr>
                <w:rFonts w:cs="Arial"/>
                <w:sz w:val="20"/>
              </w:rPr>
              <w:t xml:space="preserve"> </w:t>
            </w:r>
            <w:r w:rsidR="005704AC">
              <w:rPr>
                <w:rFonts w:cs="Arial"/>
                <w:sz w:val="20"/>
              </w:rPr>
              <w:t>Project emissions</w:t>
            </w:r>
          </w:p>
        </w:tc>
        <w:tc>
          <w:tcPr>
            <w:tcW w:w="2121" w:type="dxa"/>
          </w:tcPr>
          <w:p w14:paraId="2708836D" w14:textId="77777777" w:rsidR="004334D2" w:rsidRPr="00131981" w:rsidRDefault="004334D2" w:rsidP="00E06D0C">
            <w:pPr>
              <w:tabs>
                <w:tab w:val="left" w:pos="121"/>
              </w:tabs>
              <w:spacing w:before="60" w:after="60"/>
              <w:ind w:right="159"/>
              <w:rPr>
                <w:rFonts w:cs="Arial"/>
                <w:sz w:val="20"/>
              </w:rPr>
            </w:pPr>
            <w:r w:rsidRPr="00E564B0">
              <w:rPr>
                <w:rFonts w:cs="Arial"/>
                <w:sz w:val="20"/>
              </w:rPr>
              <w:fldChar w:fldCharType="begin">
                <w:ffData>
                  <w:name w:val="Check2"/>
                  <w:enabled/>
                  <w:calcOnExit w:val="0"/>
                  <w:checkBox>
                    <w:size w:val="20"/>
                    <w:default w:val="0"/>
                  </w:checkBox>
                </w:ffData>
              </w:fldChar>
            </w:r>
            <w:r w:rsidRPr="00E564B0">
              <w:rPr>
                <w:rFonts w:cs="Arial"/>
                <w:sz w:val="20"/>
              </w:rPr>
              <w:instrText xml:space="preserve"> FORMCHECKBOX </w:instrText>
            </w:r>
            <w:r w:rsidR="00302468">
              <w:rPr>
                <w:rFonts w:cs="Arial"/>
                <w:sz w:val="20"/>
              </w:rPr>
            </w:r>
            <w:r w:rsidR="00302468">
              <w:rPr>
                <w:rFonts w:cs="Arial"/>
                <w:sz w:val="20"/>
              </w:rPr>
              <w:fldChar w:fldCharType="separate"/>
            </w:r>
            <w:r w:rsidRPr="00E564B0">
              <w:rPr>
                <w:rFonts w:cs="Arial"/>
                <w:sz w:val="20"/>
              </w:rPr>
              <w:fldChar w:fldCharType="end"/>
            </w:r>
            <w:r w:rsidRPr="00E564B0">
              <w:rPr>
                <w:rFonts w:cs="Arial"/>
                <w:sz w:val="20"/>
              </w:rPr>
              <w:t xml:space="preserve"> Leakage emissions</w:t>
            </w:r>
          </w:p>
        </w:tc>
      </w:tr>
      <w:tr w:rsidR="004334D2" w:rsidRPr="00131981" w14:paraId="037189FC" w14:textId="77777777" w:rsidTr="00073748">
        <w:tc>
          <w:tcPr>
            <w:tcW w:w="2405" w:type="dxa"/>
            <w:shd w:val="clear" w:color="auto" w:fill="E6E6E6"/>
          </w:tcPr>
          <w:p w14:paraId="7254682C" w14:textId="77777777" w:rsidR="004334D2" w:rsidRPr="00131981" w:rsidRDefault="004334D2" w:rsidP="00E06D0C">
            <w:pPr>
              <w:spacing w:before="60" w:after="60"/>
              <w:ind w:right="57"/>
              <w:rPr>
                <w:rFonts w:cs="Arial"/>
                <w:sz w:val="20"/>
              </w:rPr>
            </w:pPr>
            <w:r w:rsidRPr="00131981">
              <w:rPr>
                <w:rFonts w:cs="Arial"/>
                <w:sz w:val="20"/>
              </w:rPr>
              <w:t>Measurement methods and procedures</w:t>
            </w:r>
          </w:p>
        </w:tc>
        <w:tc>
          <w:tcPr>
            <w:tcW w:w="6946" w:type="dxa"/>
            <w:gridSpan w:val="4"/>
            <w:vAlign w:val="center"/>
          </w:tcPr>
          <w:p w14:paraId="2B2D49B6" w14:textId="4256D524" w:rsidR="004334D2" w:rsidRPr="00B06D76" w:rsidRDefault="004334D2" w:rsidP="00E06D0C">
            <w:pPr>
              <w:spacing w:before="60" w:after="60"/>
              <w:ind w:right="57"/>
              <w:rPr>
                <w:sz w:val="20"/>
              </w:rPr>
            </w:pPr>
            <w:r w:rsidRPr="0038485B">
              <w:rPr>
                <w:sz w:val="20"/>
              </w:rPr>
              <w:t xml:space="preserve">Determined for each freight </w:t>
            </w:r>
            <w:r>
              <w:rPr>
                <w:sz w:val="20"/>
              </w:rPr>
              <w:t>transported</w:t>
            </w:r>
            <w:r w:rsidR="00744658">
              <w:rPr>
                <w:sz w:val="20"/>
              </w:rPr>
              <w:t> </w:t>
            </w:r>
            <w:r w:rsidRPr="00B06D76">
              <w:rPr>
                <w:sz w:val="20"/>
              </w:rPr>
              <w:t>f</w:t>
            </w:r>
          </w:p>
        </w:tc>
      </w:tr>
      <w:tr w:rsidR="004334D2" w:rsidRPr="00131981" w14:paraId="7EE31363" w14:textId="77777777" w:rsidTr="00073748">
        <w:trPr>
          <w:trHeight w:val="107"/>
        </w:trPr>
        <w:tc>
          <w:tcPr>
            <w:tcW w:w="2405" w:type="dxa"/>
            <w:shd w:val="clear" w:color="auto" w:fill="E6E6E6"/>
          </w:tcPr>
          <w:p w14:paraId="35C74B3C" w14:textId="77777777" w:rsidR="004334D2" w:rsidRPr="00131981" w:rsidRDefault="004334D2" w:rsidP="00E06D0C">
            <w:pPr>
              <w:spacing w:before="60" w:after="60"/>
              <w:ind w:right="57"/>
              <w:rPr>
                <w:rFonts w:cs="Arial"/>
                <w:sz w:val="20"/>
              </w:rPr>
            </w:pPr>
            <w:r w:rsidRPr="00131981">
              <w:rPr>
                <w:rFonts w:cs="Arial"/>
                <w:sz w:val="20"/>
              </w:rPr>
              <w:t>Entity/person responsible for the measurement</w:t>
            </w:r>
          </w:p>
        </w:tc>
        <w:tc>
          <w:tcPr>
            <w:tcW w:w="6946" w:type="dxa"/>
            <w:gridSpan w:val="4"/>
          </w:tcPr>
          <w:p w14:paraId="399E0999" w14:textId="77777777" w:rsidR="004334D2" w:rsidRPr="00B06D76" w:rsidRDefault="004334D2" w:rsidP="00E06D0C">
            <w:pPr>
              <w:spacing w:before="60" w:after="60"/>
              <w:ind w:right="57"/>
              <w:rPr>
                <w:sz w:val="20"/>
              </w:rPr>
            </w:pPr>
            <w:r w:rsidRPr="00B06D76">
              <w:rPr>
                <w:sz w:val="20"/>
              </w:rPr>
              <w:t>Activity participants or vehicle operator (if the trucks are not owned by the activity participants)</w:t>
            </w:r>
          </w:p>
        </w:tc>
      </w:tr>
      <w:tr w:rsidR="004334D2" w:rsidRPr="00131981" w14:paraId="4BE58E14" w14:textId="77777777" w:rsidTr="00073748">
        <w:trPr>
          <w:trHeight w:val="107"/>
        </w:trPr>
        <w:tc>
          <w:tcPr>
            <w:tcW w:w="2405" w:type="dxa"/>
            <w:vMerge w:val="restart"/>
            <w:shd w:val="clear" w:color="auto" w:fill="E6E6E6"/>
          </w:tcPr>
          <w:p w14:paraId="686BB0E0" w14:textId="77777777" w:rsidR="004334D2" w:rsidRPr="00131981" w:rsidRDefault="004334D2" w:rsidP="00E06D0C">
            <w:pPr>
              <w:spacing w:before="60" w:after="60"/>
              <w:ind w:right="57"/>
              <w:rPr>
                <w:rFonts w:cs="Arial"/>
                <w:sz w:val="20"/>
              </w:rPr>
            </w:pPr>
            <w:r w:rsidRPr="00131981">
              <w:rPr>
                <w:rFonts w:cs="Arial"/>
                <w:sz w:val="20"/>
              </w:rPr>
              <w:t>Measuring instrument(s)</w:t>
            </w:r>
          </w:p>
        </w:tc>
        <w:tc>
          <w:tcPr>
            <w:tcW w:w="1755" w:type="dxa"/>
          </w:tcPr>
          <w:p w14:paraId="066D8195" w14:textId="77777777" w:rsidR="004334D2" w:rsidRPr="0038485B" w:rsidRDefault="004334D2" w:rsidP="00E06D0C">
            <w:pPr>
              <w:spacing w:before="60" w:after="60"/>
              <w:ind w:left="142" w:right="57"/>
              <w:jc w:val="right"/>
              <w:rPr>
                <w:rFonts w:cs="Arial"/>
                <w:i/>
                <w:iCs/>
                <w:sz w:val="20"/>
              </w:rPr>
            </w:pPr>
            <w:r w:rsidRPr="0038485B">
              <w:rPr>
                <w:rFonts w:cs="Arial"/>
                <w:i/>
                <w:iCs/>
                <w:sz w:val="20"/>
              </w:rPr>
              <w:t>Type of instrument</w:t>
            </w:r>
          </w:p>
        </w:tc>
        <w:tc>
          <w:tcPr>
            <w:tcW w:w="5191" w:type="dxa"/>
            <w:gridSpan w:val="3"/>
          </w:tcPr>
          <w:p w14:paraId="3210DC70" w14:textId="77777777" w:rsidR="004334D2" w:rsidRPr="00B06D76" w:rsidRDefault="004334D2" w:rsidP="00E06D0C">
            <w:pPr>
              <w:spacing w:before="60" w:after="60"/>
              <w:ind w:right="57"/>
              <w:rPr>
                <w:sz w:val="20"/>
              </w:rPr>
            </w:pPr>
            <w:r w:rsidRPr="00B06D76">
              <w:rPr>
                <w:sz w:val="20"/>
              </w:rPr>
              <w:t>N/A</w:t>
            </w:r>
          </w:p>
        </w:tc>
      </w:tr>
      <w:tr w:rsidR="004334D2" w:rsidRPr="00131981" w14:paraId="07B0EFB4" w14:textId="77777777" w:rsidTr="00073748">
        <w:trPr>
          <w:trHeight w:val="104"/>
        </w:trPr>
        <w:tc>
          <w:tcPr>
            <w:tcW w:w="2405" w:type="dxa"/>
            <w:vMerge/>
          </w:tcPr>
          <w:p w14:paraId="4088637E" w14:textId="77777777" w:rsidR="004334D2" w:rsidRPr="00131981" w:rsidRDefault="004334D2" w:rsidP="00E06D0C">
            <w:pPr>
              <w:spacing w:before="60" w:after="60"/>
              <w:ind w:right="57"/>
              <w:rPr>
                <w:rFonts w:cs="Arial"/>
                <w:sz w:val="20"/>
              </w:rPr>
            </w:pPr>
          </w:p>
        </w:tc>
        <w:tc>
          <w:tcPr>
            <w:tcW w:w="1755" w:type="dxa"/>
          </w:tcPr>
          <w:p w14:paraId="4B5DA487" w14:textId="77777777" w:rsidR="004334D2" w:rsidRPr="0038485B" w:rsidRDefault="004334D2" w:rsidP="00E06D0C">
            <w:pPr>
              <w:spacing w:before="60" w:after="60"/>
              <w:ind w:left="142" w:right="57"/>
              <w:jc w:val="right"/>
              <w:rPr>
                <w:rFonts w:cs="Arial"/>
                <w:i/>
                <w:iCs/>
                <w:sz w:val="20"/>
              </w:rPr>
            </w:pPr>
            <w:r w:rsidRPr="0038485B">
              <w:rPr>
                <w:rFonts w:cs="Arial"/>
                <w:i/>
                <w:iCs/>
                <w:sz w:val="20"/>
              </w:rPr>
              <w:t>Accuracy class</w:t>
            </w:r>
          </w:p>
        </w:tc>
        <w:tc>
          <w:tcPr>
            <w:tcW w:w="5191" w:type="dxa"/>
            <w:gridSpan w:val="3"/>
          </w:tcPr>
          <w:p w14:paraId="627D9B05" w14:textId="77777777" w:rsidR="004334D2" w:rsidRPr="00B06D76" w:rsidRDefault="004334D2" w:rsidP="00E06D0C">
            <w:pPr>
              <w:spacing w:before="60" w:after="60"/>
              <w:ind w:right="57"/>
              <w:rPr>
                <w:sz w:val="20"/>
              </w:rPr>
            </w:pPr>
            <w:r w:rsidRPr="00B06D76">
              <w:rPr>
                <w:sz w:val="20"/>
              </w:rPr>
              <w:t>N/A</w:t>
            </w:r>
          </w:p>
        </w:tc>
      </w:tr>
      <w:tr w:rsidR="004334D2" w:rsidRPr="00131981" w14:paraId="2D6CEC8B" w14:textId="77777777" w:rsidTr="00073748">
        <w:trPr>
          <w:trHeight w:val="104"/>
        </w:trPr>
        <w:tc>
          <w:tcPr>
            <w:tcW w:w="2405" w:type="dxa"/>
            <w:vMerge/>
          </w:tcPr>
          <w:p w14:paraId="29E87A8C" w14:textId="77777777" w:rsidR="004334D2" w:rsidRPr="00131981" w:rsidRDefault="004334D2" w:rsidP="00E06D0C">
            <w:pPr>
              <w:spacing w:before="60" w:after="60"/>
              <w:ind w:right="57"/>
              <w:rPr>
                <w:rFonts w:cs="Arial"/>
                <w:sz w:val="20"/>
              </w:rPr>
            </w:pPr>
          </w:p>
        </w:tc>
        <w:tc>
          <w:tcPr>
            <w:tcW w:w="1755" w:type="dxa"/>
          </w:tcPr>
          <w:p w14:paraId="56B22280" w14:textId="77777777" w:rsidR="004334D2" w:rsidRPr="0038485B" w:rsidRDefault="004334D2" w:rsidP="00E06D0C">
            <w:pPr>
              <w:spacing w:before="60" w:after="60"/>
              <w:ind w:left="142" w:right="57"/>
              <w:jc w:val="right"/>
              <w:rPr>
                <w:rFonts w:cs="Arial"/>
                <w:i/>
                <w:iCs/>
                <w:sz w:val="20"/>
              </w:rPr>
            </w:pPr>
            <w:r w:rsidRPr="0038485B">
              <w:rPr>
                <w:rFonts w:cs="Arial"/>
                <w:i/>
                <w:iCs/>
                <w:sz w:val="20"/>
              </w:rPr>
              <w:t>Calibration requirements</w:t>
            </w:r>
          </w:p>
        </w:tc>
        <w:tc>
          <w:tcPr>
            <w:tcW w:w="5191" w:type="dxa"/>
            <w:gridSpan w:val="3"/>
          </w:tcPr>
          <w:p w14:paraId="0AE279F2" w14:textId="77777777" w:rsidR="004334D2" w:rsidRPr="00B06D76" w:rsidRDefault="004334D2" w:rsidP="00E06D0C">
            <w:pPr>
              <w:spacing w:before="60" w:after="60"/>
              <w:ind w:right="57"/>
              <w:rPr>
                <w:sz w:val="20"/>
              </w:rPr>
            </w:pPr>
            <w:r w:rsidRPr="00B06D76">
              <w:rPr>
                <w:sz w:val="20"/>
              </w:rPr>
              <w:t>N/A</w:t>
            </w:r>
          </w:p>
        </w:tc>
      </w:tr>
      <w:tr w:rsidR="004334D2" w:rsidRPr="00131981" w14:paraId="351F3714" w14:textId="77777777" w:rsidTr="00073748">
        <w:trPr>
          <w:trHeight w:val="104"/>
        </w:trPr>
        <w:tc>
          <w:tcPr>
            <w:tcW w:w="2405" w:type="dxa"/>
            <w:vMerge/>
          </w:tcPr>
          <w:p w14:paraId="46BB49BE" w14:textId="77777777" w:rsidR="004334D2" w:rsidRPr="00131981" w:rsidRDefault="004334D2" w:rsidP="00E06D0C">
            <w:pPr>
              <w:spacing w:before="60" w:after="60"/>
              <w:ind w:right="57"/>
              <w:rPr>
                <w:rFonts w:cs="Arial"/>
                <w:sz w:val="20"/>
              </w:rPr>
            </w:pPr>
          </w:p>
        </w:tc>
        <w:tc>
          <w:tcPr>
            <w:tcW w:w="1755" w:type="dxa"/>
          </w:tcPr>
          <w:p w14:paraId="1A08CF2C" w14:textId="77777777" w:rsidR="004334D2" w:rsidRPr="0038485B" w:rsidRDefault="004334D2" w:rsidP="00E06D0C">
            <w:pPr>
              <w:spacing w:before="60" w:after="60"/>
              <w:ind w:left="142" w:right="57"/>
              <w:jc w:val="right"/>
              <w:rPr>
                <w:rFonts w:cs="Arial"/>
                <w:i/>
                <w:iCs/>
                <w:sz w:val="20"/>
              </w:rPr>
            </w:pPr>
            <w:r w:rsidRPr="0038485B">
              <w:rPr>
                <w:rFonts w:cs="Arial"/>
                <w:i/>
                <w:iCs/>
                <w:sz w:val="20"/>
              </w:rPr>
              <w:t>Location</w:t>
            </w:r>
          </w:p>
        </w:tc>
        <w:tc>
          <w:tcPr>
            <w:tcW w:w="5191" w:type="dxa"/>
            <w:gridSpan w:val="3"/>
          </w:tcPr>
          <w:p w14:paraId="5F0099F5" w14:textId="77777777" w:rsidR="004334D2" w:rsidRPr="00B06D76" w:rsidRDefault="004334D2" w:rsidP="00E06D0C">
            <w:pPr>
              <w:spacing w:before="60" w:after="60"/>
              <w:ind w:right="57"/>
              <w:rPr>
                <w:sz w:val="20"/>
              </w:rPr>
            </w:pPr>
            <w:r w:rsidRPr="00B06D76">
              <w:rPr>
                <w:sz w:val="20"/>
              </w:rPr>
              <w:t>N/A</w:t>
            </w:r>
          </w:p>
        </w:tc>
      </w:tr>
      <w:tr w:rsidR="004334D2" w:rsidRPr="00131981" w14:paraId="7CF1C774" w14:textId="77777777" w:rsidTr="00073748">
        <w:tc>
          <w:tcPr>
            <w:tcW w:w="2405" w:type="dxa"/>
            <w:shd w:val="clear" w:color="auto" w:fill="E6E6E6"/>
          </w:tcPr>
          <w:p w14:paraId="0990C366" w14:textId="77777777" w:rsidR="004334D2" w:rsidRPr="00131981" w:rsidRDefault="004334D2" w:rsidP="00E06D0C">
            <w:pPr>
              <w:spacing w:before="60" w:after="60"/>
              <w:ind w:right="57"/>
              <w:rPr>
                <w:rFonts w:cs="Arial"/>
                <w:sz w:val="20"/>
              </w:rPr>
            </w:pPr>
            <w:r w:rsidRPr="00131981">
              <w:rPr>
                <w:rFonts w:cs="Arial"/>
                <w:sz w:val="20"/>
              </w:rPr>
              <w:t>Measurement intervals</w:t>
            </w:r>
          </w:p>
        </w:tc>
        <w:tc>
          <w:tcPr>
            <w:tcW w:w="6946" w:type="dxa"/>
            <w:gridSpan w:val="4"/>
          </w:tcPr>
          <w:p w14:paraId="11A4DE53" w14:textId="77777777" w:rsidR="004334D2" w:rsidRPr="00B06D76" w:rsidRDefault="004334D2" w:rsidP="00E06D0C">
            <w:pPr>
              <w:spacing w:before="60" w:after="60"/>
              <w:ind w:right="57"/>
              <w:rPr>
                <w:sz w:val="20"/>
              </w:rPr>
            </w:pPr>
            <w:r w:rsidRPr="00B06D76">
              <w:rPr>
                <w:sz w:val="20"/>
              </w:rPr>
              <w:t>Continuously</w:t>
            </w:r>
          </w:p>
        </w:tc>
      </w:tr>
      <w:tr w:rsidR="004334D2" w:rsidRPr="00131981" w14:paraId="087CBDBD" w14:textId="77777777" w:rsidTr="00073748">
        <w:tc>
          <w:tcPr>
            <w:tcW w:w="2405" w:type="dxa"/>
            <w:shd w:val="clear" w:color="auto" w:fill="E6E6E6"/>
          </w:tcPr>
          <w:p w14:paraId="627D9AE9" w14:textId="77777777" w:rsidR="004334D2" w:rsidRPr="00131981" w:rsidRDefault="004334D2" w:rsidP="00E06D0C">
            <w:pPr>
              <w:spacing w:before="60" w:after="60"/>
              <w:ind w:right="57"/>
              <w:rPr>
                <w:rFonts w:cs="Arial"/>
                <w:sz w:val="20"/>
              </w:rPr>
            </w:pPr>
            <w:r w:rsidRPr="00131981">
              <w:rPr>
                <w:rFonts w:cs="Arial"/>
                <w:sz w:val="20"/>
              </w:rPr>
              <w:t>QA/QC procedures</w:t>
            </w:r>
          </w:p>
        </w:tc>
        <w:tc>
          <w:tcPr>
            <w:tcW w:w="6946" w:type="dxa"/>
            <w:gridSpan w:val="4"/>
          </w:tcPr>
          <w:p w14:paraId="07ACBA89" w14:textId="77777777" w:rsidR="004334D2" w:rsidRPr="00B06D76" w:rsidRDefault="004334D2" w:rsidP="00E06D0C">
            <w:pPr>
              <w:spacing w:before="60" w:after="60"/>
              <w:ind w:right="57"/>
              <w:rPr>
                <w:sz w:val="20"/>
              </w:rPr>
            </w:pPr>
          </w:p>
        </w:tc>
      </w:tr>
      <w:tr w:rsidR="004334D2" w:rsidRPr="00131981" w14:paraId="752E9BDB" w14:textId="77777777" w:rsidTr="00073748">
        <w:tc>
          <w:tcPr>
            <w:tcW w:w="2405" w:type="dxa"/>
            <w:shd w:val="clear" w:color="auto" w:fill="E6E6E6"/>
          </w:tcPr>
          <w:p w14:paraId="3487B654" w14:textId="77777777" w:rsidR="004334D2" w:rsidRPr="00131981" w:rsidRDefault="004334D2" w:rsidP="00E06D0C">
            <w:pPr>
              <w:spacing w:before="60" w:after="60"/>
              <w:ind w:right="57"/>
              <w:jc w:val="left"/>
              <w:rPr>
                <w:rFonts w:cs="Arial"/>
                <w:sz w:val="20"/>
              </w:rPr>
            </w:pPr>
            <w:r>
              <w:rPr>
                <w:rFonts w:cs="Arial"/>
                <w:sz w:val="20"/>
              </w:rPr>
              <w:t>Treatment of uncertainties</w:t>
            </w:r>
          </w:p>
        </w:tc>
        <w:tc>
          <w:tcPr>
            <w:tcW w:w="6946" w:type="dxa"/>
            <w:gridSpan w:val="4"/>
          </w:tcPr>
          <w:p w14:paraId="556A96F8" w14:textId="77777777" w:rsidR="004334D2" w:rsidRPr="00506FD8" w:rsidRDefault="004334D2" w:rsidP="00E06D0C">
            <w:pPr>
              <w:spacing w:before="60" w:after="60"/>
              <w:ind w:right="57"/>
              <w:rPr>
                <w:rFonts w:cs="Arial"/>
                <w:sz w:val="20"/>
              </w:rPr>
            </w:pPr>
            <w:r w:rsidRPr="00E24B77">
              <w:rPr>
                <w:rFonts w:cs="Arial"/>
                <w:sz w:val="20"/>
              </w:rPr>
              <w:t>Uncertainties are determined based on the measuring instruments</w:t>
            </w:r>
          </w:p>
        </w:tc>
      </w:tr>
      <w:tr w:rsidR="004334D2" w:rsidRPr="00131981" w14:paraId="36B9E36D" w14:textId="77777777" w:rsidTr="00073748">
        <w:tc>
          <w:tcPr>
            <w:tcW w:w="2405" w:type="dxa"/>
            <w:shd w:val="clear" w:color="auto" w:fill="E6E6E6"/>
          </w:tcPr>
          <w:p w14:paraId="181E12C1" w14:textId="77777777" w:rsidR="004334D2" w:rsidRPr="00131981" w:rsidRDefault="004334D2" w:rsidP="00E06D0C">
            <w:pPr>
              <w:spacing w:before="60" w:after="60"/>
              <w:ind w:right="57"/>
              <w:rPr>
                <w:rFonts w:cs="Arial"/>
                <w:sz w:val="20"/>
              </w:rPr>
            </w:pPr>
            <w:r w:rsidRPr="00131981">
              <w:rPr>
                <w:rFonts w:cs="Arial"/>
                <w:sz w:val="20"/>
              </w:rPr>
              <w:t>Additional comment</w:t>
            </w:r>
          </w:p>
        </w:tc>
        <w:tc>
          <w:tcPr>
            <w:tcW w:w="6946" w:type="dxa"/>
            <w:gridSpan w:val="4"/>
          </w:tcPr>
          <w:p w14:paraId="54C222B2" w14:textId="77777777" w:rsidR="004334D2" w:rsidRPr="00B06D76" w:rsidRDefault="004334D2" w:rsidP="00E06D0C">
            <w:pPr>
              <w:spacing w:before="60" w:after="60"/>
              <w:ind w:right="57"/>
              <w:rPr>
                <w:sz w:val="20"/>
              </w:rPr>
            </w:pPr>
          </w:p>
        </w:tc>
      </w:tr>
    </w:tbl>
    <w:p w14:paraId="1456A17F" w14:textId="6F90B5C6"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25</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43"/>
        <w:gridCol w:w="1179"/>
        <w:gridCol w:w="1164"/>
        <w:gridCol w:w="2060"/>
      </w:tblGrid>
      <w:tr w:rsidR="004334D2" w:rsidRPr="00AE7BE8" w14:paraId="02894E69" w14:textId="77777777" w:rsidTr="00073748">
        <w:tc>
          <w:tcPr>
            <w:tcW w:w="2405" w:type="dxa"/>
            <w:shd w:val="clear" w:color="auto" w:fill="E6E6E6"/>
          </w:tcPr>
          <w:p w14:paraId="5A7E30E5"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36269E07" w14:textId="77777777" w:rsidR="004334D2" w:rsidRPr="00B1555B" w:rsidRDefault="00302468" w:rsidP="00E06D0C">
            <w:pPr>
              <w:pStyle w:val="ParaTickBox"/>
              <w:tabs>
                <w:tab w:val="clear" w:pos="510"/>
              </w:tabs>
              <w:ind w:left="0" w:right="57" w:firstLine="0"/>
              <w:rPr>
                <w:b/>
                <w:bCs/>
                <w:i/>
                <w:szCs w:val="20"/>
              </w:rPr>
            </w:pPr>
            <m:oMathPara>
              <m:oMathParaPr>
                <m:jc m:val="left"/>
              </m:oMathParaPr>
              <m:oMath>
                <m:sSub>
                  <m:sSubPr>
                    <m:ctrlPr>
                      <w:rPr>
                        <w:rFonts w:ascii="Cambria Math" w:hAnsi="Cambria Math"/>
                        <w:b/>
                        <w:bCs/>
                        <w:i/>
                      </w:rPr>
                    </m:ctrlPr>
                  </m:sSubPr>
                  <m:e>
                    <m:r>
                      <m:rPr>
                        <m:sty m:val="bi"/>
                      </m:rPr>
                      <w:rPr>
                        <w:rFonts w:ascii="Cambria Math" w:hAnsi="Cambria Math"/>
                      </w:rPr>
                      <m:t>w</m:t>
                    </m:r>
                  </m:e>
                  <m:sub>
                    <m:r>
                      <m:rPr>
                        <m:sty m:val="bi"/>
                      </m:rPr>
                      <w:rPr>
                        <w:rFonts w:ascii="Cambria Math" w:hAnsi="Cambria Math"/>
                      </w:rPr>
                      <m:t>c,i,y</m:t>
                    </m:r>
                  </m:sub>
                </m:sSub>
              </m:oMath>
            </m:oMathPara>
          </w:p>
        </w:tc>
      </w:tr>
      <w:tr w:rsidR="004334D2" w:rsidRPr="00AE7BE8" w14:paraId="0C5AD5FF" w14:textId="77777777" w:rsidTr="00073748">
        <w:tc>
          <w:tcPr>
            <w:tcW w:w="2405" w:type="dxa"/>
            <w:shd w:val="clear" w:color="auto" w:fill="E6E6E6"/>
          </w:tcPr>
          <w:p w14:paraId="6891B9C8"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46" w:type="dxa"/>
            <w:gridSpan w:val="4"/>
          </w:tcPr>
          <w:p w14:paraId="39910ADF" w14:textId="1A1491F0" w:rsidR="004334D2" w:rsidRPr="00922E91" w:rsidRDefault="00922E91" w:rsidP="00E06D0C">
            <w:pPr>
              <w:pStyle w:val="ParaTickBox"/>
              <w:tabs>
                <w:tab w:val="clear" w:pos="510"/>
              </w:tabs>
              <w:ind w:left="0" w:right="57" w:firstLine="0"/>
              <w:jc w:val="both"/>
              <w:rPr>
                <w:szCs w:val="20"/>
              </w:rPr>
            </w:pPr>
            <w:r w:rsidRPr="00922E91">
              <w:rPr>
                <w:szCs w:val="20"/>
              </w:rPr>
              <w:t>Mass fraction of carbon in fuel type</w:t>
            </w:r>
            <w:r w:rsidR="00744658">
              <w:rPr>
                <w:szCs w:val="20"/>
              </w:rPr>
              <w:t> </w:t>
            </w:r>
            <w:r w:rsidRPr="00922E91">
              <w:rPr>
                <w:i/>
                <w:iCs/>
                <w:szCs w:val="20"/>
              </w:rPr>
              <w:t>i</w:t>
            </w:r>
            <w:r w:rsidRPr="00922E91">
              <w:rPr>
                <w:szCs w:val="20"/>
              </w:rPr>
              <w:t xml:space="preserve"> in year</w:t>
            </w:r>
            <w:r w:rsidR="00744658">
              <w:rPr>
                <w:szCs w:val="20"/>
              </w:rPr>
              <w:t> </w:t>
            </w:r>
            <w:r w:rsidRPr="00922E91">
              <w:rPr>
                <w:i/>
                <w:iCs/>
                <w:szCs w:val="20"/>
              </w:rPr>
              <w:t>y</w:t>
            </w:r>
          </w:p>
        </w:tc>
      </w:tr>
      <w:tr w:rsidR="004334D2" w:rsidRPr="00AE7BE8" w14:paraId="2FE9903D" w14:textId="77777777" w:rsidTr="00073748">
        <w:tc>
          <w:tcPr>
            <w:tcW w:w="2405" w:type="dxa"/>
            <w:shd w:val="clear" w:color="auto" w:fill="E6E6E6"/>
          </w:tcPr>
          <w:p w14:paraId="13D047F8"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46" w:type="dxa"/>
            <w:gridSpan w:val="4"/>
          </w:tcPr>
          <w:p w14:paraId="3865AEA4" w14:textId="773884C5" w:rsidR="004334D2" w:rsidRPr="004C6225" w:rsidRDefault="004334D2" w:rsidP="00E06D0C">
            <w:pPr>
              <w:pStyle w:val="ParaTickBox"/>
              <w:tabs>
                <w:tab w:val="clear" w:pos="510"/>
              </w:tabs>
              <w:ind w:left="0" w:right="57" w:firstLine="0"/>
              <w:jc w:val="both"/>
              <w:rPr>
                <w:szCs w:val="20"/>
              </w:rPr>
            </w:pPr>
            <w:r>
              <w:t>t</w:t>
            </w:r>
            <w:r w:rsidRPr="00922E91">
              <w:rPr>
                <w:vertAlign w:val="subscript"/>
              </w:rPr>
              <w:t>C</w:t>
            </w:r>
            <w:r>
              <w:rPr>
                <w:vertAlign w:val="subscript"/>
              </w:rPr>
              <w:t xml:space="preserve"> </w:t>
            </w:r>
            <w:r>
              <w:t>/mass unit of the fuel</w:t>
            </w:r>
          </w:p>
        </w:tc>
      </w:tr>
      <w:tr w:rsidR="004334D2" w:rsidRPr="00AE7BE8" w14:paraId="3649D0C8" w14:textId="77777777" w:rsidTr="00073748">
        <w:tc>
          <w:tcPr>
            <w:tcW w:w="2405" w:type="dxa"/>
            <w:shd w:val="clear" w:color="auto" w:fill="E6E6E6"/>
          </w:tcPr>
          <w:p w14:paraId="2E4F32A7"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2F56F6E1" w14:textId="0A888D34" w:rsidR="004334D2" w:rsidRPr="004C6225" w:rsidRDefault="00666A6D" w:rsidP="00E06D0C">
            <w:pPr>
              <w:pStyle w:val="ParaTickBox"/>
              <w:tabs>
                <w:tab w:val="clear" w:pos="510"/>
              </w:tabs>
              <w:ind w:left="0" w:right="57" w:firstLine="0"/>
              <w:jc w:val="both"/>
              <w:rPr>
                <w:szCs w:val="20"/>
              </w:rPr>
            </w:pPr>
            <w:r>
              <w:rPr>
                <w:szCs w:val="20"/>
              </w:rPr>
              <w:t>(4</w:t>
            </w:r>
            <w:r w:rsidR="00532364">
              <w:rPr>
                <w:szCs w:val="20"/>
              </w:rPr>
              <w:t>8</w:t>
            </w:r>
            <w:r>
              <w:rPr>
                <w:szCs w:val="20"/>
              </w:rPr>
              <w:t>), (4</w:t>
            </w:r>
            <w:r w:rsidR="00532364">
              <w:rPr>
                <w:szCs w:val="20"/>
              </w:rPr>
              <w:t>9</w:t>
            </w:r>
            <w:r>
              <w:rPr>
                <w:szCs w:val="20"/>
              </w:rPr>
              <w:t>)</w:t>
            </w:r>
          </w:p>
        </w:tc>
      </w:tr>
      <w:tr w:rsidR="004334D2" w:rsidRPr="00AE7BE8" w14:paraId="1A2A067A" w14:textId="77777777" w:rsidTr="00073748">
        <w:tc>
          <w:tcPr>
            <w:tcW w:w="2405" w:type="dxa"/>
            <w:shd w:val="clear" w:color="auto" w:fill="E6E6E6"/>
          </w:tcPr>
          <w:p w14:paraId="48DB6797"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543" w:type="dxa"/>
          </w:tcPr>
          <w:p w14:paraId="2421EB04"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0"/>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4441C627" w14:textId="6D700A0F"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060" w:type="dxa"/>
          </w:tcPr>
          <w:p w14:paraId="2A5BADDF"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0DFE6199" w14:textId="77777777" w:rsidTr="00073748">
        <w:tc>
          <w:tcPr>
            <w:tcW w:w="2405" w:type="dxa"/>
            <w:shd w:val="clear" w:color="auto" w:fill="E6E6E6"/>
          </w:tcPr>
          <w:p w14:paraId="59472E37"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1AC4E127" w14:textId="77777777" w:rsidR="004334D2" w:rsidRPr="00931023" w:rsidRDefault="004334D2" w:rsidP="00E06D0C">
            <w:pPr>
              <w:pStyle w:val="ParaTickBox"/>
              <w:tabs>
                <w:tab w:val="clear" w:pos="510"/>
              </w:tabs>
              <w:ind w:left="0" w:right="57" w:firstLine="0"/>
              <w:jc w:val="both"/>
            </w:pPr>
            <w:r>
              <w:t>Variable (depends on the type of fuel)</w:t>
            </w:r>
          </w:p>
        </w:tc>
      </w:tr>
      <w:tr w:rsidR="004334D2" w:rsidRPr="00AE7BE8" w14:paraId="5A85E618" w14:textId="77777777" w:rsidTr="00073748">
        <w:tc>
          <w:tcPr>
            <w:tcW w:w="2405" w:type="dxa"/>
            <w:shd w:val="clear" w:color="auto" w:fill="E6E6E6"/>
          </w:tcPr>
          <w:p w14:paraId="72F2E88C"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722" w:type="dxa"/>
            <w:gridSpan w:val="2"/>
            <w:vAlign w:val="center"/>
          </w:tcPr>
          <w:p w14:paraId="6BD02503" w14:textId="77777777" w:rsidR="004334D2" w:rsidRPr="004C6225" w:rsidRDefault="004334D2" w:rsidP="00E06D0C">
            <w:pPr>
              <w:pStyle w:val="ParaTickBox"/>
              <w:ind w:left="0" w:firstLine="0"/>
              <w:rPr>
                <w:szCs w:val="20"/>
              </w:rPr>
            </w:pPr>
            <w:r>
              <w:rPr>
                <w:rFonts w:asciiTheme="minorBidi" w:hAnsiTheme="minorBidi" w:cstheme="minorBidi"/>
                <w:szCs w:val="20"/>
                <w:shd w:val="clear" w:color="auto" w:fill="E6E6E6"/>
              </w:rPr>
              <w:fldChar w:fldCharType="begin">
                <w:ffData>
                  <w:name w:val=""/>
                  <w:enabled/>
                  <w:calcOnExit w:val="0"/>
                  <w:checkBox>
                    <w:size w:val="20"/>
                    <w:default w:val="1"/>
                  </w:checkBox>
                </w:ffData>
              </w:fldChar>
            </w:r>
            <w:r>
              <w:rPr>
                <w:rFonts w:asciiTheme="minorBidi" w:hAnsiTheme="minorBidi" w:cstheme="minorBidi"/>
                <w:szCs w:val="20"/>
                <w:shd w:val="clear" w:color="auto" w:fill="E6E6E6"/>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224" w:type="dxa"/>
            <w:gridSpan w:val="2"/>
            <w:vAlign w:val="center"/>
          </w:tcPr>
          <w:p w14:paraId="2B28E27F"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4CE2F40D" w14:textId="77777777" w:rsidTr="00073748">
        <w:tc>
          <w:tcPr>
            <w:tcW w:w="2405" w:type="dxa"/>
            <w:shd w:val="clear" w:color="auto" w:fill="E6E6E6"/>
          </w:tcPr>
          <w:p w14:paraId="5DD91D41"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6D442E16" w14:textId="77777777" w:rsidR="004334D2" w:rsidRDefault="004334D2" w:rsidP="00247E9F">
            <w:pPr>
              <w:pStyle w:val="ParaTickBox"/>
              <w:numPr>
                <w:ilvl w:val="0"/>
                <w:numId w:val="12"/>
              </w:numPr>
              <w:tabs>
                <w:tab w:val="clear" w:pos="510"/>
              </w:tabs>
              <w:ind w:left="121" w:right="57" w:hanging="142"/>
              <w:jc w:val="both"/>
              <w:rPr>
                <w:szCs w:val="20"/>
              </w:rPr>
            </w:pPr>
            <w:r>
              <w:rPr>
                <w:szCs w:val="20"/>
              </w:rPr>
              <w:t>Values provided by the supplier of the fuel (preferred source);</w:t>
            </w:r>
          </w:p>
          <w:p w14:paraId="6BA8FC46" w14:textId="77777777" w:rsidR="004334D2" w:rsidRPr="004C6225" w:rsidRDefault="004334D2" w:rsidP="00247E9F">
            <w:pPr>
              <w:pStyle w:val="ParaTickBox"/>
              <w:numPr>
                <w:ilvl w:val="0"/>
                <w:numId w:val="12"/>
              </w:numPr>
              <w:tabs>
                <w:tab w:val="clear" w:pos="510"/>
              </w:tabs>
              <w:ind w:left="121" w:right="57" w:hanging="142"/>
              <w:jc w:val="both"/>
              <w:rPr>
                <w:szCs w:val="20"/>
              </w:rPr>
            </w:pPr>
            <w:r>
              <w:rPr>
                <w:szCs w:val="20"/>
              </w:rPr>
              <w:t xml:space="preserve">Measurements by activity participants </w:t>
            </w:r>
            <w:r>
              <w:t>undertaken in line with national or international fuel standards</w:t>
            </w:r>
          </w:p>
        </w:tc>
      </w:tr>
      <w:tr w:rsidR="004334D2" w:rsidRPr="00131981" w14:paraId="77152B41" w14:textId="77777777" w:rsidTr="00073748">
        <w:tc>
          <w:tcPr>
            <w:tcW w:w="2405" w:type="dxa"/>
            <w:shd w:val="clear" w:color="auto" w:fill="E6E6E6"/>
          </w:tcPr>
          <w:p w14:paraId="39B982D8" w14:textId="77777777" w:rsidR="004334D2" w:rsidRPr="00131981" w:rsidRDefault="004334D2" w:rsidP="00E06D0C">
            <w:pPr>
              <w:spacing w:before="60" w:after="60"/>
              <w:ind w:right="57"/>
              <w:jc w:val="left"/>
              <w:rPr>
                <w:rFonts w:cs="Arial"/>
                <w:sz w:val="20"/>
              </w:rPr>
            </w:pPr>
            <w:r>
              <w:rPr>
                <w:rFonts w:cs="Arial"/>
                <w:sz w:val="20"/>
              </w:rPr>
              <w:t>Treatment of uncertainties</w:t>
            </w:r>
          </w:p>
        </w:tc>
        <w:tc>
          <w:tcPr>
            <w:tcW w:w="6946" w:type="dxa"/>
            <w:gridSpan w:val="4"/>
          </w:tcPr>
          <w:p w14:paraId="1CDD766E" w14:textId="77777777" w:rsidR="004334D2" w:rsidRPr="00506FD8" w:rsidRDefault="004334D2" w:rsidP="00E06D0C">
            <w:pPr>
              <w:spacing w:before="60" w:after="60"/>
              <w:ind w:right="57"/>
              <w:rPr>
                <w:rFonts w:cs="Arial"/>
                <w:sz w:val="20"/>
              </w:rPr>
            </w:pPr>
            <w:r w:rsidRPr="00E24B77">
              <w:rPr>
                <w:rFonts w:cs="Arial"/>
                <w:sz w:val="20"/>
              </w:rPr>
              <w:t>Uncertainties are determined based on the measuring instruments</w:t>
            </w:r>
          </w:p>
        </w:tc>
      </w:tr>
      <w:tr w:rsidR="004334D2" w:rsidRPr="00AE7BE8" w14:paraId="04FB42FE" w14:textId="77777777" w:rsidTr="00073748">
        <w:tc>
          <w:tcPr>
            <w:tcW w:w="2405" w:type="dxa"/>
            <w:shd w:val="clear" w:color="auto" w:fill="E6E6E6"/>
          </w:tcPr>
          <w:p w14:paraId="02295FE4"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08506A4D" w14:textId="77777777" w:rsidR="004334D2" w:rsidRDefault="004334D2" w:rsidP="00E06D0C">
            <w:pPr>
              <w:pStyle w:val="ParaTickBox"/>
              <w:tabs>
                <w:tab w:val="clear" w:pos="510"/>
              </w:tabs>
              <w:ind w:left="0" w:right="57" w:firstLine="0"/>
              <w:jc w:val="both"/>
            </w:pPr>
            <w:r>
              <w:t>Verify if the values measured or sourced from the fuel supplier or from measurements are within the uncertainty range of the product of the IPCC default values as provided in Table 1.2 and Table 1.3, Vol. 2 of the 2006 IPCC Guidelines.</w:t>
            </w:r>
          </w:p>
          <w:p w14:paraId="100AAF7F" w14:textId="77777777" w:rsidR="004334D2" w:rsidRPr="004C6225" w:rsidRDefault="004334D2" w:rsidP="00E06D0C">
            <w:pPr>
              <w:pStyle w:val="ParaTickBox"/>
              <w:tabs>
                <w:tab w:val="clear" w:pos="510"/>
              </w:tabs>
              <w:ind w:left="0" w:right="57" w:firstLine="0"/>
              <w:jc w:val="both"/>
              <w:rPr>
                <w:i/>
                <w:iCs/>
                <w:szCs w:val="20"/>
              </w:rPr>
            </w:pPr>
            <w:r>
              <w:t>If the values fall below this range collect additional information from the testing laboratory to justify the outcome or conduct additional measurements. The laboratories in (b) should have ISO17025 accreditation or justify that they can comply with similar quality standards</w:t>
            </w:r>
          </w:p>
        </w:tc>
      </w:tr>
    </w:tbl>
    <w:p w14:paraId="3645C6C7" w14:textId="7521AE99"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26</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37"/>
        <w:gridCol w:w="1179"/>
        <w:gridCol w:w="1164"/>
        <w:gridCol w:w="2066"/>
      </w:tblGrid>
      <w:tr w:rsidR="004334D2" w:rsidRPr="00AE7BE8" w14:paraId="147520B9" w14:textId="77777777" w:rsidTr="00073748">
        <w:tc>
          <w:tcPr>
            <w:tcW w:w="2405" w:type="dxa"/>
            <w:shd w:val="clear" w:color="auto" w:fill="E6E6E6"/>
          </w:tcPr>
          <w:p w14:paraId="2DE7A0D7"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2A12207D" w14:textId="77777777" w:rsidR="004334D2" w:rsidRPr="00EB3EE0" w:rsidRDefault="00302468" w:rsidP="00E06D0C">
            <w:pPr>
              <w:pStyle w:val="ParaTickBox"/>
              <w:tabs>
                <w:tab w:val="clear" w:pos="510"/>
              </w:tabs>
              <w:ind w:left="0" w:right="57" w:firstLine="0"/>
              <w:rPr>
                <w:b/>
                <w:bCs/>
                <w:i/>
                <w:szCs w:val="20"/>
              </w:rPr>
            </w:pPr>
            <m:oMathPara>
              <m:oMathParaPr>
                <m:jc m:val="left"/>
              </m:oMathParaPr>
              <m:oMath>
                <m:sSub>
                  <m:sSubPr>
                    <m:ctrlPr>
                      <w:rPr>
                        <w:rFonts w:ascii="Cambria Math" w:hAnsi="Cambria Math"/>
                        <w:b/>
                        <w:bCs/>
                        <w:i/>
                      </w:rPr>
                    </m:ctrlPr>
                  </m:sSubPr>
                  <m:e>
                    <m:r>
                      <m:rPr>
                        <m:sty m:val="bi"/>
                      </m:rPr>
                      <w:rPr>
                        <w:rFonts w:ascii="Cambria Math" w:hAnsi="Cambria Math"/>
                      </w:rPr>
                      <m:t>ρ</m:t>
                    </m:r>
                  </m:e>
                  <m:sub>
                    <m:r>
                      <m:rPr>
                        <m:sty m:val="bi"/>
                      </m:rPr>
                      <w:rPr>
                        <w:rFonts w:ascii="Cambria Math" w:hAnsi="Cambria Math"/>
                      </w:rPr>
                      <m:t>,i,y</m:t>
                    </m:r>
                  </m:sub>
                </m:sSub>
              </m:oMath>
            </m:oMathPara>
          </w:p>
        </w:tc>
      </w:tr>
      <w:tr w:rsidR="004334D2" w:rsidRPr="00AE7BE8" w14:paraId="2A236E5E" w14:textId="77777777" w:rsidTr="00073748">
        <w:tc>
          <w:tcPr>
            <w:tcW w:w="2405" w:type="dxa"/>
            <w:shd w:val="clear" w:color="auto" w:fill="E6E6E6"/>
          </w:tcPr>
          <w:p w14:paraId="6C750D5B"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46" w:type="dxa"/>
            <w:gridSpan w:val="4"/>
          </w:tcPr>
          <w:p w14:paraId="618E4615" w14:textId="3FA3094B" w:rsidR="004334D2" w:rsidRPr="004C6225" w:rsidRDefault="00922E91" w:rsidP="00E06D0C">
            <w:pPr>
              <w:pStyle w:val="ParaTickBox"/>
              <w:tabs>
                <w:tab w:val="clear" w:pos="510"/>
              </w:tabs>
              <w:ind w:left="0" w:right="57" w:firstLine="0"/>
              <w:jc w:val="both"/>
              <w:rPr>
                <w:szCs w:val="20"/>
              </w:rPr>
            </w:pPr>
            <w:r>
              <w:t>D</w:t>
            </w:r>
            <w:r w:rsidR="004334D2">
              <w:t>ensity of fuel type</w:t>
            </w:r>
            <w:r w:rsidR="00744658">
              <w:t> </w:t>
            </w:r>
            <w:r w:rsidR="004334D2" w:rsidRPr="004C2D5A">
              <w:rPr>
                <w:i/>
                <w:iCs/>
              </w:rPr>
              <w:t>i</w:t>
            </w:r>
            <w:r w:rsidR="004334D2">
              <w:t xml:space="preserve"> in year</w:t>
            </w:r>
            <w:r w:rsidR="00744658">
              <w:t> </w:t>
            </w:r>
            <w:r w:rsidR="004334D2" w:rsidRPr="004C2D5A">
              <w:rPr>
                <w:i/>
                <w:iCs/>
              </w:rPr>
              <w:t>y</w:t>
            </w:r>
          </w:p>
        </w:tc>
      </w:tr>
      <w:tr w:rsidR="004334D2" w:rsidRPr="00AE7BE8" w14:paraId="57DFE160" w14:textId="77777777" w:rsidTr="00073748">
        <w:tc>
          <w:tcPr>
            <w:tcW w:w="2405" w:type="dxa"/>
            <w:shd w:val="clear" w:color="auto" w:fill="E6E6E6"/>
          </w:tcPr>
          <w:p w14:paraId="2C4DE4B7"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46" w:type="dxa"/>
            <w:gridSpan w:val="4"/>
          </w:tcPr>
          <w:p w14:paraId="434C0EC8" w14:textId="77777777" w:rsidR="004334D2" w:rsidRPr="004C6225" w:rsidRDefault="004334D2" w:rsidP="00E06D0C">
            <w:pPr>
              <w:pStyle w:val="ParaTickBox"/>
              <w:tabs>
                <w:tab w:val="clear" w:pos="510"/>
              </w:tabs>
              <w:ind w:left="0" w:right="57" w:firstLine="0"/>
              <w:jc w:val="both"/>
              <w:rPr>
                <w:szCs w:val="20"/>
              </w:rPr>
            </w:pPr>
            <w:r>
              <w:t>Mass unit/volume unit of the fuel</w:t>
            </w:r>
          </w:p>
        </w:tc>
      </w:tr>
      <w:tr w:rsidR="004334D2" w:rsidRPr="00AE7BE8" w14:paraId="568B3AD1" w14:textId="77777777" w:rsidTr="00073748">
        <w:tc>
          <w:tcPr>
            <w:tcW w:w="2405" w:type="dxa"/>
            <w:shd w:val="clear" w:color="auto" w:fill="E6E6E6"/>
          </w:tcPr>
          <w:p w14:paraId="42D60E18"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28E78FFA" w14:textId="494CD7AB" w:rsidR="004334D2" w:rsidRPr="004C6225" w:rsidRDefault="00666A6D" w:rsidP="00E06D0C">
            <w:pPr>
              <w:pStyle w:val="ParaTickBox"/>
              <w:tabs>
                <w:tab w:val="clear" w:pos="510"/>
              </w:tabs>
              <w:ind w:left="0" w:right="57" w:firstLine="0"/>
              <w:jc w:val="both"/>
              <w:rPr>
                <w:szCs w:val="20"/>
              </w:rPr>
            </w:pPr>
            <w:r>
              <w:rPr>
                <w:szCs w:val="20"/>
              </w:rPr>
              <w:t>(4</w:t>
            </w:r>
            <w:r w:rsidR="00532364">
              <w:rPr>
                <w:szCs w:val="20"/>
              </w:rPr>
              <w:t>9</w:t>
            </w:r>
            <w:r>
              <w:rPr>
                <w:szCs w:val="20"/>
              </w:rPr>
              <w:t>)</w:t>
            </w:r>
          </w:p>
        </w:tc>
      </w:tr>
      <w:tr w:rsidR="004334D2" w:rsidRPr="00AE7BE8" w14:paraId="48B4DD94" w14:textId="77777777" w:rsidTr="00073748">
        <w:tc>
          <w:tcPr>
            <w:tcW w:w="2405" w:type="dxa"/>
            <w:shd w:val="clear" w:color="auto" w:fill="E6E6E6"/>
          </w:tcPr>
          <w:p w14:paraId="365C4B54"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537" w:type="dxa"/>
          </w:tcPr>
          <w:p w14:paraId="0DC2A278"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0"/>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7EDF9DF9" w14:textId="7E3ED7AF"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066" w:type="dxa"/>
          </w:tcPr>
          <w:p w14:paraId="63BC4521"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21F24DC5" w14:textId="77777777" w:rsidTr="00073748">
        <w:tc>
          <w:tcPr>
            <w:tcW w:w="2405" w:type="dxa"/>
            <w:shd w:val="clear" w:color="auto" w:fill="E6E6E6"/>
          </w:tcPr>
          <w:p w14:paraId="5DA54165"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27CA963C" w14:textId="77777777" w:rsidR="004334D2" w:rsidRPr="00931023" w:rsidRDefault="004334D2" w:rsidP="00E06D0C">
            <w:pPr>
              <w:pStyle w:val="ParaTickBox"/>
              <w:tabs>
                <w:tab w:val="clear" w:pos="510"/>
              </w:tabs>
              <w:ind w:left="0" w:right="57" w:firstLine="0"/>
              <w:jc w:val="both"/>
            </w:pPr>
            <w:r>
              <w:t>Variable (depends on the type of fuel)</w:t>
            </w:r>
          </w:p>
        </w:tc>
      </w:tr>
      <w:tr w:rsidR="004334D2" w:rsidRPr="00AE7BE8" w14:paraId="6D887806" w14:textId="77777777" w:rsidTr="00073748">
        <w:tc>
          <w:tcPr>
            <w:tcW w:w="2405" w:type="dxa"/>
            <w:shd w:val="clear" w:color="auto" w:fill="E6E6E6"/>
          </w:tcPr>
          <w:p w14:paraId="679E4D77"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716" w:type="dxa"/>
            <w:gridSpan w:val="2"/>
            <w:vAlign w:val="center"/>
          </w:tcPr>
          <w:p w14:paraId="3F0EB256" w14:textId="77777777" w:rsidR="004334D2" w:rsidRPr="004C6225" w:rsidRDefault="004334D2" w:rsidP="00E06D0C">
            <w:pPr>
              <w:pStyle w:val="ParaTickBox"/>
              <w:ind w:left="0" w:firstLine="0"/>
              <w:rPr>
                <w:szCs w:val="20"/>
              </w:rPr>
            </w:pPr>
            <w:r>
              <w:rPr>
                <w:rFonts w:asciiTheme="minorBidi" w:hAnsiTheme="minorBidi" w:cstheme="minorBidi"/>
                <w:szCs w:val="20"/>
                <w:shd w:val="clear" w:color="auto" w:fill="E6E6E6"/>
              </w:rPr>
              <w:fldChar w:fldCharType="begin">
                <w:ffData>
                  <w:name w:val=""/>
                  <w:enabled/>
                  <w:calcOnExit w:val="0"/>
                  <w:checkBox>
                    <w:size w:val="20"/>
                    <w:default w:val="1"/>
                  </w:checkBox>
                </w:ffData>
              </w:fldChar>
            </w:r>
            <w:r>
              <w:rPr>
                <w:rFonts w:asciiTheme="minorBidi" w:hAnsiTheme="minorBidi" w:cstheme="minorBidi"/>
                <w:szCs w:val="20"/>
                <w:shd w:val="clear" w:color="auto" w:fill="E6E6E6"/>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230" w:type="dxa"/>
            <w:gridSpan w:val="2"/>
            <w:vAlign w:val="center"/>
          </w:tcPr>
          <w:p w14:paraId="31DC5A7F"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25B15F8D" w14:textId="77777777" w:rsidTr="00073748">
        <w:tc>
          <w:tcPr>
            <w:tcW w:w="2405" w:type="dxa"/>
            <w:shd w:val="clear" w:color="auto" w:fill="E6E6E6"/>
          </w:tcPr>
          <w:p w14:paraId="27717FBC"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483E0505" w14:textId="77777777" w:rsidR="004334D2" w:rsidRDefault="004334D2" w:rsidP="00247E9F">
            <w:pPr>
              <w:pStyle w:val="ParaTickBox"/>
              <w:numPr>
                <w:ilvl w:val="0"/>
                <w:numId w:val="12"/>
              </w:numPr>
              <w:tabs>
                <w:tab w:val="clear" w:pos="510"/>
              </w:tabs>
              <w:ind w:left="121" w:right="57" w:hanging="142"/>
              <w:jc w:val="both"/>
              <w:rPr>
                <w:szCs w:val="20"/>
              </w:rPr>
            </w:pPr>
            <w:r>
              <w:rPr>
                <w:szCs w:val="20"/>
              </w:rPr>
              <w:t>Values provided by the supplier of the fuel (preferred source);</w:t>
            </w:r>
          </w:p>
          <w:p w14:paraId="0E5373BA" w14:textId="77777777" w:rsidR="004334D2" w:rsidRPr="00F81725" w:rsidRDefault="004334D2" w:rsidP="00247E9F">
            <w:pPr>
              <w:pStyle w:val="ParaTickBox"/>
              <w:numPr>
                <w:ilvl w:val="0"/>
                <w:numId w:val="12"/>
              </w:numPr>
              <w:tabs>
                <w:tab w:val="clear" w:pos="510"/>
              </w:tabs>
              <w:ind w:left="121" w:right="57" w:hanging="142"/>
              <w:jc w:val="both"/>
              <w:rPr>
                <w:szCs w:val="20"/>
              </w:rPr>
            </w:pPr>
            <w:r>
              <w:rPr>
                <w:szCs w:val="20"/>
              </w:rPr>
              <w:t xml:space="preserve">Measurements by activity participants </w:t>
            </w:r>
            <w:r>
              <w:t>undertaken in line with national or international fuel standards (if the v</w:t>
            </w:r>
            <w:r>
              <w:rPr>
                <w:szCs w:val="20"/>
              </w:rPr>
              <w:t xml:space="preserve">alues provided by the supplier of the fuel </w:t>
            </w:r>
            <w:r>
              <w:t>are not available);</w:t>
            </w:r>
          </w:p>
          <w:p w14:paraId="328B510E" w14:textId="77777777" w:rsidR="004334D2" w:rsidRPr="004C6225" w:rsidRDefault="004334D2" w:rsidP="00247E9F">
            <w:pPr>
              <w:pStyle w:val="ParaTickBox"/>
              <w:numPr>
                <w:ilvl w:val="0"/>
                <w:numId w:val="12"/>
              </w:numPr>
              <w:tabs>
                <w:tab w:val="clear" w:pos="510"/>
              </w:tabs>
              <w:ind w:left="121" w:right="57" w:hanging="142"/>
              <w:jc w:val="both"/>
              <w:rPr>
                <w:szCs w:val="20"/>
              </w:rPr>
            </w:pPr>
            <w:r>
              <w:t>Regional or national default values (if the v</w:t>
            </w:r>
            <w:r>
              <w:rPr>
                <w:szCs w:val="20"/>
              </w:rPr>
              <w:t xml:space="preserve">alues provided by the supplier of the fuel </w:t>
            </w:r>
            <w:r>
              <w:t>are not available and only for liquid fuels)</w:t>
            </w:r>
          </w:p>
        </w:tc>
      </w:tr>
      <w:tr w:rsidR="004334D2" w:rsidRPr="00AE7BE8" w14:paraId="416EB237" w14:textId="77777777" w:rsidTr="00073748">
        <w:tc>
          <w:tcPr>
            <w:tcW w:w="2405" w:type="dxa"/>
            <w:shd w:val="clear" w:color="auto" w:fill="E6E6E6"/>
          </w:tcPr>
          <w:p w14:paraId="20AB796B"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6D5DC580" w14:textId="6CA8685F" w:rsidR="004334D2" w:rsidRPr="004C6225" w:rsidRDefault="004334D2" w:rsidP="00E06D0C">
            <w:pPr>
              <w:pStyle w:val="ParaTickBox"/>
              <w:tabs>
                <w:tab w:val="clear" w:pos="510"/>
              </w:tabs>
              <w:ind w:left="0" w:right="57" w:firstLine="0"/>
              <w:jc w:val="both"/>
              <w:rPr>
                <w:i/>
                <w:iCs/>
                <w:szCs w:val="20"/>
              </w:rPr>
            </w:pPr>
            <w:r>
              <w:t>For option 1: The density of the fuel should be obtained for each fuel delivery, from which weighted average annual values should be calculated</w:t>
            </w:r>
          </w:p>
        </w:tc>
      </w:tr>
    </w:tbl>
    <w:p w14:paraId="4EB7C56A" w14:textId="491E46E1"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27</w:t>
      </w:r>
      <w:r>
        <w:fldChar w:fldCharType="end"/>
      </w:r>
      <w:r>
        <w:t>.</w:t>
      </w:r>
      <w:r>
        <w:tab/>
      </w:r>
    </w:p>
    <w:tbl>
      <w:tblPr>
        <w:tblStyle w:val="TableGrid"/>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37"/>
        <w:gridCol w:w="1179"/>
        <w:gridCol w:w="1164"/>
        <w:gridCol w:w="2066"/>
      </w:tblGrid>
      <w:tr w:rsidR="004334D2" w:rsidRPr="00AE7BE8" w14:paraId="25951E83" w14:textId="77777777" w:rsidTr="00073748">
        <w:tc>
          <w:tcPr>
            <w:tcW w:w="2405" w:type="dxa"/>
            <w:shd w:val="clear" w:color="auto" w:fill="E6E6E6"/>
          </w:tcPr>
          <w:p w14:paraId="7B1D60C0"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6946" w:type="dxa"/>
            <w:gridSpan w:val="4"/>
          </w:tcPr>
          <w:p w14:paraId="31159F82" w14:textId="77777777" w:rsidR="004334D2" w:rsidRPr="00EB3EE0" w:rsidRDefault="00302468" w:rsidP="00E06D0C">
            <w:pPr>
              <w:pStyle w:val="ParaTickBox"/>
              <w:tabs>
                <w:tab w:val="clear" w:pos="510"/>
              </w:tabs>
              <w:ind w:left="0" w:right="57" w:firstLine="0"/>
              <w:rPr>
                <w:b/>
                <w:bCs/>
                <w:i/>
                <w:szCs w:val="20"/>
              </w:rPr>
            </w:pPr>
            <m:oMathPara>
              <m:oMathParaPr>
                <m:jc m:val="left"/>
              </m:oMathParaPr>
              <m:oMath>
                <m:sSub>
                  <m:sSubPr>
                    <m:ctrlPr>
                      <w:rPr>
                        <w:rFonts w:ascii="Cambria Math" w:hAnsi="Cambria Math"/>
                        <w:b/>
                        <w:bCs/>
                        <w:i/>
                      </w:rPr>
                    </m:ctrlPr>
                  </m:sSubPr>
                  <m:e>
                    <m:r>
                      <m:rPr>
                        <m:sty m:val="bi"/>
                      </m:rPr>
                      <w:rPr>
                        <w:rFonts w:ascii="Cambria Math" w:hAnsi="Cambria Math"/>
                      </w:rPr>
                      <m:t>NCV</m:t>
                    </m:r>
                  </m:e>
                  <m:sub>
                    <m:r>
                      <m:rPr>
                        <m:sty m:val="bi"/>
                      </m:rPr>
                      <w:rPr>
                        <w:rFonts w:ascii="Cambria Math" w:hAnsi="Cambria Math"/>
                      </w:rPr>
                      <m:t>i,y</m:t>
                    </m:r>
                  </m:sub>
                </m:sSub>
              </m:oMath>
            </m:oMathPara>
          </w:p>
        </w:tc>
      </w:tr>
      <w:tr w:rsidR="004334D2" w:rsidRPr="00AE7BE8" w14:paraId="4A89ED5F" w14:textId="77777777" w:rsidTr="00073748">
        <w:tc>
          <w:tcPr>
            <w:tcW w:w="2405" w:type="dxa"/>
            <w:shd w:val="clear" w:color="auto" w:fill="E6E6E6"/>
          </w:tcPr>
          <w:p w14:paraId="64C04AB9"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6946" w:type="dxa"/>
            <w:gridSpan w:val="4"/>
          </w:tcPr>
          <w:p w14:paraId="3FFF91D2" w14:textId="3AF947CD" w:rsidR="004334D2" w:rsidRPr="004C6225" w:rsidRDefault="004334D2" w:rsidP="00E06D0C">
            <w:pPr>
              <w:pStyle w:val="ParaTickBox"/>
              <w:tabs>
                <w:tab w:val="clear" w:pos="510"/>
              </w:tabs>
              <w:ind w:left="0" w:right="57" w:firstLine="0"/>
              <w:jc w:val="both"/>
              <w:rPr>
                <w:szCs w:val="20"/>
              </w:rPr>
            </w:pPr>
            <w:r>
              <w:t>Weighted average net calorific value of the fuel type</w:t>
            </w:r>
            <w:r w:rsidR="00E72F4C">
              <w:t> </w:t>
            </w:r>
            <w:r w:rsidRPr="002E4813">
              <w:rPr>
                <w:i/>
                <w:iCs/>
              </w:rPr>
              <w:t>i</w:t>
            </w:r>
            <w:r>
              <w:t xml:space="preserve"> in year</w:t>
            </w:r>
            <w:r w:rsidR="00E72F4C">
              <w:t> </w:t>
            </w:r>
            <w:r w:rsidRPr="002E4813">
              <w:rPr>
                <w:i/>
                <w:iCs/>
              </w:rPr>
              <w:t>y</w:t>
            </w:r>
          </w:p>
        </w:tc>
      </w:tr>
      <w:tr w:rsidR="004334D2" w:rsidRPr="00AE7BE8" w14:paraId="60BDBF30" w14:textId="77777777" w:rsidTr="00073748">
        <w:tc>
          <w:tcPr>
            <w:tcW w:w="2405" w:type="dxa"/>
            <w:shd w:val="clear" w:color="auto" w:fill="E6E6E6"/>
          </w:tcPr>
          <w:p w14:paraId="28642550"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6946" w:type="dxa"/>
            <w:gridSpan w:val="4"/>
          </w:tcPr>
          <w:p w14:paraId="24F832B3" w14:textId="77777777" w:rsidR="004334D2" w:rsidRPr="004C6225" w:rsidRDefault="004334D2" w:rsidP="00E06D0C">
            <w:pPr>
              <w:pStyle w:val="ParaTickBox"/>
              <w:tabs>
                <w:tab w:val="clear" w:pos="510"/>
              </w:tabs>
              <w:ind w:left="0" w:right="57" w:firstLine="0"/>
              <w:jc w:val="both"/>
              <w:rPr>
                <w:szCs w:val="20"/>
              </w:rPr>
            </w:pPr>
            <w:r>
              <w:t>TJ per Mass unit or volume unit of the fuel</w:t>
            </w:r>
          </w:p>
        </w:tc>
      </w:tr>
      <w:tr w:rsidR="004334D2" w:rsidRPr="00AE7BE8" w14:paraId="7886DDDC" w14:textId="77777777" w:rsidTr="00073748">
        <w:tc>
          <w:tcPr>
            <w:tcW w:w="2405" w:type="dxa"/>
            <w:shd w:val="clear" w:color="auto" w:fill="E6E6E6"/>
          </w:tcPr>
          <w:p w14:paraId="6A5C7D2F"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6946" w:type="dxa"/>
            <w:gridSpan w:val="4"/>
          </w:tcPr>
          <w:p w14:paraId="793B71BA" w14:textId="4FF4F305" w:rsidR="004334D2" w:rsidRPr="004C6225" w:rsidRDefault="00666A6D" w:rsidP="00E06D0C">
            <w:pPr>
              <w:pStyle w:val="ParaTickBox"/>
              <w:tabs>
                <w:tab w:val="clear" w:pos="510"/>
              </w:tabs>
              <w:ind w:left="0" w:right="57" w:firstLine="0"/>
              <w:jc w:val="both"/>
              <w:rPr>
                <w:szCs w:val="20"/>
              </w:rPr>
            </w:pPr>
            <w:r>
              <w:rPr>
                <w:szCs w:val="20"/>
              </w:rPr>
              <w:t>(</w:t>
            </w:r>
            <w:r w:rsidR="00532364">
              <w:rPr>
                <w:szCs w:val="20"/>
              </w:rPr>
              <w:t>50</w:t>
            </w:r>
            <w:r>
              <w:rPr>
                <w:szCs w:val="20"/>
              </w:rPr>
              <w:t>)</w:t>
            </w:r>
          </w:p>
        </w:tc>
      </w:tr>
      <w:tr w:rsidR="004334D2" w:rsidRPr="00AE7BE8" w14:paraId="7888DE34" w14:textId="77777777" w:rsidTr="00073748">
        <w:tc>
          <w:tcPr>
            <w:tcW w:w="2405" w:type="dxa"/>
            <w:shd w:val="clear" w:color="auto" w:fill="E6E6E6"/>
          </w:tcPr>
          <w:p w14:paraId="68FA3356"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537" w:type="dxa"/>
          </w:tcPr>
          <w:p w14:paraId="6190522A"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0"/>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78AD12FC" w14:textId="4BE5468A"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066" w:type="dxa"/>
          </w:tcPr>
          <w:p w14:paraId="22BE45CF"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6BAD2B89" w14:textId="77777777" w:rsidTr="00073748">
        <w:tc>
          <w:tcPr>
            <w:tcW w:w="2405" w:type="dxa"/>
            <w:shd w:val="clear" w:color="auto" w:fill="E6E6E6"/>
          </w:tcPr>
          <w:p w14:paraId="35C16016"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6946" w:type="dxa"/>
            <w:gridSpan w:val="4"/>
          </w:tcPr>
          <w:p w14:paraId="568FF4BF" w14:textId="77777777" w:rsidR="004334D2" w:rsidRPr="00931023" w:rsidRDefault="004334D2" w:rsidP="00E06D0C">
            <w:pPr>
              <w:pStyle w:val="ParaTickBox"/>
              <w:tabs>
                <w:tab w:val="clear" w:pos="510"/>
              </w:tabs>
              <w:ind w:left="0" w:right="57" w:firstLine="0"/>
              <w:jc w:val="both"/>
            </w:pPr>
            <w:r>
              <w:t>Variable (depends on the type of fuel)</w:t>
            </w:r>
          </w:p>
        </w:tc>
      </w:tr>
      <w:tr w:rsidR="004334D2" w:rsidRPr="00AE7BE8" w14:paraId="43F57A4A" w14:textId="77777777" w:rsidTr="00073748">
        <w:tc>
          <w:tcPr>
            <w:tcW w:w="2405" w:type="dxa"/>
            <w:shd w:val="clear" w:color="auto" w:fill="E6E6E6"/>
          </w:tcPr>
          <w:p w14:paraId="6D6C130A"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716" w:type="dxa"/>
            <w:gridSpan w:val="2"/>
            <w:vAlign w:val="center"/>
          </w:tcPr>
          <w:p w14:paraId="6623529A" w14:textId="77777777" w:rsidR="004334D2" w:rsidRPr="004C6225" w:rsidRDefault="004334D2" w:rsidP="00E06D0C">
            <w:pPr>
              <w:pStyle w:val="ParaTickBox"/>
              <w:ind w:left="0" w:firstLine="0"/>
              <w:rPr>
                <w:szCs w:val="20"/>
              </w:rPr>
            </w:pPr>
            <w:r>
              <w:rPr>
                <w:rFonts w:asciiTheme="minorBidi" w:hAnsiTheme="minorBidi" w:cstheme="minorBidi"/>
                <w:szCs w:val="20"/>
                <w:shd w:val="clear" w:color="auto" w:fill="E6E6E6"/>
              </w:rPr>
              <w:fldChar w:fldCharType="begin">
                <w:ffData>
                  <w:name w:val=""/>
                  <w:enabled/>
                  <w:calcOnExit w:val="0"/>
                  <w:checkBox>
                    <w:size w:val="20"/>
                    <w:default w:val="1"/>
                  </w:checkBox>
                </w:ffData>
              </w:fldChar>
            </w:r>
            <w:r>
              <w:rPr>
                <w:rFonts w:asciiTheme="minorBidi" w:hAnsiTheme="minorBidi" w:cstheme="minorBidi"/>
                <w:szCs w:val="20"/>
                <w:shd w:val="clear" w:color="auto" w:fill="E6E6E6"/>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230" w:type="dxa"/>
            <w:gridSpan w:val="2"/>
            <w:vAlign w:val="center"/>
          </w:tcPr>
          <w:p w14:paraId="7424D467"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4C8E5085" w14:textId="77777777" w:rsidTr="00073748">
        <w:tc>
          <w:tcPr>
            <w:tcW w:w="2405" w:type="dxa"/>
            <w:shd w:val="clear" w:color="auto" w:fill="E6E6E6"/>
          </w:tcPr>
          <w:p w14:paraId="3B6140ED"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6946" w:type="dxa"/>
            <w:gridSpan w:val="4"/>
          </w:tcPr>
          <w:p w14:paraId="1D0487FC" w14:textId="77777777" w:rsidR="004334D2" w:rsidRDefault="004334D2" w:rsidP="003630AA">
            <w:pPr>
              <w:pStyle w:val="ParaTickBox"/>
              <w:numPr>
                <w:ilvl w:val="0"/>
                <w:numId w:val="39"/>
              </w:numPr>
              <w:tabs>
                <w:tab w:val="clear" w:pos="510"/>
              </w:tabs>
              <w:ind w:right="57"/>
              <w:jc w:val="both"/>
              <w:rPr>
                <w:szCs w:val="20"/>
              </w:rPr>
            </w:pPr>
            <w:r w:rsidRPr="00AB67A2">
              <w:rPr>
                <w:szCs w:val="20"/>
                <w:u w:val="single"/>
              </w:rPr>
              <w:t>Option 1:</w:t>
            </w:r>
            <w:r>
              <w:rPr>
                <w:szCs w:val="20"/>
              </w:rPr>
              <w:t xml:space="preserve"> Values provided by the supplier of the fuel (preferred source). </w:t>
            </w:r>
            <w:r>
              <w:t>The density of the fuel should be obtained for each fuel delivery, from which weighted average annual values should be calculated</w:t>
            </w:r>
            <w:r>
              <w:rPr>
                <w:szCs w:val="20"/>
              </w:rPr>
              <w:t>;</w:t>
            </w:r>
          </w:p>
          <w:p w14:paraId="51E197C0" w14:textId="77777777" w:rsidR="004334D2" w:rsidRPr="00F81725" w:rsidRDefault="004334D2" w:rsidP="003630AA">
            <w:pPr>
              <w:pStyle w:val="ParaTickBox"/>
              <w:numPr>
                <w:ilvl w:val="0"/>
                <w:numId w:val="39"/>
              </w:numPr>
              <w:tabs>
                <w:tab w:val="clear" w:pos="510"/>
              </w:tabs>
              <w:ind w:right="57"/>
              <w:jc w:val="both"/>
              <w:rPr>
                <w:szCs w:val="20"/>
              </w:rPr>
            </w:pPr>
            <w:r w:rsidRPr="00AB67A2">
              <w:rPr>
                <w:szCs w:val="20"/>
                <w:u w:val="single"/>
              </w:rPr>
              <w:t>Option 2:</w:t>
            </w:r>
            <w:r>
              <w:rPr>
                <w:szCs w:val="20"/>
              </w:rPr>
              <w:t xml:space="preserve"> Measurements by activity participants </w:t>
            </w:r>
            <w:r>
              <w:t>undertaken in line with national or international fuel standards (if the v</w:t>
            </w:r>
            <w:r>
              <w:rPr>
                <w:szCs w:val="20"/>
              </w:rPr>
              <w:t xml:space="preserve">alues provided by the supplier of the fuel </w:t>
            </w:r>
            <w:r>
              <w:t>are not available). The NCV of the fuel should be obtained for each fuel delivery, from which weighted average annual values should be calculated;</w:t>
            </w:r>
          </w:p>
          <w:p w14:paraId="56878C59" w14:textId="77777777" w:rsidR="004334D2" w:rsidRPr="00204B8F" w:rsidRDefault="004334D2" w:rsidP="003630AA">
            <w:pPr>
              <w:pStyle w:val="ParaTickBox"/>
              <w:numPr>
                <w:ilvl w:val="0"/>
                <w:numId w:val="39"/>
              </w:numPr>
              <w:tabs>
                <w:tab w:val="clear" w:pos="510"/>
              </w:tabs>
              <w:ind w:right="57"/>
              <w:jc w:val="both"/>
              <w:rPr>
                <w:szCs w:val="20"/>
              </w:rPr>
            </w:pPr>
            <w:r w:rsidRPr="00AB67A2">
              <w:rPr>
                <w:szCs w:val="20"/>
                <w:u w:val="single"/>
              </w:rPr>
              <w:t xml:space="preserve">Option </w:t>
            </w:r>
            <w:r>
              <w:rPr>
                <w:szCs w:val="20"/>
                <w:u w:val="single"/>
              </w:rPr>
              <w:t>3</w:t>
            </w:r>
            <w:r w:rsidRPr="00AB67A2">
              <w:rPr>
                <w:szCs w:val="20"/>
                <w:u w:val="single"/>
              </w:rPr>
              <w:t>:</w:t>
            </w:r>
            <w:r>
              <w:rPr>
                <w:szCs w:val="20"/>
              </w:rPr>
              <w:t xml:space="preserve"> </w:t>
            </w:r>
            <w:r>
              <w:t>Regional or national default values (if the v</w:t>
            </w:r>
            <w:r>
              <w:rPr>
                <w:szCs w:val="20"/>
              </w:rPr>
              <w:t xml:space="preserve">alues provided by the supplier of the fuel </w:t>
            </w:r>
            <w:r>
              <w:t>are not available and only for liquid fuels). Values shall be reviewed annually;</w:t>
            </w:r>
          </w:p>
          <w:p w14:paraId="292005E1" w14:textId="084454C6" w:rsidR="004334D2" w:rsidRPr="004C6225" w:rsidRDefault="004334D2" w:rsidP="003630AA">
            <w:pPr>
              <w:pStyle w:val="ParaTickBox"/>
              <w:numPr>
                <w:ilvl w:val="0"/>
                <w:numId w:val="39"/>
              </w:numPr>
              <w:tabs>
                <w:tab w:val="clear" w:pos="510"/>
              </w:tabs>
              <w:ind w:right="57"/>
              <w:jc w:val="both"/>
              <w:rPr>
                <w:szCs w:val="20"/>
              </w:rPr>
            </w:pPr>
            <w:r w:rsidRPr="00AB67A2">
              <w:rPr>
                <w:szCs w:val="20"/>
                <w:u w:val="single"/>
              </w:rPr>
              <w:t xml:space="preserve">Option </w:t>
            </w:r>
            <w:r>
              <w:rPr>
                <w:szCs w:val="20"/>
                <w:u w:val="single"/>
              </w:rPr>
              <w:t>4</w:t>
            </w:r>
            <w:r w:rsidRPr="00AB67A2">
              <w:rPr>
                <w:szCs w:val="20"/>
                <w:u w:val="single"/>
              </w:rPr>
              <w:t>:</w:t>
            </w:r>
            <w:r>
              <w:rPr>
                <w:szCs w:val="20"/>
              </w:rPr>
              <w:t xml:space="preserve"> </w:t>
            </w:r>
            <w:r>
              <w:t>Upper bound of the 95</w:t>
            </w:r>
            <w:r w:rsidR="003F7966">
              <w:t xml:space="preserve"> per cent</w:t>
            </w:r>
            <w:r>
              <w:t xml:space="preserve"> confidence interval from IPCC default values provided in Table 1.2 of Chapter 1 of Vol. 2 (Energy) of the 2019 Refinement to the 2006 IPCC Guidelines on National GHG Inventories (if the v</w:t>
            </w:r>
            <w:r>
              <w:rPr>
                <w:szCs w:val="20"/>
              </w:rPr>
              <w:t xml:space="preserve">alues provided by the supplier of the fuel </w:t>
            </w:r>
            <w:r>
              <w:t>are not available). Update based on future revisions of the IPCC Guidelines</w:t>
            </w:r>
          </w:p>
        </w:tc>
      </w:tr>
      <w:tr w:rsidR="004334D2" w:rsidRPr="00131981" w14:paraId="271D47A0" w14:textId="77777777" w:rsidTr="00073748">
        <w:tc>
          <w:tcPr>
            <w:tcW w:w="2405" w:type="dxa"/>
            <w:shd w:val="clear" w:color="auto" w:fill="E6E6E6"/>
          </w:tcPr>
          <w:p w14:paraId="0AB3D89C" w14:textId="77777777" w:rsidR="004334D2" w:rsidRPr="00131981" w:rsidRDefault="004334D2" w:rsidP="00E06D0C">
            <w:pPr>
              <w:spacing w:before="60" w:after="60"/>
              <w:ind w:right="57"/>
              <w:jc w:val="left"/>
              <w:rPr>
                <w:rFonts w:cs="Arial"/>
                <w:sz w:val="20"/>
              </w:rPr>
            </w:pPr>
            <w:r>
              <w:rPr>
                <w:rFonts w:cs="Arial"/>
                <w:sz w:val="20"/>
              </w:rPr>
              <w:t>Treatment of uncertainties</w:t>
            </w:r>
          </w:p>
        </w:tc>
        <w:tc>
          <w:tcPr>
            <w:tcW w:w="6946" w:type="dxa"/>
            <w:gridSpan w:val="4"/>
          </w:tcPr>
          <w:p w14:paraId="3089876E" w14:textId="77777777" w:rsidR="004334D2" w:rsidRPr="000F0D3A" w:rsidRDefault="004334D2" w:rsidP="00E06D0C">
            <w:pPr>
              <w:spacing w:before="60" w:after="60"/>
              <w:ind w:right="57"/>
              <w:rPr>
                <w:rFonts w:cs="Arial"/>
                <w:sz w:val="20"/>
                <w:lang w:val="en-GB"/>
              </w:rPr>
            </w:pPr>
            <w:r w:rsidRPr="000F0D3A">
              <w:rPr>
                <w:sz w:val="20"/>
              </w:rPr>
              <w:t>Verify if the values under Options 1, 2 and 3 are within the uncertainty range of the IPCC default values as provided in Table 1.2, Vol. 2 of the 2019 Refinement to the 2006 IPCC Guidelines. If the values fall below this range collect additional information from the testing laboratory to justify the outcome or conduct additional measurements – the laboratories in Options 1, 2 and 3 should have ISO17025 accreditation or justify that they can comply with similar quality standards</w:t>
            </w:r>
          </w:p>
        </w:tc>
      </w:tr>
      <w:tr w:rsidR="004334D2" w:rsidRPr="00AE7BE8" w14:paraId="1E2E037A" w14:textId="77777777" w:rsidTr="00073748">
        <w:tc>
          <w:tcPr>
            <w:tcW w:w="2405" w:type="dxa"/>
            <w:shd w:val="clear" w:color="auto" w:fill="E6E6E6"/>
          </w:tcPr>
          <w:p w14:paraId="2951959A"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6946" w:type="dxa"/>
            <w:gridSpan w:val="4"/>
          </w:tcPr>
          <w:p w14:paraId="39E4EB92" w14:textId="77777777" w:rsidR="004334D2" w:rsidRPr="004C6225" w:rsidRDefault="004334D2" w:rsidP="00E06D0C">
            <w:pPr>
              <w:pStyle w:val="ParaTickBox"/>
              <w:tabs>
                <w:tab w:val="clear" w:pos="510"/>
              </w:tabs>
              <w:ind w:left="0" w:right="57" w:firstLine="0"/>
              <w:jc w:val="both"/>
              <w:rPr>
                <w:i/>
                <w:iCs/>
                <w:szCs w:val="20"/>
              </w:rPr>
            </w:pPr>
          </w:p>
        </w:tc>
      </w:tr>
    </w:tbl>
    <w:p w14:paraId="66482514" w14:textId="2E5FCFC2" w:rsidR="004334D2" w:rsidRDefault="004334D2" w:rsidP="004334D2">
      <w:pPr>
        <w:pStyle w:val="Caption"/>
        <w:ind w:hanging="1956"/>
      </w:pPr>
      <w:r>
        <w:t>Data / Parameter table </w:t>
      </w:r>
      <w:r>
        <w:fldChar w:fldCharType="begin"/>
      </w:r>
      <w:r>
        <w:instrText>SEQ Data_/_Parameter_table \* ARABIC</w:instrText>
      </w:r>
      <w:r>
        <w:fldChar w:fldCharType="separate"/>
      </w:r>
      <w:r w:rsidR="00302468">
        <w:rPr>
          <w:noProof/>
        </w:rPr>
        <w:t>28</w:t>
      </w:r>
      <w:r>
        <w:fldChar w:fldCharType="end"/>
      </w:r>
      <w:r>
        <w:t>.</w:t>
      </w:r>
      <w:r>
        <w:tab/>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6"/>
        <w:gridCol w:w="2343"/>
        <w:gridCol w:w="1179"/>
        <w:gridCol w:w="1164"/>
        <w:gridCol w:w="2343"/>
      </w:tblGrid>
      <w:tr w:rsidR="004334D2" w:rsidRPr="00AE7BE8" w14:paraId="57256B22" w14:textId="77777777" w:rsidTr="00073748">
        <w:tc>
          <w:tcPr>
            <w:tcW w:w="2316" w:type="dxa"/>
            <w:shd w:val="clear" w:color="auto" w:fill="E6E6E6"/>
          </w:tcPr>
          <w:p w14:paraId="78C34E39" w14:textId="77777777" w:rsidR="004334D2" w:rsidRPr="00AE7BE8" w:rsidRDefault="004334D2" w:rsidP="00E06D0C">
            <w:pPr>
              <w:pStyle w:val="ParaTickBox"/>
              <w:tabs>
                <w:tab w:val="clear" w:pos="510"/>
              </w:tabs>
              <w:ind w:left="0" w:right="57" w:firstLine="0"/>
              <w:jc w:val="both"/>
              <w:rPr>
                <w:b/>
                <w:bCs/>
                <w:szCs w:val="20"/>
              </w:rPr>
            </w:pPr>
            <w:r w:rsidRPr="00AE7BE8">
              <w:rPr>
                <w:b/>
                <w:bCs/>
                <w:szCs w:val="20"/>
              </w:rPr>
              <w:t>Data/parameter</w:t>
            </w:r>
          </w:p>
        </w:tc>
        <w:tc>
          <w:tcPr>
            <w:tcW w:w="7029" w:type="dxa"/>
            <w:gridSpan w:val="4"/>
          </w:tcPr>
          <w:p w14:paraId="779CD85D" w14:textId="77777777" w:rsidR="004334D2" w:rsidRPr="00EB3EE0" w:rsidRDefault="00302468" w:rsidP="00E06D0C">
            <w:pPr>
              <w:pStyle w:val="ParaTickBox"/>
              <w:tabs>
                <w:tab w:val="clear" w:pos="510"/>
              </w:tabs>
              <w:ind w:left="0" w:right="57" w:firstLine="0"/>
              <w:rPr>
                <w:b/>
                <w:bCs/>
                <w:i/>
                <w:szCs w:val="20"/>
              </w:rPr>
            </w:pPr>
            <m:oMathPara>
              <m:oMathParaPr>
                <m:jc m:val="left"/>
              </m:oMathParaPr>
              <m:oMath>
                <m:sSub>
                  <m:sSubPr>
                    <m:ctrlPr>
                      <w:rPr>
                        <w:rFonts w:ascii="Cambria Math" w:hAnsi="Cambria Math"/>
                        <w:b/>
                        <w:bCs/>
                        <w:i/>
                      </w:rPr>
                    </m:ctrlPr>
                  </m:sSubPr>
                  <m:e>
                    <m:r>
                      <m:rPr>
                        <m:sty m:val="bi"/>
                      </m:rPr>
                      <w:rPr>
                        <w:rFonts w:ascii="Cambria Math" w:hAnsi="Cambria Math"/>
                      </w:rPr>
                      <m:t>EF</m:t>
                    </m:r>
                  </m:e>
                  <m:sub>
                    <m:r>
                      <m:rPr>
                        <m:sty m:val="bi"/>
                      </m:rPr>
                      <w:rPr>
                        <w:rFonts w:ascii="Cambria Math" w:hAnsi="Cambria Math"/>
                      </w:rPr>
                      <m:t>CO</m:t>
                    </m:r>
                    <m:r>
                      <m:rPr>
                        <m:sty m:val="bi"/>
                      </m:rPr>
                      <w:rPr>
                        <w:rFonts w:ascii="Cambria Math" w:hAnsi="Cambria Math"/>
                      </w:rPr>
                      <m:t>2</m:t>
                    </m:r>
                    <m:r>
                      <m:rPr>
                        <m:sty m:val="bi"/>
                      </m:rPr>
                      <w:rPr>
                        <w:rFonts w:ascii="Cambria Math" w:hAnsi="Cambria Math"/>
                      </w:rPr>
                      <m:t>e,i,y</m:t>
                    </m:r>
                  </m:sub>
                </m:sSub>
              </m:oMath>
            </m:oMathPara>
          </w:p>
        </w:tc>
      </w:tr>
      <w:tr w:rsidR="004334D2" w:rsidRPr="00AE7BE8" w14:paraId="4D787DF3" w14:textId="77777777" w:rsidTr="00073748">
        <w:tc>
          <w:tcPr>
            <w:tcW w:w="2316" w:type="dxa"/>
            <w:shd w:val="clear" w:color="auto" w:fill="E6E6E6"/>
          </w:tcPr>
          <w:p w14:paraId="518BE139" w14:textId="77777777" w:rsidR="004334D2" w:rsidRPr="00AE7BE8" w:rsidRDefault="004334D2" w:rsidP="00E06D0C">
            <w:pPr>
              <w:pStyle w:val="ParaTickBox"/>
              <w:tabs>
                <w:tab w:val="clear" w:pos="510"/>
              </w:tabs>
              <w:ind w:left="0" w:right="57" w:firstLine="0"/>
              <w:jc w:val="both"/>
              <w:rPr>
                <w:szCs w:val="20"/>
              </w:rPr>
            </w:pPr>
            <w:r w:rsidRPr="00AE7BE8">
              <w:rPr>
                <w:szCs w:val="20"/>
              </w:rPr>
              <w:t>Description</w:t>
            </w:r>
          </w:p>
        </w:tc>
        <w:tc>
          <w:tcPr>
            <w:tcW w:w="7029" w:type="dxa"/>
            <w:gridSpan w:val="4"/>
          </w:tcPr>
          <w:p w14:paraId="7E4C3ACB" w14:textId="40C78324" w:rsidR="004334D2" w:rsidRPr="004C6225" w:rsidRDefault="004334D2" w:rsidP="00E06D0C">
            <w:pPr>
              <w:pStyle w:val="ParaTickBox"/>
              <w:tabs>
                <w:tab w:val="clear" w:pos="510"/>
              </w:tabs>
              <w:ind w:left="0" w:right="57" w:firstLine="0"/>
              <w:jc w:val="both"/>
              <w:rPr>
                <w:szCs w:val="20"/>
              </w:rPr>
            </w:pPr>
            <w:r>
              <w:t>Weighted average CO</w:t>
            </w:r>
            <w:r w:rsidRPr="002E4813">
              <w:rPr>
                <w:vertAlign w:val="subscript"/>
              </w:rPr>
              <w:t>2</w:t>
            </w:r>
            <w:r w:rsidRPr="00BA0BB1">
              <w:t>e</w:t>
            </w:r>
            <w:r>
              <w:t xml:space="preserve"> emission factor of fuel type</w:t>
            </w:r>
            <w:r w:rsidR="00E72F4C">
              <w:t> </w:t>
            </w:r>
            <w:r w:rsidRPr="002E4813">
              <w:rPr>
                <w:i/>
                <w:iCs/>
              </w:rPr>
              <w:t>i</w:t>
            </w:r>
            <w:r>
              <w:t xml:space="preserve"> in year</w:t>
            </w:r>
            <w:r w:rsidR="00E72F4C">
              <w:t> </w:t>
            </w:r>
            <w:r w:rsidRPr="002E4813">
              <w:rPr>
                <w:i/>
                <w:iCs/>
              </w:rPr>
              <w:t>y</w:t>
            </w:r>
          </w:p>
        </w:tc>
      </w:tr>
      <w:tr w:rsidR="004334D2" w:rsidRPr="00AE7BE8" w14:paraId="1D7CF33D" w14:textId="77777777" w:rsidTr="00073748">
        <w:tc>
          <w:tcPr>
            <w:tcW w:w="2316" w:type="dxa"/>
            <w:shd w:val="clear" w:color="auto" w:fill="E6E6E6"/>
          </w:tcPr>
          <w:p w14:paraId="2284A507" w14:textId="77777777" w:rsidR="004334D2" w:rsidRPr="00AE7BE8" w:rsidRDefault="004334D2" w:rsidP="00E06D0C">
            <w:pPr>
              <w:pStyle w:val="ParaTickBox"/>
              <w:tabs>
                <w:tab w:val="clear" w:pos="510"/>
              </w:tabs>
              <w:ind w:left="0" w:right="57" w:firstLine="0"/>
              <w:jc w:val="both"/>
              <w:rPr>
                <w:szCs w:val="20"/>
              </w:rPr>
            </w:pPr>
            <w:r w:rsidRPr="00AE7BE8">
              <w:rPr>
                <w:szCs w:val="20"/>
              </w:rPr>
              <w:t>Data unit</w:t>
            </w:r>
          </w:p>
        </w:tc>
        <w:tc>
          <w:tcPr>
            <w:tcW w:w="7029" w:type="dxa"/>
            <w:gridSpan w:val="4"/>
          </w:tcPr>
          <w:p w14:paraId="55BBB789" w14:textId="77777777" w:rsidR="004334D2" w:rsidRPr="004C6225" w:rsidRDefault="004334D2" w:rsidP="00E06D0C">
            <w:pPr>
              <w:pStyle w:val="ParaTickBox"/>
              <w:tabs>
                <w:tab w:val="clear" w:pos="510"/>
              </w:tabs>
              <w:ind w:left="0" w:right="57" w:firstLine="0"/>
              <w:jc w:val="both"/>
              <w:rPr>
                <w:szCs w:val="20"/>
              </w:rPr>
            </w:pPr>
            <w:r>
              <w:t>tCO</w:t>
            </w:r>
            <w:r w:rsidRPr="00922FFE">
              <w:rPr>
                <w:vertAlign w:val="subscript"/>
              </w:rPr>
              <w:t>2</w:t>
            </w:r>
            <w:r w:rsidRPr="00CB3EAB">
              <w:t>e</w:t>
            </w:r>
            <w:r>
              <w:t>/GJ</w:t>
            </w:r>
          </w:p>
        </w:tc>
      </w:tr>
      <w:tr w:rsidR="004334D2" w:rsidRPr="00AE7BE8" w14:paraId="7E9207E1" w14:textId="77777777" w:rsidTr="00073748">
        <w:tc>
          <w:tcPr>
            <w:tcW w:w="2316" w:type="dxa"/>
            <w:shd w:val="clear" w:color="auto" w:fill="E6E6E6"/>
          </w:tcPr>
          <w:p w14:paraId="5D8C3749" w14:textId="77777777" w:rsidR="004334D2" w:rsidRPr="00AE7BE8" w:rsidRDefault="004334D2" w:rsidP="00E06D0C">
            <w:pPr>
              <w:pStyle w:val="ParaTickBox"/>
              <w:tabs>
                <w:tab w:val="clear" w:pos="510"/>
              </w:tabs>
              <w:ind w:left="0" w:right="57" w:firstLine="0"/>
              <w:jc w:val="both"/>
              <w:rPr>
                <w:szCs w:val="20"/>
              </w:rPr>
            </w:pPr>
            <w:r w:rsidRPr="00AE7BE8">
              <w:rPr>
                <w:szCs w:val="20"/>
              </w:rPr>
              <w:t>Equations referred</w:t>
            </w:r>
          </w:p>
        </w:tc>
        <w:tc>
          <w:tcPr>
            <w:tcW w:w="7029" w:type="dxa"/>
            <w:gridSpan w:val="4"/>
          </w:tcPr>
          <w:p w14:paraId="6731DA56" w14:textId="73FF129E" w:rsidR="004334D2" w:rsidRPr="004C6225" w:rsidRDefault="00666A6D" w:rsidP="00E06D0C">
            <w:pPr>
              <w:pStyle w:val="ParaTickBox"/>
              <w:tabs>
                <w:tab w:val="clear" w:pos="510"/>
              </w:tabs>
              <w:ind w:left="0" w:right="57" w:firstLine="0"/>
              <w:jc w:val="both"/>
              <w:rPr>
                <w:szCs w:val="20"/>
              </w:rPr>
            </w:pPr>
            <w:r>
              <w:rPr>
                <w:szCs w:val="20"/>
              </w:rPr>
              <w:t>(</w:t>
            </w:r>
            <w:r w:rsidR="00532364">
              <w:rPr>
                <w:szCs w:val="20"/>
              </w:rPr>
              <w:t>50</w:t>
            </w:r>
            <w:r>
              <w:rPr>
                <w:szCs w:val="20"/>
              </w:rPr>
              <w:t>)</w:t>
            </w:r>
          </w:p>
        </w:tc>
      </w:tr>
      <w:tr w:rsidR="004334D2" w:rsidRPr="00AE7BE8" w14:paraId="2AD489AF" w14:textId="77777777" w:rsidTr="00073748">
        <w:tc>
          <w:tcPr>
            <w:tcW w:w="2316" w:type="dxa"/>
            <w:shd w:val="clear" w:color="auto" w:fill="E6E6E6"/>
          </w:tcPr>
          <w:p w14:paraId="43453F7E" w14:textId="77777777" w:rsidR="004334D2" w:rsidRPr="00AE7BE8" w:rsidRDefault="004334D2" w:rsidP="00E06D0C">
            <w:pPr>
              <w:pStyle w:val="ParaTickBox"/>
              <w:tabs>
                <w:tab w:val="clear" w:pos="510"/>
              </w:tabs>
              <w:ind w:left="0" w:right="57" w:firstLine="0"/>
              <w:jc w:val="both"/>
              <w:rPr>
                <w:szCs w:val="20"/>
              </w:rPr>
            </w:pPr>
            <w:r w:rsidRPr="00AE7BE8">
              <w:rPr>
                <w:szCs w:val="20"/>
              </w:rPr>
              <w:t>Purpose of data</w:t>
            </w:r>
          </w:p>
        </w:tc>
        <w:tc>
          <w:tcPr>
            <w:tcW w:w="2343" w:type="dxa"/>
          </w:tcPr>
          <w:p w14:paraId="52A1AF3F"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0"/>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Baseline emissions</w:t>
            </w:r>
          </w:p>
        </w:tc>
        <w:tc>
          <w:tcPr>
            <w:tcW w:w="2343" w:type="dxa"/>
            <w:gridSpan w:val="2"/>
          </w:tcPr>
          <w:p w14:paraId="1FCCE200" w14:textId="35D0009D"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rPr>
              <w:t xml:space="preserve"> </w:t>
            </w:r>
            <w:r w:rsidR="005704AC">
              <w:rPr>
                <w:rFonts w:asciiTheme="minorBidi" w:hAnsiTheme="minorBidi" w:cstheme="minorBidi"/>
              </w:rPr>
              <w:t>Project emissions</w:t>
            </w:r>
          </w:p>
        </w:tc>
        <w:tc>
          <w:tcPr>
            <w:tcW w:w="2343" w:type="dxa"/>
          </w:tcPr>
          <w:p w14:paraId="1206D2E0" w14:textId="77777777" w:rsidR="004334D2" w:rsidRPr="004C6225" w:rsidRDefault="004334D2" w:rsidP="00E06D0C">
            <w:pPr>
              <w:pStyle w:val="ParaTickBox"/>
              <w:tabs>
                <w:tab w:val="clear" w:pos="510"/>
              </w:tabs>
              <w:ind w:left="0" w:right="57" w:firstLine="0"/>
            </w:pPr>
            <w:r w:rsidRPr="004C6225">
              <w:rPr>
                <w:rFonts w:asciiTheme="minorBidi" w:hAnsiTheme="minorBidi" w:cstheme="minorBidi"/>
                <w:shd w:val="clear" w:color="auto" w:fill="E6E6E6"/>
              </w:rPr>
              <w:fldChar w:fldCharType="begin">
                <w:ffData>
                  <w:name w:val="Check2"/>
                  <w:enabled/>
                  <w:calcOnExit w:val="0"/>
                  <w:checkBox>
                    <w:size w:val="20"/>
                    <w:default w:val="0"/>
                  </w:checkBox>
                </w:ffData>
              </w:fldChar>
            </w:r>
            <w:r w:rsidRPr="004C6225">
              <w:rPr>
                <w:rFonts w:asciiTheme="minorBidi" w:hAnsiTheme="minorBidi" w:cstheme="minorBidi"/>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sidRPr="004C6225">
              <w:rPr>
                <w:rFonts w:asciiTheme="minorBidi" w:hAnsiTheme="minorBidi" w:cstheme="minorBidi"/>
                <w:shd w:val="clear" w:color="auto" w:fill="E6E6E6"/>
              </w:rPr>
              <w:fldChar w:fldCharType="end"/>
            </w:r>
            <w:r w:rsidRPr="004C6225">
              <w:rPr>
                <w:rFonts w:asciiTheme="minorBidi" w:hAnsiTheme="minorBidi" w:cstheme="minorBidi"/>
              </w:rPr>
              <w:t xml:space="preserve"> Leakage emissions</w:t>
            </w:r>
          </w:p>
        </w:tc>
      </w:tr>
      <w:tr w:rsidR="004334D2" w:rsidRPr="00931023" w14:paraId="4E0AB7DE" w14:textId="77777777" w:rsidTr="00073748">
        <w:tc>
          <w:tcPr>
            <w:tcW w:w="2316" w:type="dxa"/>
            <w:shd w:val="clear" w:color="auto" w:fill="E6E6E6"/>
          </w:tcPr>
          <w:p w14:paraId="36B2BBCB" w14:textId="77777777" w:rsidR="004334D2" w:rsidRPr="00AE7BE8" w:rsidRDefault="004334D2" w:rsidP="00E06D0C">
            <w:pPr>
              <w:pStyle w:val="ParaTickBox"/>
              <w:tabs>
                <w:tab w:val="clear" w:pos="510"/>
              </w:tabs>
              <w:ind w:left="0" w:right="57" w:firstLine="0"/>
              <w:jc w:val="both"/>
              <w:rPr>
                <w:szCs w:val="20"/>
              </w:rPr>
            </w:pPr>
            <w:r w:rsidRPr="00AE7BE8">
              <w:rPr>
                <w:szCs w:val="20"/>
              </w:rPr>
              <w:t>Value(s) applied</w:t>
            </w:r>
          </w:p>
        </w:tc>
        <w:tc>
          <w:tcPr>
            <w:tcW w:w="7029" w:type="dxa"/>
            <w:gridSpan w:val="4"/>
          </w:tcPr>
          <w:p w14:paraId="01DB1D96" w14:textId="77777777" w:rsidR="004334D2" w:rsidRPr="00931023" w:rsidRDefault="004334D2" w:rsidP="00E06D0C">
            <w:pPr>
              <w:pStyle w:val="ParaTickBox"/>
              <w:tabs>
                <w:tab w:val="clear" w:pos="510"/>
              </w:tabs>
              <w:ind w:left="0" w:right="57" w:firstLine="0"/>
              <w:jc w:val="both"/>
            </w:pPr>
            <w:r>
              <w:t>Variable (depends on the type of fuel)</w:t>
            </w:r>
          </w:p>
        </w:tc>
      </w:tr>
      <w:tr w:rsidR="004334D2" w:rsidRPr="00AE7BE8" w14:paraId="4FAC8C07" w14:textId="77777777" w:rsidTr="00073748">
        <w:tc>
          <w:tcPr>
            <w:tcW w:w="2316" w:type="dxa"/>
            <w:shd w:val="clear" w:color="auto" w:fill="E6E6E6"/>
          </w:tcPr>
          <w:p w14:paraId="0C3C9838" w14:textId="77777777" w:rsidR="004334D2" w:rsidRPr="00AE7BE8" w:rsidRDefault="004334D2" w:rsidP="00E06D0C">
            <w:pPr>
              <w:pStyle w:val="ParaTickBox"/>
              <w:tabs>
                <w:tab w:val="clear" w:pos="510"/>
              </w:tabs>
              <w:ind w:left="0" w:right="57" w:firstLine="0"/>
              <w:jc w:val="both"/>
              <w:rPr>
                <w:szCs w:val="20"/>
              </w:rPr>
            </w:pPr>
            <w:r w:rsidRPr="00AE7BE8">
              <w:rPr>
                <w:szCs w:val="20"/>
              </w:rPr>
              <w:t>Source of data</w:t>
            </w:r>
          </w:p>
        </w:tc>
        <w:tc>
          <w:tcPr>
            <w:tcW w:w="3522" w:type="dxa"/>
            <w:gridSpan w:val="2"/>
            <w:vAlign w:val="center"/>
          </w:tcPr>
          <w:p w14:paraId="0BA85B49" w14:textId="77777777" w:rsidR="004334D2" w:rsidRPr="004C6225" w:rsidRDefault="004334D2" w:rsidP="00E06D0C">
            <w:pPr>
              <w:pStyle w:val="ParaTickBox"/>
              <w:ind w:left="0" w:firstLine="0"/>
              <w:rPr>
                <w:szCs w:val="20"/>
              </w:rPr>
            </w:pPr>
            <w:r>
              <w:rPr>
                <w:rFonts w:asciiTheme="minorBidi" w:hAnsiTheme="minorBidi" w:cstheme="minorBidi"/>
                <w:szCs w:val="20"/>
                <w:shd w:val="clear" w:color="auto" w:fill="E6E6E6"/>
              </w:rPr>
              <w:fldChar w:fldCharType="begin">
                <w:ffData>
                  <w:name w:val=""/>
                  <w:enabled/>
                  <w:calcOnExit w:val="0"/>
                  <w:checkBox>
                    <w:size w:val="20"/>
                    <w:default w:val="1"/>
                  </w:checkBox>
                </w:ffData>
              </w:fldChar>
            </w:r>
            <w:r>
              <w:rPr>
                <w:rFonts w:asciiTheme="minorBidi" w:hAnsiTheme="minorBidi" w:cstheme="minorBidi"/>
                <w:szCs w:val="20"/>
                <w:shd w:val="clear" w:color="auto" w:fill="E6E6E6"/>
              </w:rPr>
              <w:instrText xml:space="preserve"> FORMCHECKBOX </w:instrText>
            </w:r>
            <w:r w:rsidR="00302468">
              <w:rPr>
                <w:rFonts w:asciiTheme="minorBidi" w:hAnsiTheme="minorBidi" w:cstheme="minorBidi"/>
                <w:szCs w:val="20"/>
                <w:shd w:val="clear" w:color="auto" w:fill="E6E6E6"/>
              </w:rPr>
            </w:r>
            <w:r w:rsidR="00302468">
              <w:rPr>
                <w:rFonts w:asciiTheme="minorBidi" w:hAnsiTheme="minorBidi" w:cstheme="minorBidi"/>
                <w:szCs w:val="20"/>
                <w:shd w:val="clear" w:color="auto" w:fill="E6E6E6"/>
              </w:rPr>
              <w:fldChar w:fldCharType="separate"/>
            </w:r>
            <w:r>
              <w:rPr>
                <w:rFonts w:asciiTheme="minorBidi" w:hAnsiTheme="minorBidi" w:cstheme="minorBidi"/>
                <w:szCs w:val="20"/>
                <w:shd w:val="clear" w:color="auto" w:fill="E6E6E6"/>
              </w:rPr>
              <w:fldChar w:fldCharType="end"/>
            </w:r>
            <w:r w:rsidRPr="004C6225">
              <w:rPr>
                <w:rFonts w:asciiTheme="minorBidi" w:hAnsiTheme="minorBidi" w:cstheme="minorBidi"/>
                <w:szCs w:val="20"/>
              </w:rPr>
              <w:t xml:space="preserve"> Measured</w:t>
            </w:r>
          </w:p>
        </w:tc>
        <w:tc>
          <w:tcPr>
            <w:tcW w:w="3507" w:type="dxa"/>
            <w:gridSpan w:val="2"/>
            <w:vAlign w:val="center"/>
          </w:tcPr>
          <w:p w14:paraId="54C2C92C" w14:textId="77777777" w:rsidR="004334D2" w:rsidRPr="004C6225" w:rsidRDefault="004334D2" w:rsidP="00E06D0C">
            <w:pPr>
              <w:pStyle w:val="ParaTickBox"/>
              <w:tabs>
                <w:tab w:val="clear" w:pos="510"/>
              </w:tabs>
              <w:ind w:left="0" w:right="57" w:firstLine="0"/>
            </w:pPr>
            <w:r>
              <w:rPr>
                <w:rFonts w:asciiTheme="minorBidi" w:hAnsiTheme="minorBidi" w:cstheme="minorBidi"/>
                <w:shd w:val="clear" w:color="auto" w:fill="E6E6E6"/>
              </w:rPr>
              <w:fldChar w:fldCharType="begin">
                <w:ffData>
                  <w:name w:val=""/>
                  <w:enabled/>
                  <w:calcOnExit w:val="0"/>
                  <w:checkBox>
                    <w:size w:val="20"/>
                    <w:default w:val="1"/>
                  </w:checkBox>
                </w:ffData>
              </w:fldChar>
            </w:r>
            <w:r>
              <w:rPr>
                <w:rFonts w:asciiTheme="minorBidi" w:hAnsiTheme="minorBidi" w:cstheme="minorBidi"/>
                <w:shd w:val="clear" w:color="auto" w:fill="E6E6E6"/>
              </w:rPr>
              <w:instrText xml:space="preserve"> FORMCHECKBOX </w:instrText>
            </w:r>
            <w:r w:rsidR="00302468">
              <w:rPr>
                <w:rFonts w:asciiTheme="minorBidi" w:hAnsiTheme="minorBidi" w:cstheme="minorBidi"/>
                <w:shd w:val="clear" w:color="auto" w:fill="E6E6E6"/>
              </w:rPr>
            </w:r>
            <w:r w:rsidR="00302468">
              <w:rPr>
                <w:rFonts w:asciiTheme="minorBidi" w:hAnsiTheme="minorBidi" w:cstheme="minorBidi"/>
                <w:shd w:val="clear" w:color="auto" w:fill="E6E6E6"/>
              </w:rPr>
              <w:fldChar w:fldCharType="separate"/>
            </w:r>
            <w:r>
              <w:rPr>
                <w:rFonts w:asciiTheme="minorBidi" w:hAnsiTheme="minorBidi" w:cstheme="minorBidi"/>
                <w:shd w:val="clear" w:color="auto" w:fill="E6E6E6"/>
              </w:rPr>
              <w:fldChar w:fldCharType="end"/>
            </w:r>
            <w:r w:rsidRPr="004C6225">
              <w:rPr>
                <w:rFonts w:asciiTheme="minorBidi" w:hAnsiTheme="minorBidi" w:cstheme="minorBidi"/>
                <w:shd w:val="clear" w:color="auto" w:fill="E6E6E6"/>
              </w:rPr>
              <w:t xml:space="preserve"> </w:t>
            </w:r>
            <w:r w:rsidRPr="004C6225">
              <w:rPr>
                <w:rFonts w:asciiTheme="minorBidi" w:hAnsiTheme="minorBidi" w:cstheme="minorBidi"/>
              </w:rPr>
              <w:t>Other sources</w:t>
            </w:r>
          </w:p>
        </w:tc>
      </w:tr>
      <w:tr w:rsidR="004334D2" w:rsidRPr="00AE7BE8" w14:paraId="03C57EA4" w14:textId="77777777" w:rsidTr="00073748">
        <w:tc>
          <w:tcPr>
            <w:tcW w:w="2316" w:type="dxa"/>
            <w:shd w:val="clear" w:color="auto" w:fill="E6E6E6"/>
          </w:tcPr>
          <w:p w14:paraId="2984C9BA" w14:textId="77777777" w:rsidR="004334D2" w:rsidRPr="00AE7BE8" w:rsidRDefault="004334D2" w:rsidP="00E06D0C">
            <w:pPr>
              <w:pStyle w:val="ParaTickBox"/>
              <w:tabs>
                <w:tab w:val="clear" w:pos="510"/>
              </w:tabs>
              <w:ind w:left="0" w:right="57" w:firstLine="0"/>
              <w:jc w:val="both"/>
              <w:rPr>
                <w:szCs w:val="20"/>
              </w:rPr>
            </w:pPr>
            <w:r w:rsidRPr="00AE7BE8">
              <w:rPr>
                <w:szCs w:val="20"/>
              </w:rPr>
              <w:t>Choice of data or measurement methods and procedures</w:t>
            </w:r>
          </w:p>
        </w:tc>
        <w:tc>
          <w:tcPr>
            <w:tcW w:w="7029" w:type="dxa"/>
            <w:gridSpan w:val="4"/>
          </w:tcPr>
          <w:p w14:paraId="663BAE99" w14:textId="77777777" w:rsidR="004334D2" w:rsidRDefault="004334D2" w:rsidP="003630AA">
            <w:pPr>
              <w:pStyle w:val="ParaTickBox"/>
              <w:numPr>
                <w:ilvl w:val="0"/>
                <w:numId w:val="40"/>
              </w:numPr>
              <w:tabs>
                <w:tab w:val="clear" w:pos="510"/>
              </w:tabs>
              <w:ind w:right="57"/>
              <w:jc w:val="both"/>
              <w:rPr>
                <w:szCs w:val="20"/>
              </w:rPr>
            </w:pPr>
            <w:r w:rsidRPr="00AB67A2">
              <w:rPr>
                <w:szCs w:val="20"/>
                <w:u w:val="single"/>
              </w:rPr>
              <w:t xml:space="preserve">Option </w:t>
            </w:r>
            <w:r>
              <w:rPr>
                <w:szCs w:val="20"/>
                <w:u w:val="single"/>
              </w:rPr>
              <w:t>1</w:t>
            </w:r>
            <w:r w:rsidRPr="00AB67A2">
              <w:rPr>
                <w:szCs w:val="20"/>
                <w:u w:val="single"/>
              </w:rPr>
              <w:t>:</w:t>
            </w:r>
            <w:r>
              <w:rPr>
                <w:szCs w:val="20"/>
              </w:rPr>
              <w:t xml:space="preserve"> Values provided by the supplier of the fuel (preferred source) </w:t>
            </w:r>
            <w:r>
              <w:t>in line with national or international fuel standards</w:t>
            </w:r>
            <w:r>
              <w:rPr>
                <w:szCs w:val="20"/>
              </w:rPr>
              <w:t>;</w:t>
            </w:r>
          </w:p>
          <w:p w14:paraId="1AA60F1B" w14:textId="77777777" w:rsidR="004334D2" w:rsidRPr="00F81725" w:rsidRDefault="004334D2" w:rsidP="003630AA">
            <w:pPr>
              <w:pStyle w:val="ParaTickBox"/>
              <w:numPr>
                <w:ilvl w:val="0"/>
                <w:numId w:val="40"/>
              </w:numPr>
              <w:tabs>
                <w:tab w:val="clear" w:pos="510"/>
              </w:tabs>
              <w:ind w:right="57"/>
              <w:jc w:val="both"/>
              <w:rPr>
                <w:szCs w:val="20"/>
              </w:rPr>
            </w:pPr>
            <w:r w:rsidRPr="00AB67A2">
              <w:rPr>
                <w:szCs w:val="20"/>
                <w:u w:val="single"/>
              </w:rPr>
              <w:t xml:space="preserve">Option </w:t>
            </w:r>
            <w:r>
              <w:rPr>
                <w:szCs w:val="20"/>
                <w:u w:val="single"/>
              </w:rPr>
              <w:t>2</w:t>
            </w:r>
            <w:r w:rsidRPr="00AB67A2">
              <w:rPr>
                <w:szCs w:val="20"/>
                <w:u w:val="single"/>
              </w:rPr>
              <w:t>:</w:t>
            </w:r>
            <w:r>
              <w:rPr>
                <w:szCs w:val="20"/>
              </w:rPr>
              <w:t xml:space="preserve"> Measurements by activity participants </w:t>
            </w:r>
            <w:r>
              <w:t>undertaken in line with national or international fuel standards (if the v</w:t>
            </w:r>
            <w:r>
              <w:rPr>
                <w:szCs w:val="20"/>
              </w:rPr>
              <w:t xml:space="preserve">alues provided by the supplier of the fuel </w:t>
            </w:r>
            <w:r>
              <w:t>are not available);</w:t>
            </w:r>
          </w:p>
          <w:p w14:paraId="6F9E4B62" w14:textId="77777777" w:rsidR="004334D2" w:rsidRPr="00204B8F" w:rsidRDefault="004334D2" w:rsidP="003630AA">
            <w:pPr>
              <w:pStyle w:val="ParaTickBox"/>
              <w:numPr>
                <w:ilvl w:val="0"/>
                <w:numId w:val="40"/>
              </w:numPr>
              <w:tabs>
                <w:tab w:val="clear" w:pos="510"/>
              </w:tabs>
              <w:ind w:right="57"/>
              <w:jc w:val="both"/>
              <w:rPr>
                <w:szCs w:val="20"/>
              </w:rPr>
            </w:pPr>
            <w:r w:rsidRPr="00AB67A2">
              <w:rPr>
                <w:szCs w:val="20"/>
                <w:u w:val="single"/>
              </w:rPr>
              <w:t xml:space="preserve">Option </w:t>
            </w:r>
            <w:r>
              <w:rPr>
                <w:szCs w:val="20"/>
                <w:u w:val="single"/>
              </w:rPr>
              <w:t>3</w:t>
            </w:r>
            <w:r w:rsidRPr="00AB67A2">
              <w:rPr>
                <w:szCs w:val="20"/>
                <w:u w:val="single"/>
              </w:rPr>
              <w:t>:</w:t>
            </w:r>
            <w:r>
              <w:rPr>
                <w:szCs w:val="20"/>
              </w:rPr>
              <w:t xml:space="preserve"> </w:t>
            </w:r>
            <w:r>
              <w:t>Regional or national default values (if the v</w:t>
            </w:r>
            <w:r>
              <w:rPr>
                <w:szCs w:val="20"/>
              </w:rPr>
              <w:t xml:space="preserve">alues provided by the supplier of the fuel </w:t>
            </w:r>
            <w:r>
              <w:t>are not available and only for liquid fuels). Values shall be reviewed annually;</w:t>
            </w:r>
          </w:p>
          <w:p w14:paraId="26BEE0DE" w14:textId="40FEE535" w:rsidR="004334D2" w:rsidRPr="004C6225" w:rsidRDefault="004334D2" w:rsidP="003630AA">
            <w:pPr>
              <w:pStyle w:val="ParaTickBox"/>
              <w:numPr>
                <w:ilvl w:val="0"/>
                <w:numId w:val="40"/>
              </w:numPr>
              <w:tabs>
                <w:tab w:val="clear" w:pos="510"/>
              </w:tabs>
              <w:ind w:right="57"/>
              <w:jc w:val="both"/>
              <w:rPr>
                <w:szCs w:val="20"/>
              </w:rPr>
            </w:pPr>
            <w:r w:rsidRPr="00AB67A2">
              <w:rPr>
                <w:szCs w:val="20"/>
                <w:u w:val="single"/>
              </w:rPr>
              <w:t xml:space="preserve">Option </w:t>
            </w:r>
            <w:r>
              <w:rPr>
                <w:szCs w:val="20"/>
                <w:u w:val="single"/>
              </w:rPr>
              <w:t>4</w:t>
            </w:r>
            <w:r w:rsidRPr="00AB67A2">
              <w:rPr>
                <w:szCs w:val="20"/>
                <w:u w:val="single"/>
              </w:rPr>
              <w:t>:</w:t>
            </w:r>
            <w:r>
              <w:rPr>
                <w:szCs w:val="20"/>
              </w:rPr>
              <w:t xml:space="preserve"> </w:t>
            </w:r>
            <w:r>
              <w:t>Upper bound of the 95</w:t>
            </w:r>
            <w:r w:rsidR="003F7966">
              <w:t xml:space="preserve"> per cent</w:t>
            </w:r>
            <w:r>
              <w:t xml:space="preserve"> confidence interval from IPCC default values provided in the 2019 Refinement to the 2006 IPCC Guidelines on National GHG Inventories (if the v</w:t>
            </w:r>
            <w:r>
              <w:rPr>
                <w:szCs w:val="20"/>
              </w:rPr>
              <w:t xml:space="preserve">alues provided by the supplier of the fuel </w:t>
            </w:r>
            <w:r>
              <w:t>are not available). Update based on future revisions of the IPCC Guidelines</w:t>
            </w:r>
          </w:p>
        </w:tc>
      </w:tr>
      <w:tr w:rsidR="004334D2" w:rsidRPr="00AE7BE8" w14:paraId="2AD8608B" w14:textId="77777777" w:rsidTr="00073748">
        <w:tc>
          <w:tcPr>
            <w:tcW w:w="2316" w:type="dxa"/>
            <w:shd w:val="clear" w:color="auto" w:fill="E6E6E6"/>
          </w:tcPr>
          <w:p w14:paraId="4A9812D3" w14:textId="77777777" w:rsidR="004334D2" w:rsidRPr="00AE7BE8" w:rsidRDefault="004334D2" w:rsidP="00E06D0C">
            <w:pPr>
              <w:pStyle w:val="ParaTickBox"/>
              <w:tabs>
                <w:tab w:val="clear" w:pos="510"/>
              </w:tabs>
              <w:ind w:left="0" w:right="57" w:firstLine="0"/>
              <w:jc w:val="both"/>
              <w:rPr>
                <w:szCs w:val="20"/>
              </w:rPr>
            </w:pPr>
            <w:r w:rsidRPr="00AE7BE8">
              <w:rPr>
                <w:szCs w:val="20"/>
              </w:rPr>
              <w:t>Additional comments</w:t>
            </w:r>
          </w:p>
        </w:tc>
        <w:tc>
          <w:tcPr>
            <w:tcW w:w="7029" w:type="dxa"/>
            <w:gridSpan w:val="4"/>
          </w:tcPr>
          <w:p w14:paraId="4716F9CD" w14:textId="77777777" w:rsidR="004334D2" w:rsidRPr="0065190C" w:rsidRDefault="004334D2" w:rsidP="00E06D0C">
            <w:pPr>
              <w:pStyle w:val="ParaTickBox"/>
              <w:tabs>
                <w:tab w:val="clear" w:pos="510"/>
              </w:tabs>
              <w:ind w:left="0" w:right="57" w:firstLine="0"/>
              <w:jc w:val="both"/>
            </w:pPr>
            <w:r w:rsidRPr="0065190C">
              <w:t>For Option 1, if the fuel supplier of the fuel does provide the NCV value and the CO</w:t>
            </w:r>
            <w:r w:rsidRPr="0065190C">
              <w:rPr>
                <w:vertAlign w:val="subscript"/>
              </w:rPr>
              <w:t>2</w:t>
            </w:r>
            <w:r w:rsidRPr="0065190C">
              <w:t xml:space="preserve"> emission factor on the invoice and these two values are based on measurements for this specific fuel, this CO</w:t>
            </w:r>
            <w:r w:rsidRPr="00781492">
              <w:rPr>
                <w:vertAlign w:val="subscript"/>
              </w:rPr>
              <w:t>2</w:t>
            </w:r>
            <w:r w:rsidRPr="0065190C">
              <w:t xml:space="preserve"> factor should be used. If another source for the CO</w:t>
            </w:r>
            <w:r w:rsidRPr="00781492">
              <w:rPr>
                <w:vertAlign w:val="subscript"/>
              </w:rPr>
              <w:t>2</w:t>
            </w:r>
            <w:r w:rsidRPr="0065190C">
              <w:t xml:space="preserve"> emission factor is used or no CO</w:t>
            </w:r>
            <w:r w:rsidRPr="0065190C">
              <w:rPr>
                <w:vertAlign w:val="subscript"/>
              </w:rPr>
              <w:t>2</w:t>
            </w:r>
            <w:r w:rsidRPr="0065190C">
              <w:t xml:space="preserve"> emission factor is provided, Options 2, 3 and 4 should be used.</w:t>
            </w:r>
          </w:p>
          <w:p w14:paraId="7DD68C7C" w14:textId="72B355B5" w:rsidR="004334D2" w:rsidRPr="00CB3EAB" w:rsidRDefault="004334D2" w:rsidP="00E72F4C">
            <w:pPr>
              <w:pStyle w:val="ParaTickBox"/>
              <w:tabs>
                <w:tab w:val="clear" w:pos="510"/>
              </w:tabs>
              <w:spacing w:before="120" w:after="0"/>
              <w:ind w:left="0" w:right="57" w:firstLine="0"/>
              <w:jc w:val="both"/>
              <w:rPr>
                <w:szCs w:val="20"/>
              </w:rPr>
            </w:pPr>
            <w:r w:rsidRPr="0065190C">
              <w:t>The emission factors of CH</w:t>
            </w:r>
            <w:r w:rsidRPr="0065190C">
              <w:rPr>
                <w:vertAlign w:val="subscript"/>
              </w:rPr>
              <w:t>4</w:t>
            </w:r>
            <w:r w:rsidRPr="0065190C">
              <w:t xml:space="preserve"> and N</w:t>
            </w:r>
            <w:r w:rsidRPr="0065190C">
              <w:rPr>
                <w:vertAlign w:val="subscript"/>
              </w:rPr>
              <w:t>2</w:t>
            </w:r>
            <w:r w:rsidRPr="0065190C">
              <w:t>O shall be converted to tCO</w:t>
            </w:r>
            <w:r w:rsidRPr="0065190C">
              <w:rPr>
                <w:vertAlign w:val="subscript"/>
              </w:rPr>
              <w:t>2</w:t>
            </w:r>
            <w:r w:rsidRPr="0065190C">
              <w:t>e/GJ and added to the emission factor of CO</w:t>
            </w:r>
            <w:r w:rsidRPr="0065190C">
              <w:rPr>
                <w:vertAlign w:val="subscript"/>
              </w:rPr>
              <w:t>2</w:t>
            </w:r>
            <w:r w:rsidRPr="0065190C">
              <w:t xml:space="preserve"> to estimate a total equivalent emission factor in tCO</w:t>
            </w:r>
            <w:r w:rsidRPr="0065190C">
              <w:rPr>
                <w:vertAlign w:val="subscript"/>
              </w:rPr>
              <w:t>2</w:t>
            </w:r>
            <w:r w:rsidRPr="0065190C">
              <w:t>e/GJ for the three greenhouse gases</w:t>
            </w:r>
          </w:p>
        </w:tc>
      </w:tr>
    </w:tbl>
    <w:p w14:paraId="49FC72C3" w14:textId="2C6FC0D7" w:rsidR="004334D2" w:rsidRDefault="004334D2" w:rsidP="00592EC1">
      <w:pPr>
        <w:pStyle w:val="SDMHead2"/>
      </w:pPr>
      <w:bookmarkStart w:id="431" w:name="_Toc211555335"/>
      <w:bookmarkStart w:id="432" w:name="_Toc211598987"/>
      <w:bookmarkStart w:id="433" w:name="_Toc211599489"/>
      <w:bookmarkStart w:id="434" w:name="_Toc211612285"/>
      <w:bookmarkStart w:id="435" w:name="_Toc211614732"/>
      <w:bookmarkStart w:id="436" w:name="_Toc211614775"/>
      <w:r w:rsidRPr="00AF2479">
        <w:t>Fre</w:t>
      </w:r>
      <w:r>
        <w:t>quency of submission of monitoring reports</w:t>
      </w:r>
      <w:bookmarkEnd w:id="431"/>
      <w:bookmarkEnd w:id="432"/>
      <w:bookmarkEnd w:id="433"/>
      <w:bookmarkEnd w:id="434"/>
      <w:bookmarkEnd w:id="435"/>
      <w:bookmarkEnd w:id="436"/>
    </w:p>
    <w:p w14:paraId="5D5FE0ED" w14:textId="45327A42" w:rsidR="0011683B" w:rsidRDefault="004334D2" w:rsidP="00E66E80">
      <w:pPr>
        <w:pStyle w:val="SDMPara"/>
      </w:pPr>
      <w:r>
        <w:t>N/A, since this requirement is only applicable for activities involving removals and for emission reduction activities with risks of reversals.</w:t>
      </w:r>
      <w:r w:rsidR="0011683B">
        <w:br w:type="page"/>
      </w:r>
    </w:p>
    <w:p w14:paraId="3C890434" w14:textId="77777777" w:rsidR="009532CC" w:rsidDel="002C0422" w:rsidRDefault="009532CC" w:rsidP="00E66E80">
      <w:pPr>
        <w:pStyle w:val="SDMPara"/>
        <w:sectPr w:rsidR="009532CC" w:rsidDel="002C0422" w:rsidSect="00970CC7">
          <w:headerReference w:type="default" r:id="rId20"/>
          <w:footnotePr>
            <w:numRestart w:val="eachSect"/>
          </w:footnotePr>
          <w:pgSz w:w="11907" w:h="16840" w:code="9"/>
          <w:pgMar w:top="2552" w:right="1134" w:bottom="1135" w:left="1418" w:header="851" w:footer="567" w:gutter="0"/>
          <w:cols w:space="720"/>
          <w:formProt w:val="0"/>
          <w:docGrid w:linePitch="299"/>
        </w:sectPr>
      </w:pPr>
    </w:p>
    <w:p w14:paraId="014282D6" w14:textId="5277B8D4" w:rsidR="004334D2" w:rsidRDefault="004334D2" w:rsidP="00F142E7">
      <w:pPr>
        <w:pStyle w:val="SDMAppTitle"/>
      </w:pPr>
      <w:bookmarkStart w:id="437" w:name="_Toc211555336"/>
      <w:bookmarkStart w:id="438" w:name="_Toc211598988"/>
      <w:bookmarkStart w:id="439" w:name="_Toc211599490"/>
      <w:bookmarkStart w:id="440" w:name="_Toc211612286"/>
      <w:bookmarkStart w:id="441" w:name="_Toc211614733"/>
      <w:bookmarkStart w:id="442" w:name="_Toc211614776"/>
      <w:r>
        <w:t>Identification and avoidance or minimization of leakage</w:t>
      </w:r>
      <w:bookmarkEnd w:id="437"/>
      <w:bookmarkEnd w:id="438"/>
      <w:bookmarkEnd w:id="439"/>
      <w:bookmarkEnd w:id="440"/>
      <w:bookmarkEnd w:id="441"/>
      <w:bookmarkEnd w:id="442"/>
    </w:p>
    <w:p w14:paraId="6FA1F46D" w14:textId="77777777" w:rsidR="004334D2" w:rsidRDefault="004334D2" w:rsidP="00C67B31">
      <w:pPr>
        <w:pStyle w:val="SDMApp1"/>
      </w:pPr>
      <w:r>
        <w:t>Identification of leakage emission sources</w:t>
      </w:r>
    </w:p>
    <w:p w14:paraId="332AEBA4" w14:textId="77777777" w:rsidR="004334D2" w:rsidRDefault="004334D2" w:rsidP="00DA05CE">
      <w:pPr>
        <w:pStyle w:val="SDMPara"/>
        <w:keepNext/>
        <w:numPr>
          <w:ilvl w:val="0"/>
          <w:numId w:val="14"/>
        </w:numPr>
      </w:pPr>
      <w:r>
        <w:t>As required by the leakage standard, the following potential sources of leakage are considered:</w:t>
      </w:r>
    </w:p>
    <w:p w14:paraId="109EC321" w14:textId="77777777" w:rsidR="004334D2" w:rsidRDefault="004334D2" w:rsidP="00E66E80">
      <w:pPr>
        <w:pStyle w:val="SDMSubPara1"/>
      </w:pPr>
      <w:r>
        <w:t>Baseline equipment transfer;</w:t>
      </w:r>
    </w:p>
    <w:p w14:paraId="35B08695" w14:textId="77777777" w:rsidR="004334D2" w:rsidRDefault="004334D2" w:rsidP="00E66E80">
      <w:pPr>
        <w:pStyle w:val="SDMSubPara1"/>
      </w:pPr>
      <w:r>
        <w:t>Competition for resource use;</w:t>
      </w:r>
    </w:p>
    <w:p w14:paraId="5027C171" w14:textId="77777777" w:rsidR="004334D2" w:rsidRDefault="004334D2" w:rsidP="00E66E80">
      <w:pPr>
        <w:pStyle w:val="SDMSubPara1"/>
      </w:pPr>
      <w:r>
        <w:t>Diversion of existing production processes or outputs;</w:t>
      </w:r>
    </w:p>
    <w:p w14:paraId="2034F88D" w14:textId="77777777" w:rsidR="004334D2" w:rsidRDefault="004334D2" w:rsidP="00E66E80">
      <w:pPr>
        <w:pStyle w:val="SDMSubPara1"/>
      </w:pPr>
      <w:r>
        <w:t>Increases in release of GHGs from the environment as a result of Article 6.4 activity;</w:t>
      </w:r>
    </w:p>
    <w:p w14:paraId="2B2FED4D" w14:textId="77777777" w:rsidR="004334D2" w:rsidRDefault="004334D2" w:rsidP="00DA05CE">
      <w:pPr>
        <w:pStyle w:val="SDMSubPara1"/>
        <w:keepNext/>
      </w:pPr>
      <w:r>
        <w:t>Additional leakage sources not covered by the leakage standard:</w:t>
      </w:r>
    </w:p>
    <w:p w14:paraId="68AF5FAA" w14:textId="77777777" w:rsidR="004334D2" w:rsidRDefault="004334D2" w:rsidP="00E66E80">
      <w:pPr>
        <w:pStyle w:val="SDMSubPara2"/>
      </w:pPr>
      <w:r>
        <w:t>Upstream emissions from the manufacturing of flares used by the Article 6.4 activity;</w:t>
      </w:r>
    </w:p>
    <w:p w14:paraId="2AF5DB8B" w14:textId="77777777" w:rsidR="004334D2" w:rsidRDefault="004334D2" w:rsidP="00E66E80">
      <w:pPr>
        <w:pStyle w:val="SDMSubPara2"/>
      </w:pPr>
      <w:r>
        <w:t>Upstream emissions from the manufacturing of HDPE pipeline used for LFG collection and supply of LFG or biomethane to consumers;</w:t>
      </w:r>
    </w:p>
    <w:p w14:paraId="34F434B8" w14:textId="77777777" w:rsidR="004334D2" w:rsidRDefault="004334D2" w:rsidP="00E66E80">
      <w:pPr>
        <w:pStyle w:val="SDMSubPara2"/>
      </w:pPr>
      <w:r>
        <w:t>Upstream emissions from the manufacturing of the containers used for the transportation of the LFG or the biomethane, manufacturing of trucks, and manufacturing of equipment used for LFG compression or upgrade to biomethane;</w:t>
      </w:r>
    </w:p>
    <w:p w14:paraId="17974CCA" w14:textId="77777777" w:rsidR="004334D2" w:rsidRDefault="004334D2" w:rsidP="00E66E80">
      <w:pPr>
        <w:pStyle w:val="SDMSubPara2"/>
      </w:pPr>
      <w:r>
        <w:t>Upstream emissions from the generation of energy using fossil fuels, including emissions from the production, processing and transportation of fossil fuels to the energy plant, manufacturing of the energy generation equipment and construction of the energy generation plant.</w:t>
      </w:r>
    </w:p>
    <w:p w14:paraId="2269A1F9" w14:textId="7D81A10D" w:rsidR="004334D2" w:rsidRDefault="004334D2" w:rsidP="00C67B31">
      <w:pPr>
        <w:pStyle w:val="SDMApp1"/>
      </w:pPr>
      <w:r>
        <w:t>Avoidance or minimization of leakage</w:t>
      </w:r>
    </w:p>
    <w:p w14:paraId="497796F6" w14:textId="2A943990" w:rsidR="004334D2" w:rsidRDefault="004334D2" w:rsidP="00DA05CE">
      <w:pPr>
        <w:pStyle w:val="SDMPara"/>
        <w:keepNext/>
      </w:pPr>
      <w:r>
        <w:t xml:space="preserve">Out of the potential sources identified above, the following are not impacted by typical </w:t>
      </w:r>
      <w:r w:rsidR="00FB417B">
        <w:t>Article 6.4 activities</w:t>
      </w:r>
      <w:r>
        <w:t xml:space="preserve"> eligible under this </w:t>
      </w:r>
      <w:r w:rsidR="008A0B90">
        <w:t>mechanism methodology</w:t>
      </w:r>
      <w:r>
        <w:t xml:space="preserve"> and, therefore, do not need to be further considered:</w:t>
      </w:r>
    </w:p>
    <w:p w14:paraId="0BE73C7A" w14:textId="73C65EB6" w:rsidR="004334D2" w:rsidRDefault="004334D2" w:rsidP="00E66E80">
      <w:pPr>
        <w:pStyle w:val="SDMSubPara1"/>
      </w:pPr>
      <w:r>
        <w:t xml:space="preserve">Diversion of existing production processes or outputs: the types output provided by typical </w:t>
      </w:r>
      <w:r w:rsidR="00FB417B">
        <w:t>Article 6.4 activities</w:t>
      </w:r>
      <w:r>
        <w:t xml:space="preserve"> eligible under this </w:t>
      </w:r>
      <w:r w:rsidR="008A0B90">
        <w:t>mechanism methodology</w:t>
      </w:r>
      <w:r>
        <w:t xml:space="preserve"> are the same as in the baseline, (i.e. treated waste, biomethane/LFG to replace natural gas, heat or electricity);</w:t>
      </w:r>
    </w:p>
    <w:p w14:paraId="4107D762" w14:textId="77777777" w:rsidR="004334D2" w:rsidRDefault="004334D2" w:rsidP="00E66E80">
      <w:pPr>
        <w:pStyle w:val="SDMSubPara1"/>
      </w:pPr>
      <w:r>
        <w:t>Increases in release of GHGs from the environment as a result of the project: the project will be implemented in SWDS, therefore there will be no release of GHG from the environment.</w:t>
      </w:r>
    </w:p>
    <w:p w14:paraId="64DE93E1" w14:textId="434B60E5" w:rsidR="004334D2" w:rsidRDefault="004334D2" w:rsidP="00E66E80">
      <w:pPr>
        <w:pStyle w:val="SDMPara"/>
      </w:pPr>
      <w:r>
        <w:t xml:space="preserve">Leakage from the transfer of baseline equipment may happen if the heat generation equipment used in the baseline replaces a new heat generation equipment that is used outside of the </w:t>
      </w:r>
      <w:r w:rsidR="005704AC">
        <w:t>project boundary</w:t>
      </w:r>
      <w:r>
        <w:t xml:space="preserve">. In order to avoid this leakage, an applicability condition was added requiring activity participants to either demonstrate that the heat generation equipment used in the baseline scenario are scrapped or that the existing heat generation equipment used outside of the </w:t>
      </w:r>
      <w:r w:rsidR="005704AC">
        <w:t>project boundary</w:t>
      </w:r>
      <w:r>
        <w:t xml:space="preserve"> has a lower efficiency than the heat generation equipment used in the baseline scenario.</w:t>
      </w:r>
    </w:p>
    <w:p w14:paraId="49DC114E" w14:textId="6E2204AC" w:rsidR="004334D2" w:rsidRDefault="004334D2" w:rsidP="00247E9F">
      <w:pPr>
        <w:pStyle w:val="SDMPara"/>
        <w:keepNext/>
        <w:numPr>
          <w:ilvl w:val="0"/>
          <w:numId w:val="1"/>
        </w:numPr>
      </w:pPr>
      <w:r>
        <w:t xml:space="preserve">Leakage from the competitive use of the solid waste may happen if solid waste used for other activities, e.g. recycling, is diverted to the SWDS. To avoid this leakage, an applicability condition was introduced in this </w:t>
      </w:r>
      <w:r w:rsidR="008A0B90">
        <w:t>mechanism methodology</w:t>
      </w:r>
      <w:r>
        <w:t xml:space="preserve"> that requires activity participants to demonstrate that the Article 6.4 activity does not reduce the amount of organic waste that would be recycled in the absence of the </w:t>
      </w:r>
      <w:r w:rsidR="005704AC">
        <w:t>Article 6.4 activity</w:t>
      </w:r>
      <w:r>
        <w:t>.</w:t>
      </w:r>
    </w:p>
    <w:p w14:paraId="1A90ACC3" w14:textId="77777777" w:rsidR="004334D2" w:rsidRDefault="004334D2" w:rsidP="00C67B31">
      <w:pPr>
        <w:pStyle w:val="SDMApp1"/>
      </w:pPr>
      <w:r>
        <w:t>Discount of leakage</w:t>
      </w:r>
    </w:p>
    <w:p w14:paraId="3B407CFF" w14:textId="77777777" w:rsidR="004334D2" w:rsidRDefault="004334D2" w:rsidP="00DA05CE">
      <w:pPr>
        <w:pStyle w:val="SDMPara"/>
        <w:keepNext/>
      </w:pPr>
      <w:r>
        <w:t>As justified above, the leakage emissions sources that need to be accounted are those associated with the:</w:t>
      </w:r>
    </w:p>
    <w:p w14:paraId="34081968" w14:textId="77777777" w:rsidR="004334D2" w:rsidRDefault="004334D2" w:rsidP="00E66E80">
      <w:pPr>
        <w:pStyle w:val="SDMSubPara1"/>
      </w:pPr>
      <w:r>
        <w:t>Upstream emissions from the manufacturing of flares used by the project;</w:t>
      </w:r>
    </w:p>
    <w:p w14:paraId="35C36B4C" w14:textId="77777777" w:rsidR="004334D2" w:rsidRDefault="004334D2" w:rsidP="00E66E80">
      <w:pPr>
        <w:pStyle w:val="SDMSubPara1"/>
      </w:pPr>
      <w:r>
        <w:t>Upstream emissions from the manufacturing of HDPE pipeline used for LFG collection and supply of LFG or biomethane to consumers via dedicated pipeline;</w:t>
      </w:r>
    </w:p>
    <w:p w14:paraId="24F80526" w14:textId="77777777" w:rsidR="004334D2" w:rsidRDefault="004334D2" w:rsidP="00E66E80">
      <w:pPr>
        <w:pStyle w:val="SDMSubPara1"/>
      </w:pPr>
      <w:r>
        <w:t>Upstream emissions from the manufacturing of the containers used for the transportation of the LFG or the biomethane, of manufacturing of trucks, and manufacturing of equipment used for LFG compression and biomethane upgrade and compression;</w:t>
      </w:r>
    </w:p>
    <w:p w14:paraId="59EA41AB" w14:textId="77777777" w:rsidR="004334D2" w:rsidRDefault="004334D2" w:rsidP="00E66E80">
      <w:pPr>
        <w:pStyle w:val="SDMSubPara1"/>
      </w:pPr>
      <w:r>
        <w:t>Upstream emissions from the generation of energy using fossil fuels, including emissions from the production, processing and transportation of fossil fuel to the energy plant, manufacturing of the energy generation equipment and construction of the energy plant.</w:t>
      </w:r>
    </w:p>
    <w:p w14:paraId="0AE6262D" w14:textId="77777777" w:rsidR="004334D2" w:rsidRDefault="004334D2" w:rsidP="00DA05CE">
      <w:pPr>
        <w:pStyle w:val="SDMPara"/>
        <w:keepNext/>
        <w:keepLines/>
      </w:pPr>
      <w:r>
        <w:t>The table below illustrates the upstream emission sources identified for the baseline and for the activity scenarios associated with the type of Article 6.4 activity being implemented based on the different components:</w:t>
      </w:r>
    </w:p>
    <w:p w14:paraId="3A5332C9" w14:textId="553DF994" w:rsidR="004334D2" w:rsidRPr="004D7AFF" w:rsidRDefault="004334D2" w:rsidP="00724DE3">
      <w:pPr>
        <w:pStyle w:val="Caption"/>
        <w:keepNext w:val="0"/>
      </w:pPr>
      <w:r>
        <w:t>Table </w:t>
      </w:r>
      <w:r>
        <w:fldChar w:fldCharType="begin"/>
      </w:r>
      <w:r>
        <w:instrText xml:space="preserve"> SEQ Table</w:instrText>
      </w:r>
      <w:r w:rsidR="002E6D81">
        <w:instrText>\</w:instrText>
      </w:r>
      <w:r w:rsidR="002F3CFE">
        <w:instrText>r1</w:instrText>
      </w:r>
      <w:r>
        <w:instrText xml:space="preserve"> \* ARABIC </w:instrText>
      </w:r>
      <w:r>
        <w:fldChar w:fldCharType="separate"/>
      </w:r>
      <w:r w:rsidR="00302468">
        <w:rPr>
          <w:noProof/>
        </w:rPr>
        <w:t>1</w:t>
      </w:r>
      <w:r>
        <w:rPr>
          <w:noProof/>
        </w:rPr>
        <w:fldChar w:fldCharType="end"/>
      </w:r>
      <w:r>
        <w:rPr>
          <w:noProof/>
        </w:rPr>
        <w:t>.</w:t>
      </w:r>
      <w:r>
        <w:tab/>
        <w:t xml:space="preserve">Upstream baseline and activity emission sources identified for each component of Article 6.4 activities eligible under this </w:t>
      </w:r>
      <w:r w:rsidR="008A0B90">
        <w:t>mechanism methodology</w:t>
      </w:r>
    </w:p>
    <w:tbl>
      <w:tblPr>
        <w:tblStyle w:val="SDMTableFullWidth"/>
        <w:tblW w:w="4556"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1271"/>
        <w:gridCol w:w="2126"/>
        <w:gridCol w:w="1276"/>
        <w:gridCol w:w="1843"/>
        <w:gridCol w:w="1999"/>
      </w:tblGrid>
      <w:tr w:rsidR="004334D2" w14:paraId="265418FA" w14:textId="77777777" w:rsidTr="002E0672">
        <w:trPr>
          <w:cnfStyle w:val="100000000000" w:firstRow="1" w:lastRow="0" w:firstColumn="0" w:lastColumn="0" w:oddVBand="0" w:evenVBand="0" w:oddHBand="0" w:evenHBand="0" w:firstRowFirstColumn="0" w:firstRowLastColumn="0" w:lastRowFirstColumn="0" w:lastRowLastColumn="0"/>
          <w:trHeight w:val="595"/>
          <w:jc w:val="right"/>
        </w:trPr>
        <w:tc>
          <w:tcPr>
            <w:tcW w:w="127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D029D4" w14:textId="77777777" w:rsidR="004334D2" w:rsidRDefault="004334D2" w:rsidP="00E66E80">
            <w:pPr>
              <w:pStyle w:val="SDMTableBoxParaNumbered"/>
            </w:pPr>
            <w:r>
              <w:t>Type of project</w:t>
            </w:r>
          </w:p>
        </w:tc>
        <w:tc>
          <w:tcPr>
            <w:tcW w:w="212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0E17791" w14:textId="77777777" w:rsidR="004334D2" w:rsidRDefault="004334D2" w:rsidP="006A34AC">
            <w:pPr>
              <w:pStyle w:val="SDMTableBoxParaNotNumbered"/>
            </w:pPr>
            <w:r>
              <w:t>Baseline situation</w:t>
            </w:r>
          </w:p>
        </w:tc>
        <w:tc>
          <w:tcPr>
            <w:tcW w:w="127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4B4CF71" w14:textId="77777777" w:rsidR="004334D2" w:rsidRDefault="004334D2" w:rsidP="006A34AC">
            <w:pPr>
              <w:pStyle w:val="SDMTableBoxParaNotNumbered"/>
            </w:pPr>
            <w:r>
              <w:t>Source of upstream baseline emissions</w:t>
            </w:r>
          </w:p>
        </w:tc>
        <w:tc>
          <w:tcPr>
            <w:tcW w:w="184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86ECC1" w14:textId="77777777" w:rsidR="004334D2" w:rsidRDefault="004334D2" w:rsidP="006A34AC">
            <w:pPr>
              <w:pStyle w:val="SDMTableBoxParaNotNumbered"/>
            </w:pPr>
            <w:r>
              <w:t>Activity situation</w:t>
            </w:r>
          </w:p>
        </w:tc>
        <w:tc>
          <w:tcPr>
            <w:tcW w:w="199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3585A0" w14:textId="18F9F410" w:rsidR="004334D2" w:rsidRDefault="004334D2" w:rsidP="006A34AC">
            <w:pPr>
              <w:pStyle w:val="SDMTableBoxParaNotNumbered"/>
            </w:pPr>
            <w:r>
              <w:t xml:space="preserve">Source of upstream </w:t>
            </w:r>
            <w:r w:rsidR="005704AC">
              <w:t>project emissions</w:t>
            </w:r>
          </w:p>
        </w:tc>
      </w:tr>
      <w:tr w:rsidR="004334D2" w14:paraId="4726C679" w14:textId="77777777" w:rsidTr="002E0672">
        <w:trPr>
          <w:jc w:val="right"/>
        </w:trPr>
        <w:tc>
          <w:tcPr>
            <w:tcW w:w="1271" w:type="dxa"/>
          </w:tcPr>
          <w:p w14:paraId="034EFE19" w14:textId="77777777" w:rsidR="004334D2" w:rsidRDefault="004334D2" w:rsidP="00E06D0C">
            <w:pPr>
              <w:pStyle w:val="SDMTableBoxParaNumbered"/>
              <w:numPr>
                <w:ilvl w:val="0"/>
                <w:numId w:val="0"/>
              </w:numPr>
            </w:pPr>
            <w:r>
              <w:t>Flaring only</w:t>
            </w:r>
          </w:p>
        </w:tc>
        <w:tc>
          <w:tcPr>
            <w:tcW w:w="2126" w:type="dxa"/>
          </w:tcPr>
          <w:p w14:paraId="0876BF4E" w14:textId="77777777" w:rsidR="004334D2" w:rsidRDefault="004334D2" w:rsidP="00C67B31">
            <w:pPr>
              <w:pStyle w:val="SDMTableBoxParaNotNumbered"/>
              <w:numPr>
                <w:ilvl w:val="0"/>
                <w:numId w:val="13"/>
              </w:numPr>
              <w:ind w:left="172" w:hanging="172"/>
            </w:pPr>
            <w:r>
              <w:t>Operation of the landfill without implementing the LFG collection and destruction systems that are part of the project;</w:t>
            </w:r>
          </w:p>
        </w:tc>
        <w:tc>
          <w:tcPr>
            <w:tcW w:w="1276" w:type="dxa"/>
          </w:tcPr>
          <w:p w14:paraId="4E95CBFC" w14:textId="77777777" w:rsidR="004334D2" w:rsidRDefault="004334D2" w:rsidP="00C67B31">
            <w:pPr>
              <w:pStyle w:val="SDMTableBoxParaNotNumbered"/>
              <w:numPr>
                <w:ilvl w:val="0"/>
                <w:numId w:val="13"/>
              </w:numPr>
              <w:ind w:left="172" w:hanging="172"/>
            </w:pPr>
            <w:r>
              <w:t>N/A</w:t>
            </w:r>
          </w:p>
        </w:tc>
        <w:tc>
          <w:tcPr>
            <w:tcW w:w="1843" w:type="dxa"/>
          </w:tcPr>
          <w:p w14:paraId="63BF594D" w14:textId="77777777" w:rsidR="004334D2" w:rsidRDefault="004334D2" w:rsidP="00C67B31">
            <w:pPr>
              <w:pStyle w:val="SDMTableBoxParaNotNumbered"/>
              <w:numPr>
                <w:ilvl w:val="0"/>
                <w:numId w:val="13"/>
              </w:numPr>
              <w:ind w:left="172" w:hanging="172"/>
            </w:pPr>
            <w:r>
              <w:t>Installation of an efficient LFG collection system;</w:t>
            </w:r>
          </w:p>
          <w:p w14:paraId="141556E7" w14:textId="77777777" w:rsidR="004334D2" w:rsidRDefault="004334D2" w:rsidP="00C67B31">
            <w:pPr>
              <w:pStyle w:val="SDMTableBoxParaNotNumbered"/>
              <w:numPr>
                <w:ilvl w:val="0"/>
                <w:numId w:val="13"/>
              </w:numPr>
              <w:spacing w:before="60"/>
              <w:ind w:left="170" w:hanging="170"/>
            </w:pPr>
            <w:r>
              <w:t>Installation of one or more flares to destroy the methane</w:t>
            </w:r>
          </w:p>
        </w:tc>
        <w:tc>
          <w:tcPr>
            <w:tcW w:w="1999" w:type="dxa"/>
          </w:tcPr>
          <w:p w14:paraId="11B3977D" w14:textId="77777777" w:rsidR="004334D2" w:rsidRDefault="004334D2" w:rsidP="00C67B31">
            <w:pPr>
              <w:pStyle w:val="SDMTableBoxParaNotNumbered"/>
              <w:numPr>
                <w:ilvl w:val="0"/>
                <w:numId w:val="13"/>
              </w:numPr>
              <w:ind w:left="172" w:hanging="172"/>
            </w:pPr>
            <w:r>
              <w:t>Manufacturing of HDPE pipeline to collect the LFG</w:t>
            </w:r>
          </w:p>
          <w:p w14:paraId="47BD605E" w14:textId="77777777" w:rsidR="004334D2" w:rsidRDefault="004334D2" w:rsidP="00C67B31">
            <w:pPr>
              <w:pStyle w:val="SDMTableBoxParaNotNumbered"/>
              <w:numPr>
                <w:ilvl w:val="0"/>
                <w:numId w:val="13"/>
              </w:numPr>
              <w:spacing w:before="60"/>
              <w:ind w:left="170" w:hanging="170"/>
            </w:pPr>
            <w:r>
              <w:t>Manufacturing of flares</w:t>
            </w:r>
          </w:p>
        </w:tc>
      </w:tr>
      <w:tr w:rsidR="004334D2" w14:paraId="17372FE9" w14:textId="77777777" w:rsidTr="002E0672">
        <w:trPr>
          <w:jc w:val="right"/>
        </w:trPr>
        <w:tc>
          <w:tcPr>
            <w:tcW w:w="1271" w:type="dxa"/>
          </w:tcPr>
          <w:p w14:paraId="3598DF02" w14:textId="77777777" w:rsidR="004334D2" w:rsidRDefault="004334D2" w:rsidP="00E06D0C">
            <w:pPr>
              <w:pStyle w:val="SDMTableBoxParaNumbered"/>
              <w:numPr>
                <w:ilvl w:val="0"/>
                <w:numId w:val="0"/>
              </w:numPr>
            </w:pPr>
            <w:r>
              <w:t>Supply of biomethane or LFG to consumers</w:t>
            </w:r>
          </w:p>
        </w:tc>
        <w:tc>
          <w:tcPr>
            <w:tcW w:w="2126" w:type="dxa"/>
          </w:tcPr>
          <w:p w14:paraId="44B01B67" w14:textId="77777777" w:rsidR="004334D2" w:rsidRDefault="004334D2" w:rsidP="00C67B31">
            <w:pPr>
              <w:pStyle w:val="SDMTableBoxParaNotNumbered"/>
              <w:numPr>
                <w:ilvl w:val="0"/>
                <w:numId w:val="13"/>
              </w:numPr>
              <w:ind w:left="172" w:hanging="172"/>
            </w:pPr>
            <w:r>
              <w:t>Operation of the landfill without implementing the LFG collection system that is part of the project;</w:t>
            </w:r>
          </w:p>
          <w:p w14:paraId="41080F63" w14:textId="6271019F" w:rsidR="004334D2" w:rsidRDefault="004334D2" w:rsidP="00C67B31">
            <w:pPr>
              <w:pStyle w:val="SDMTableBoxParaNotNumbered"/>
              <w:numPr>
                <w:ilvl w:val="0"/>
                <w:numId w:val="13"/>
              </w:numPr>
              <w:spacing w:before="60"/>
              <w:ind w:left="170" w:hanging="170"/>
            </w:pPr>
            <w:r>
              <w:t>Consumers would have been supplied with natural gas from the distribution network</w:t>
            </w:r>
          </w:p>
        </w:tc>
        <w:tc>
          <w:tcPr>
            <w:tcW w:w="1276" w:type="dxa"/>
          </w:tcPr>
          <w:p w14:paraId="6D431D1B" w14:textId="77777777" w:rsidR="004334D2" w:rsidRDefault="004334D2" w:rsidP="00C67B31">
            <w:pPr>
              <w:pStyle w:val="SDMTableBoxParaNotNumbered"/>
              <w:numPr>
                <w:ilvl w:val="0"/>
                <w:numId w:val="13"/>
              </w:numPr>
              <w:ind w:left="172" w:hanging="172"/>
            </w:pPr>
            <w:r>
              <w:t>N/A</w:t>
            </w:r>
          </w:p>
          <w:p w14:paraId="1E166E65" w14:textId="22D1B748" w:rsidR="004334D2" w:rsidRDefault="004334D2" w:rsidP="00C67B31">
            <w:pPr>
              <w:pStyle w:val="SDMTableBoxParaNotNumbered"/>
              <w:numPr>
                <w:ilvl w:val="0"/>
                <w:numId w:val="13"/>
              </w:numPr>
              <w:spacing w:before="60"/>
              <w:ind w:left="170" w:hanging="170"/>
            </w:pPr>
            <w:r>
              <w:t>Production, processing and transportation of the natural gas to the consumers</w:t>
            </w:r>
          </w:p>
        </w:tc>
        <w:tc>
          <w:tcPr>
            <w:tcW w:w="1843" w:type="dxa"/>
          </w:tcPr>
          <w:p w14:paraId="5D95DD2D" w14:textId="77777777" w:rsidR="004334D2" w:rsidRDefault="004334D2" w:rsidP="00C67B31">
            <w:pPr>
              <w:pStyle w:val="SDMTableBoxParaNotNumbered"/>
              <w:numPr>
                <w:ilvl w:val="0"/>
                <w:numId w:val="13"/>
              </w:numPr>
              <w:ind w:left="172" w:hanging="172"/>
            </w:pPr>
            <w:r>
              <w:t>Installation of an efficient LFG collection system;</w:t>
            </w:r>
          </w:p>
          <w:p w14:paraId="5BB27ED1" w14:textId="77777777" w:rsidR="004334D2" w:rsidRDefault="004334D2" w:rsidP="00C67B31">
            <w:pPr>
              <w:pStyle w:val="SDMTableBoxParaNotNumbered"/>
              <w:numPr>
                <w:ilvl w:val="0"/>
                <w:numId w:val="13"/>
              </w:numPr>
              <w:spacing w:before="60"/>
              <w:ind w:left="170" w:hanging="170"/>
            </w:pPr>
            <w:r>
              <w:t>Installation of biomethane production plant;</w:t>
            </w:r>
          </w:p>
          <w:p w14:paraId="50444391" w14:textId="77777777" w:rsidR="004334D2" w:rsidRDefault="004334D2" w:rsidP="00C67B31">
            <w:pPr>
              <w:pStyle w:val="SDMTableBoxParaNotNumbered"/>
              <w:numPr>
                <w:ilvl w:val="0"/>
                <w:numId w:val="13"/>
              </w:numPr>
              <w:spacing w:before="60"/>
              <w:ind w:left="170" w:hanging="170"/>
            </w:pPr>
            <w:r>
              <w:t>Transportation of the biomethane to consumers via pipeline, natural gas grid or trucks</w:t>
            </w:r>
          </w:p>
        </w:tc>
        <w:tc>
          <w:tcPr>
            <w:tcW w:w="1999" w:type="dxa"/>
          </w:tcPr>
          <w:p w14:paraId="65E0E093" w14:textId="77777777" w:rsidR="004334D2" w:rsidRDefault="004334D2" w:rsidP="00C67B31">
            <w:pPr>
              <w:pStyle w:val="SDMTableBoxParaNotNumbered"/>
              <w:numPr>
                <w:ilvl w:val="0"/>
                <w:numId w:val="13"/>
              </w:numPr>
              <w:spacing w:before="60"/>
              <w:ind w:left="172" w:hanging="172"/>
            </w:pPr>
            <w:r>
              <w:t>Manufacturing of HDPE pipeline to collect the LFG;</w:t>
            </w:r>
          </w:p>
          <w:p w14:paraId="48A1877A" w14:textId="77777777" w:rsidR="004334D2" w:rsidRDefault="004334D2" w:rsidP="00C67B31">
            <w:pPr>
              <w:pStyle w:val="SDMTableBoxParaNotNumbered"/>
              <w:numPr>
                <w:ilvl w:val="0"/>
                <w:numId w:val="13"/>
              </w:numPr>
              <w:spacing w:before="60"/>
              <w:ind w:left="172" w:hanging="172"/>
            </w:pPr>
            <w:r>
              <w:t>Construction of the biomethane production plant;</w:t>
            </w:r>
          </w:p>
          <w:p w14:paraId="167EBD77" w14:textId="532DB68D" w:rsidR="004334D2" w:rsidRDefault="004334D2" w:rsidP="00C67B31">
            <w:pPr>
              <w:pStyle w:val="SDMTableBoxParaNotNumbered"/>
              <w:numPr>
                <w:ilvl w:val="0"/>
                <w:numId w:val="13"/>
              </w:numPr>
              <w:spacing w:before="60"/>
              <w:ind w:left="172" w:hanging="172"/>
            </w:pPr>
            <w:r>
              <w:t>Manufacturing of biomethane transportation pipelines, trucks and vessels</w:t>
            </w:r>
          </w:p>
        </w:tc>
      </w:tr>
      <w:tr w:rsidR="004334D2" w14:paraId="09EB602E" w14:textId="77777777" w:rsidTr="002E0672">
        <w:trPr>
          <w:jc w:val="right"/>
        </w:trPr>
        <w:tc>
          <w:tcPr>
            <w:tcW w:w="1271" w:type="dxa"/>
          </w:tcPr>
          <w:p w14:paraId="3B35C188" w14:textId="77777777" w:rsidR="004334D2" w:rsidRDefault="004334D2" w:rsidP="00E06D0C">
            <w:pPr>
              <w:pStyle w:val="SDMTableBoxParaNumbered"/>
              <w:numPr>
                <w:ilvl w:val="0"/>
                <w:numId w:val="0"/>
              </w:numPr>
            </w:pPr>
            <w:r>
              <w:t>Electricity generation</w:t>
            </w:r>
          </w:p>
        </w:tc>
        <w:tc>
          <w:tcPr>
            <w:tcW w:w="2126" w:type="dxa"/>
          </w:tcPr>
          <w:p w14:paraId="184E479D" w14:textId="77777777" w:rsidR="004334D2" w:rsidRDefault="004334D2" w:rsidP="00C67B31">
            <w:pPr>
              <w:pStyle w:val="SDMTableBoxParaNotNumbered"/>
              <w:numPr>
                <w:ilvl w:val="0"/>
                <w:numId w:val="13"/>
              </w:numPr>
              <w:ind w:left="172" w:hanging="172"/>
            </w:pPr>
            <w:r>
              <w:t>Operation of the landfill without implementing the LFG collection system that is part of the project;</w:t>
            </w:r>
          </w:p>
          <w:p w14:paraId="336F859D" w14:textId="1545FB1C" w:rsidR="004334D2" w:rsidRDefault="004334D2" w:rsidP="00C67B31">
            <w:pPr>
              <w:pStyle w:val="SDMTableBoxParaNotNumbered"/>
              <w:numPr>
                <w:ilvl w:val="0"/>
                <w:numId w:val="13"/>
              </w:numPr>
              <w:spacing w:before="60"/>
              <w:ind w:left="172" w:hanging="172"/>
            </w:pPr>
            <w:r>
              <w:t>For simplification: electricity would have been generated by a natural gas power plant</w:t>
            </w:r>
          </w:p>
        </w:tc>
        <w:tc>
          <w:tcPr>
            <w:tcW w:w="1276" w:type="dxa"/>
          </w:tcPr>
          <w:p w14:paraId="58659FD1" w14:textId="77777777" w:rsidR="004334D2" w:rsidRDefault="004334D2" w:rsidP="00C67B31">
            <w:pPr>
              <w:pStyle w:val="SDMTableBoxParaNotNumbered"/>
              <w:numPr>
                <w:ilvl w:val="0"/>
                <w:numId w:val="13"/>
              </w:numPr>
              <w:ind w:left="172" w:hanging="172"/>
            </w:pPr>
            <w:r>
              <w:t>N/A</w:t>
            </w:r>
          </w:p>
          <w:p w14:paraId="5B805B7B" w14:textId="77777777" w:rsidR="004334D2" w:rsidRDefault="004334D2" w:rsidP="00C67B31">
            <w:pPr>
              <w:pStyle w:val="SDMTableBoxParaNotNumbered"/>
              <w:numPr>
                <w:ilvl w:val="0"/>
                <w:numId w:val="13"/>
              </w:numPr>
              <w:spacing w:before="60"/>
              <w:ind w:left="170" w:hanging="170"/>
            </w:pPr>
            <w:r>
              <w:t>Production, processing and transportation of the natural gas to the power plant</w:t>
            </w:r>
          </w:p>
        </w:tc>
        <w:tc>
          <w:tcPr>
            <w:tcW w:w="1843" w:type="dxa"/>
          </w:tcPr>
          <w:p w14:paraId="66427784" w14:textId="77777777" w:rsidR="004334D2" w:rsidRDefault="004334D2" w:rsidP="00C67B31">
            <w:pPr>
              <w:pStyle w:val="SDMTableBoxParaNotNumbered"/>
              <w:numPr>
                <w:ilvl w:val="0"/>
                <w:numId w:val="13"/>
              </w:numPr>
              <w:ind w:left="172" w:hanging="172"/>
            </w:pPr>
            <w:r>
              <w:t>Installation of an efficient LFG collection system;</w:t>
            </w:r>
          </w:p>
          <w:p w14:paraId="74F5D265" w14:textId="77777777" w:rsidR="004334D2" w:rsidRDefault="004334D2" w:rsidP="00C67B31">
            <w:pPr>
              <w:pStyle w:val="SDMTableBoxParaNotNumbered"/>
              <w:numPr>
                <w:ilvl w:val="0"/>
                <w:numId w:val="13"/>
              </w:numPr>
              <w:spacing w:before="60"/>
              <w:ind w:left="170" w:hanging="170"/>
            </w:pPr>
            <w:r>
              <w:t>Construction of a LFG power plant</w:t>
            </w:r>
          </w:p>
        </w:tc>
        <w:tc>
          <w:tcPr>
            <w:tcW w:w="1999" w:type="dxa"/>
          </w:tcPr>
          <w:p w14:paraId="159567CD" w14:textId="77777777" w:rsidR="004334D2" w:rsidRDefault="004334D2" w:rsidP="00C67B31">
            <w:pPr>
              <w:pStyle w:val="SDMTableBoxParaNotNumbered"/>
              <w:numPr>
                <w:ilvl w:val="0"/>
                <w:numId w:val="13"/>
              </w:numPr>
              <w:ind w:left="172" w:hanging="172"/>
            </w:pPr>
            <w:r>
              <w:t>Manufacturing of HDPE pipeline to collect the LFG;</w:t>
            </w:r>
          </w:p>
          <w:p w14:paraId="06B5DCFC" w14:textId="73ED42EA" w:rsidR="004334D2" w:rsidRDefault="004334D2" w:rsidP="00C67B31">
            <w:pPr>
              <w:pStyle w:val="SDMTableBoxParaNotNumbered"/>
              <w:numPr>
                <w:ilvl w:val="0"/>
                <w:numId w:val="13"/>
              </w:numPr>
              <w:spacing w:before="60"/>
              <w:ind w:left="170" w:hanging="170"/>
            </w:pPr>
            <w:r>
              <w:t>Manufacturing of LFG engines and construction of the power plant</w:t>
            </w:r>
          </w:p>
        </w:tc>
      </w:tr>
      <w:tr w:rsidR="004334D2" w14:paraId="577E30B8" w14:textId="77777777" w:rsidTr="002E0672">
        <w:trPr>
          <w:jc w:val="right"/>
        </w:trPr>
        <w:tc>
          <w:tcPr>
            <w:tcW w:w="1271" w:type="dxa"/>
          </w:tcPr>
          <w:p w14:paraId="25D573C5" w14:textId="77777777" w:rsidR="004334D2" w:rsidRDefault="004334D2" w:rsidP="00E06D0C">
            <w:pPr>
              <w:pStyle w:val="SDMTableBoxParaNumbered"/>
              <w:numPr>
                <w:ilvl w:val="0"/>
                <w:numId w:val="0"/>
              </w:numPr>
            </w:pPr>
            <w:r>
              <w:t>Heat generation and replacement of existing equipment</w:t>
            </w:r>
          </w:p>
        </w:tc>
        <w:tc>
          <w:tcPr>
            <w:tcW w:w="2126" w:type="dxa"/>
          </w:tcPr>
          <w:p w14:paraId="08C702BE" w14:textId="77777777" w:rsidR="004334D2" w:rsidRDefault="004334D2" w:rsidP="00C67B31">
            <w:pPr>
              <w:pStyle w:val="SDMTableBoxParaNotNumbered"/>
              <w:numPr>
                <w:ilvl w:val="0"/>
                <w:numId w:val="13"/>
              </w:numPr>
              <w:ind w:left="172" w:hanging="172"/>
            </w:pPr>
            <w:r>
              <w:t>Operation of the landfill without implementing the LFG collection system that is part of the project;</w:t>
            </w:r>
          </w:p>
          <w:p w14:paraId="66379893" w14:textId="77777777" w:rsidR="004334D2" w:rsidRDefault="004334D2" w:rsidP="00C67B31">
            <w:pPr>
              <w:pStyle w:val="SDMTableBoxParaNotNumbered"/>
              <w:numPr>
                <w:ilvl w:val="0"/>
                <w:numId w:val="13"/>
              </w:numPr>
              <w:spacing w:before="60"/>
              <w:ind w:left="170" w:hanging="170"/>
            </w:pPr>
            <w:r>
              <w:t>For simplification: heat would have been generated in the same natural gas boiler</w:t>
            </w:r>
          </w:p>
        </w:tc>
        <w:tc>
          <w:tcPr>
            <w:tcW w:w="1276" w:type="dxa"/>
          </w:tcPr>
          <w:p w14:paraId="7DE51B1C" w14:textId="77777777" w:rsidR="004334D2" w:rsidRDefault="004334D2" w:rsidP="00C67B31">
            <w:pPr>
              <w:pStyle w:val="SDMTableBoxParaNotNumbered"/>
              <w:numPr>
                <w:ilvl w:val="0"/>
                <w:numId w:val="13"/>
              </w:numPr>
              <w:ind w:left="172" w:hanging="172"/>
            </w:pPr>
            <w:r>
              <w:t>N/A</w:t>
            </w:r>
          </w:p>
          <w:p w14:paraId="0D212585" w14:textId="77777777" w:rsidR="004334D2" w:rsidRDefault="004334D2" w:rsidP="00C67B31">
            <w:pPr>
              <w:pStyle w:val="SDMTableBoxParaNotNumbered"/>
              <w:numPr>
                <w:ilvl w:val="0"/>
                <w:numId w:val="13"/>
              </w:numPr>
              <w:spacing w:before="60"/>
              <w:ind w:left="170" w:hanging="170"/>
            </w:pPr>
            <w:r>
              <w:t>Production, processing and transportation of the natural gas to the boiler</w:t>
            </w:r>
          </w:p>
        </w:tc>
        <w:tc>
          <w:tcPr>
            <w:tcW w:w="1843" w:type="dxa"/>
          </w:tcPr>
          <w:p w14:paraId="4BA91CC2" w14:textId="77777777" w:rsidR="004334D2" w:rsidRDefault="004334D2" w:rsidP="00C67B31">
            <w:pPr>
              <w:pStyle w:val="SDMTableBoxParaNotNumbered"/>
              <w:numPr>
                <w:ilvl w:val="0"/>
                <w:numId w:val="13"/>
              </w:numPr>
              <w:ind w:left="172" w:hanging="172"/>
            </w:pPr>
            <w:r>
              <w:t>Installation of an efficient LFG collection systems</w:t>
            </w:r>
          </w:p>
        </w:tc>
        <w:tc>
          <w:tcPr>
            <w:tcW w:w="1999" w:type="dxa"/>
          </w:tcPr>
          <w:p w14:paraId="31C11638" w14:textId="4E364D1B" w:rsidR="004334D2" w:rsidRDefault="004334D2" w:rsidP="00C67B31">
            <w:pPr>
              <w:pStyle w:val="SDMTableBoxParaNotNumbered"/>
              <w:numPr>
                <w:ilvl w:val="0"/>
                <w:numId w:val="13"/>
              </w:numPr>
              <w:ind w:left="172" w:hanging="172"/>
            </w:pPr>
            <w:r>
              <w:t>Manufacturing of HDPE pipeline to collect the LFG</w:t>
            </w:r>
          </w:p>
        </w:tc>
      </w:tr>
      <w:tr w:rsidR="004334D2" w14:paraId="5036377C" w14:textId="77777777" w:rsidTr="002E0672">
        <w:trPr>
          <w:jc w:val="right"/>
        </w:trPr>
        <w:tc>
          <w:tcPr>
            <w:tcW w:w="1271" w:type="dxa"/>
          </w:tcPr>
          <w:p w14:paraId="1F1FDC89" w14:textId="77777777" w:rsidR="004334D2" w:rsidRDefault="004334D2" w:rsidP="00E06D0C">
            <w:pPr>
              <w:pStyle w:val="SDMTableBoxParaNumbered"/>
              <w:numPr>
                <w:ilvl w:val="0"/>
                <w:numId w:val="0"/>
              </w:numPr>
            </w:pPr>
            <w:r>
              <w:t>Heat generation and replacement of new equipment</w:t>
            </w:r>
          </w:p>
        </w:tc>
        <w:tc>
          <w:tcPr>
            <w:tcW w:w="2126" w:type="dxa"/>
          </w:tcPr>
          <w:p w14:paraId="245C3782" w14:textId="77777777" w:rsidR="004334D2" w:rsidRDefault="004334D2" w:rsidP="00C67B31">
            <w:pPr>
              <w:pStyle w:val="SDMTableBoxParaNotNumbered"/>
              <w:numPr>
                <w:ilvl w:val="0"/>
                <w:numId w:val="13"/>
              </w:numPr>
              <w:ind w:left="172" w:hanging="172"/>
            </w:pPr>
            <w:r>
              <w:t>Operation of the landfill without implementing the LFG collection system that is part of the project;</w:t>
            </w:r>
          </w:p>
          <w:p w14:paraId="67D9A29C" w14:textId="77777777" w:rsidR="004334D2" w:rsidRDefault="004334D2" w:rsidP="00C67B31">
            <w:pPr>
              <w:pStyle w:val="SDMTableBoxParaNotNumbered"/>
              <w:numPr>
                <w:ilvl w:val="0"/>
                <w:numId w:val="13"/>
              </w:numPr>
              <w:spacing w:before="60"/>
              <w:ind w:left="170" w:hanging="170"/>
            </w:pPr>
            <w:r>
              <w:t>For simplification: heat would have been generated in a natural gas boiler</w:t>
            </w:r>
          </w:p>
        </w:tc>
        <w:tc>
          <w:tcPr>
            <w:tcW w:w="1276" w:type="dxa"/>
          </w:tcPr>
          <w:p w14:paraId="234033D6" w14:textId="77777777" w:rsidR="004334D2" w:rsidRDefault="004334D2" w:rsidP="00C67B31">
            <w:pPr>
              <w:pStyle w:val="SDMTableBoxParaNotNumbered"/>
              <w:numPr>
                <w:ilvl w:val="0"/>
                <w:numId w:val="13"/>
              </w:numPr>
              <w:ind w:left="172" w:hanging="172"/>
            </w:pPr>
            <w:r>
              <w:t>N/A</w:t>
            </w:r>
          </w:p>
          <w:p w14:paraId="53DD23C2" w14:textId="01B19A30" w:rsidR="004334D2" w:rsidRDefault="004334D2" w:rsidP="00C67B31">
            <w:pPr>
              <w:pStyle w:val="SDMTableBoxParaNotNumbered"/>
              <w:numPr>
                <w:ilvl w:val="0"/>
                <w:numId w:val="13"/>
              </w:numPr>
              <w:spacing w:before="60"/>
              <w:ind w:left="170" w:hanging="170"/>
            </w:pPr>
            <w:r>
              <w:t>Production, processing and transportation of the natural gas to the boiler</w:t>
            </w:r>
          </w:p>
        </w:tc>
        <w:tc>
          <w:tcPr>
            <w:tcW w:w="1843" w:type="dxa"/>
          </w:tcPr>
          <w:p w14:paraId="65B1B8D1" w14:textId="77777777" w:rsidR="004334D2" w:rsidRDefault="004334D2" w:rsidP="00C67B31">
            <w:pPr>
              <w:pStyle w:val="SDMTableBoxParaNotNumbered"/>
              <w:numPr>
                <w:ilvl w:val="0"/>
                <w:numId w:val="13"/>
              </w:numPr>
              <w:ind w:left="172" w:hanging="172"/>
            </w:pPr>
            <w:r>
              <w:t>Installation of an efficient LFG collection system;</w:t>
            </w:r>
          </w:p>
          <w:p w14:paraId="63404B17" w14:textId="77777777" w:rsidR="004334D2" w:rsidRDefault="004334D2" w:rsidP="00C67B31">
            <w:pPr>
              <w:pStyle w:val="SDMTableBoxParaNotNumbered"/>
              <w:numPr>
                <w:ilvl w:val="0"/>
                <w:numId w:val="13"/>
              </w:numPr>
              <w:spacing w:before="60"/>
              <w:ind w:left="170" w:hanging="170"/>
            </w:pPr>
            <w:r>
              <w:t>Installation of a new boiler</w:t>
            </w:r>
          </w:p>
        </w:tc>
        <w:tc>
          <w:tcPr>
            <w:tcW w:w="1999" w:type="dxa"/>
          </w:tcPr>
          <w:p w14:paraId="348D9E61" w14:textId="77777777" w:rsidR="004334D2" w:rsidRDefault="004334D2" w:rsidP="00C67B31">
            <w:pPr>
              <w:pStyle w:val="SDMTableBoxParaNotNumbered"/>
              <w:numPr>
                <w:ilvl w:val="0"/>
                <w:numId w:val="13"/>
              </w:numPr>
              <w:ind w:left="172" w:hanging="172"/>
            </w:pPr>
            <w:r>
              <w:t>Manufacturing of HDPE pipeline to collect the LFG;</w:t>
            </w:r>
          </w:p>
          <w:p w14:paraId="3372A524" w14:textId="77777777" w:rsidR="004334D2" w:rsidRDefault="004334D2" w:rsidP="00C67B31">
            <w:pPr>
              <w:pStyle w:val="SDMTableBoxParaNotNumbered"/>
              <w:numPr>
                <w:ilvl w:val="0"/>
                <w:numId w:val="13"/>
              </w:numPr>
              <w:spacing w:before="60"/>
              <w:ind w:left="170" w:hanging="170"/>
            </w:pPr>
            <w:r>
              <w:t>Manufacturing of the boiler</w:t>
            </w:r>
          </w:p>
        </w:tc>
      </w:tr>
    </w:tbl>
    <w:p w14:paraId="4AFB6EFB" w14:textId="4814C109" w:rsidR="004334D2" w:rsidRDefault="004334D2" w:rsidP="00E66E80">
      <w:pPr>
        <w:pStyle w:val="SDMPara"/>
      </w:pPr>
      <w:r>
        <w:t xml:space="preserve">The upstream the leakage emissions shall be determined as the difference between the upstream </w:t>
      </w:r>
      <w:r w:rsidR="005704AC">
        <w:t>project emissions</w:t>
      </w:r>
      <w:r>
        <w:t xml:space="preserve"> and the upstream baseline emissions.</w:t>
      </w:r>
    </w:p>
    <w:p w14:paraId="2ADD7258" w14:textId="77777777" w:rsidR="004334D2" w:rsidRDefault="004334D2" w:rsidP="00E66E80">
      <w:pPr>
        <w:pStyle w:val="SDMPara"/>
      </w:pPr>
      <w:r>
        <w:t>The sections below elaborate on how each of the upstream sources were determined.</w:t>
      </w:r>
    </w:p>
    <w:p w14:paraId="0C7867AC" w14:textId="5F3E4B16" w:rsidR="004334D2" w:rsidRDefault="004334D2" w:rsidP="00C67B31">
      <w:pPr>
        <w:pStyle w:val="SDMApp1"/>
      </w:pPr>
      <w:r>
        <w:t xml:space="preserve">Upstream </w:t>
      </w:r>
      <w:r w:rsidR="005704AC">
        <w:t>project emissions</w:t>
      </w:r>
      <w:r>
        <w:t xml:space="preserve"> from the manufacturing or flares</w:t>
      </w:r>
    </w:p>
    <w:p w14:paraId="022DF2D3" w14:textId="7445B8B5" w:rsidR="004334D2" w:rsidRDefault="004334D2" w:rsidP="00E66E80">
      <w:pPr>
        <w:pStyle w:val="SDMPara"/>
      </w:pPr>
      <w:r>
        <w:t>In the absence of a published life-cycle analysis for the production of flares, the upstream emissions from the manufacturing of the flares were estimated as the product between the weight of a flare (assuming that flares are 100</w:t>
      </w:r>
      <w:r w:rsidR="003F7966">
        <w:t xml:space="preserve"> per cent</w:t>
      </w:r>
      <w:r>
        <w:t xml:space="preserve"> composed of steel) by the CO</w:t>
      </w:r>
      <w:r w:rsidRPr="008B775F">
        <w:rPr>
          <w:vertAlign w:val="subscript"/>
        </w:rPr>
        <w:t>2</w:t>
      </w:r>
      <w:r>
        <w:t xml:space="preserve"> emission factor for the production of steel (1.27 tCO</w:t>
      </w:r>
      <w:r w:rsidRPr="008B775F">
        <w:rPr>
          <w:vertAlign w:val="subscript"/>
        </w:rPr>
        <w:t>2</w:t>
      </w:r>
      <w:r>
        <w:t>e/t</w:t>
      </w:r>
      <w:r w:rsidRPr="008B775F">
        <w:rPr>
          <w:vertAlign w:val="subscript"/>
        </w:rPr>
        <w:t>steel</w:t>
      </w:r>
      <w:r>
        <w:t xml:space="preserve">, as per Appendix 3 of the approved CDM </w:t>
      </w:r>
      <w:r w:rsidR="008A0B90">
        <w:t>methodology</w:t>
      </w:r>
      <w:r>
        <w:t xml:space="preserve"> AMS-III.BA.</w:t>
      </w:r>
      <w:r>
        <w:rPr>
          <w:rStyle w:val="FootnoteReference"/>
          <w:lang w:val="en-US"/>
        </w:rPr>
        <w:footnoteReference w:id="22"/>
      </w:r>
      <w:r>
        <w:t>), and the result is multiplied by 1.3 to account for 30</w:t>
      </w:r>
      <w:r w:rsidR="003F7966">
        <w:t xml:space="preserve"> per cent</w:t>
      </w:r>
      <w:r>
        <w:t xml:space="preserve"> more emissions due to the transportation and assembly of the flare in the activity site. Therefore, upstream emissions to produce a 5,000 m</w:t>
      </w:r>
      <w:r w:rsidRPr="004350CD">
        <w:rPr>
          <w:vertAlign w:val="superscript"/>
        </w:rPr>
        <w:t>3</w:t>
      </w:r>
      <w:r w:rsidRPr="001404C2">
        <w:rPr>
          <w:vertAlign w:val="subscript"/>
        </w:rPr>
        <w:t>LFG</w:t>
      </w:r>
      <w:r>
        <w:t>/h flare that weighs 9.6 tons (information provided by a manufacturer) is equal to 15.8 tCO</w:t>
      </w:r>
      <w:r w:rsidRPr="004350CD">
        <w:rPr>
          <w:vertAlign w:val="subscript"/>
        </w:rPr>
        <w:t>2</w:t>
      </w:r>
      <w:r>
        <w:t>e.</w:t>
      </w:r>
    </w:p>
    <w:p w14:paraId="37C94B1D" w14:textId="3EC0F562" w:rsidR="004334D2" w:rsidRDefault="004334D2" w:rsidP="00E66E80">
      <w:pPr>
        <w:pStyle w:val="SDMPara"/>
      </w:pPr>
      <w:bookmarkStart w:id="443" w:name="_Ref204793864"/>
      <w:r>
        <w:t>A SWDS with a capacity to collect 5,000 m3/h of LFG can generate around 360,000 tCO</w:t>
      </w:r>
      <w:r w:rsidRPr="00A237E3">
        <w:rPr>
          <w:vertAlign w:val="subscript"/>
        </w:rPr>
        <w:t>2</w:t>
      </w:r>
      <w:r>
        <w:t>e/year (determine by applying the mass flow tool, assuming the gas has a methane concentration equals to 50</w:t>
      </w:r>
      <w:r w:rsidR="003F7966">
        <w:t xml:space="preserve"> per cent</w:t>
      </w:r>
      <w:r>
        <w:t>, an operational temperature of 323 K and a manometric pressure of 50 Pa). Applying the discount factors for downward adjustment as per the adjustment factor</w:t>
      </w:r>
      <w:bookmarkEnd w:id="443"/>
      <w:r>
        <w:t>, it results in or 1,000,000 tCO</w:t>
      </w:r>
      <w:r w:rsidRPr="00A237E3">
        <w:rPr>
          <w:vertAlign w:val="subscript"/>
        </w:rPr>
        <w:t>2</w:t>
      </w:r>
      <w:r>
        <w:t>e over a 5-years crediting period. Therefore, the upstream emissions from the production of the flare can be neglected since it represents 0.001</w:t>
      </w:r>
      <w:r w:rsidR="003F7966">
        <w:t xml:space="preserve"> per cent</w:t>
      </w:r>
      <w:r>
        <w:t xml:space="preserve"> of the baseline emissions achieved during a 5-years crediting period.</w:t>
      </w:r>
    </w:p>
    <w:p w14:paraId="405375CC" w14:textId="10AA6919" w:rsidR="004334D2" w:rsidRDefault="004334D2" w:rsidP="00C67B31">
      <w:pPr>
        <w:pStyle w:val="SDMApp1"/>
      </w:pPr>
      <w:r>
        <w:t xml:space="preserve">Upstream </w:t>
      </w:r>
      <w:r w:rsidR="005704AC">
        <w:t>project emissions</w:t>
      </w:r>
      <w:r>
        <w:t xml:space="preserve"> from the manufacturing or HDPE pipeline for the collection of LFG and for the distribution of biomethane or LFG to consumers via dedicated pipeline</w:t>
      </w:r>
    </w:p>
    <w:p w14:paraId="5CDAF0EB" w14:textId="3E1B3552" w:rsidR="004334D2" w:rsidRDefault="004334D2" w:rsidP="00E66E80">
      <w:pPr>
        <w:pStyle w:val="SDMPara"/>
      </w:pPr>
      <w:r>
        <w:t>Upstream emissions from the manufacturing of HDPE pipeline were estimated based on public available information on the specific weight of a SDR11 HDPE pipeline per meter (equals to 25.6 kg/m</w:t>
      </w:r>
      <w:r>
        <w:rPr>
          <w:rStyle w:val="FootnoteReference"/>
        </w:rPr>
        <w:footnoteReference w:id="23"/>
      </w:r>
      <w:r>
        <w:t>), and the emission factor of HDPE (equals to 2.6 kg</w:t>
      </w:r>
      <w:r w:rsidRPr="00B47A78">
        <w:t>CO</w:t>
      </w:r>
      <w:r w:rsidRPr="00302C6A">
        <w:rPr>
          <w:vertAlign w:val="subscript"/>
        </w:rPr>
        <w:t>2</w:t>
      </w:r>
      <w:r w:rsidRPr="00B47A78">
        <w:t>e</w:t>
      </w:r>
      <w:r>
        <w:t>/kg</w:t>
      </w:r>
      <w:r w:rsidRPr="00302C6A">
        <w:rPr>
          <w:vertAlign w:val="subscript"/>
        </w:rPr>
        <w:t>HDPE</w:t>
      </w:r>
      <w:r w:rsidRPr="005B3FDF">
        <w:rPr>
          <w:rStyle w:val="FootnoteReference"/>
        </w:rPr>
        <w:t xml:space="preserve"> </w:t>
      </w:r>
      <w:r>
        <w:rPr>
          <w:rStyle w:val="FootnoteReference"/>
        </w:rPr>
        <w:footnoteReference w:id="24"/>
      </w:r>
      <w:r>
        <w:t>), assuming that the pipe is 100</w:t>
      </w:r>
      <w:r w:rsidR="003F7966">
        <w:t xml:space="preserve"> per cent</w:t>
      </w:r>
      <w:r>
        <w:t xml:space="preserve"> composed by HDPE, and adding 30</w:t>
      </w:r>
      <w:r w:rsidR="003F7966">
        <w:t xml:space="preserve"> per cent</w:t>
      </w:r>
      <w:r>
        <w:t xml:space="preserve"> to account for emissions associated with the transportation and installation of the pipes in the site. The result is equal to 0.087 t</w:t>
      </w:r>
      <w:r w:rsidRPr="00B47A78">
        <w:t>CO</w:t>
      </w:r>
      <w:r w:rsidRPr="00A50811">
        <w:rPr>
          <w:vertAlign w:val="subscript"/>
        </w:rPr>
        <w:t>2</w:t>
      </w:r>
      <w:r w:rsidRPr="00B47A78">
        <w:t>e</w:t>
      </w:r>
      <w:r>
        <w:t>/m</w:t>
      </w:r>
      <w:r w:rsidRPr="00A50811">
        <w:rPr>
          <w:vertAlign w:val="subscript"/>
        </w:rPr>
        <w:t>HDPE</w:t>
      </w:r>
      <w:r>
        <w:t>.</w:t>
      </w:r>
    </w:p>
    <w:p w14:paraId="56595118" w14:textId="77777777" w:rsidR="004334D2" w:rsidRDefault="004334D2" w:rsidP="00E66E80">
      <w:pPr>
        <w:pStyle w:val="SDMPara"/>
      </w:pPr>
      <w:r>
        <w:t>The assumption that this is the type of HDPE pipes (SDR11) employed by SWDSs for wells, headers, gas lines and distribution lines to consumers is conservative since it is used for fluids with an internal pressure up to 10 bar and gas flow above 15,000 m</w:t>
      </w:r>
      <w:r w:rsidRPr="00903B8B">
        <w:rPr>
          <w:u w:val="words"/>
          <w:vertAlign w:val="superscript"/>
        </w:rPr>
        <w:t>3</w:t>
      </w:r>
      <w:r>
        <w:t>/h, whereas the typical operating pressure of LFG collection system is 6-8 bar and the estimated waste disposed to achieve such flow of gas should be around 8,000 tonnes/day – or a SWDS that receives the waste from around 8,000,000 inhabitants.</w:t>
      </w:r>
    </w:p>
    <w:p w14:paraId="3B88EADF" w14:textId="7CC440EA" w:rsidR="004334D2" w:rsidRDefault="004334D2" w:rsidP="00E66E80">
      <w:pPr>
        <w:pStyle w:val="SDMPara"/>
      </w:pPr>
      <w:r>
        <w:t xml:space="preserve">Large-scale LFG-to-energy </w:t>
      </w:r>
      <w:r w:rsidR="007608C9">
        <w:t>activities</w:t>
      </w:r>
      <w:r>
        <w:t xml:space="preserve"> (LFG generation rate above 10,000 m3/h that can be used to generate electricity in a power plant with more than 10 MW installed capacity) tend to install the longest pipeline network possible in the SWDSs in order to maximize the amount of LFG collected, however the total pipeline length installed (gas wells, headers, and gas lines) does not usually reach 50 km. Therefore, the upstream emissions from the manufacturing of 50 km of HDPE results in 4,350 tCO</w:t>
      </w:r>
      <w:r w:rsidRPr="00455B1D">
        <w:rPr>
          <w:vertAlign w:val="subscript"/>
        </w:rPr>
        <w:t>2</w:t>
      </w:r>
      <w:r>
        <w:t>e. If another 20 km are added to connect the SWDS with the natural gas distribution network or with the dedicated consumer, upstream emissions would be rounded up to 6,100 tCO</w:t>
      </w:r>
      <w:r w:rsidRPr="00F76072">
        <w:rPr>
          <w:vertAlign w:val="subscript"/>
        </w:rPr>
        <w:t>2</w:t>
      </w:r>
      <w:r>
        <w:t>e.</w:t>
      </w:r>
    </w:p>
    <w:p w14:paraId="0EA74F19" w14:textId="2067CC58" w:rsidR="004334D2" w:rsidRDefault="004334D2" w:rsidP="00E66E80">
      <w:pPr>
        <w:pStyle w:val="SDMPara"/>
      </w:pPr>
      <w:r>
        <w:t>For sake of comparison, this leakage would represent 0.3</w:t>
      </w:r>
      <w:r w:rsidR="003F7966">
        <w:t xml:space="preserve"> per cent</w:t>
      </w:r>
      <w:r>
        <w:t xml:space="preserve"> of the baseline emissions over a 5-years crediting period for </w:t>
      </w:r>
      <w:r w:rsidR="007608C9">
        <w:t>Article 6.4 activities</w:t>
      </w:r>
      <w:r w:rsidR="00426CAE">
        <w:t xml:space="preserve"> </w:t>
      </w:r>
      <w:r>
        <w:t>with a collection design of 5,000 m</w:t>
      </w:r>
      <w:r w:rsidRPr="00606942">
        <w:rPr>
          <w:vertAlign w:val="superscript"/>
        </w:rPr>
        <w:t>3</w:t>
      </w:r>
      <w:r>
        <w:t>/h (360,000 tCO</w:t>
      </w:r>
      <w:r w:rsidRPr="00056EBA">
        <w:rPr>
          <w:vertAlign w:val="subscript"/>
        </w:rPr>
        <w:t>2</w:t>
      </w:r>
      <w:r>
        <w:t>e/year, or 1,850,000 over a 5-years period for a project that involves 100</w:t>
      </w:r>
      <w:r w:rsidR="003F7966">
        <w:t xml:space="preserve"> per cent</w:t>
      </w:r>
      <w:r>
        <w:t xml:space="preserve"> of the FLG being supplied to consumers via dedicated pipeline without destruction in flares, see rationale in paragraph </w:t>
      </w:r>
      <w:r>
        <w:fldChar w:fldCharType="begin"/>
      </w:r>
      <w:r>
        <w:instrText xml:space="preserve"> REF _Ref204793864 \r \p \h </w:instrText>
      </w:r>
      <w:r>
        <w:fldChar w:fldCharType="separate"/>
      </w:r>
      <w:r w:rsidR="00302468">
        <w:rPr>
          <w:cs/>
        </w:rPr>
        <w:t>‎</w:t>
      </w:r>
      <w:r w:rsidR="00302468">
        <w:t>10 above</w:t>
      </w:r>
      <w:r>
        <w:fldChar w:fldCharType="end"/>
      </w:r>
      <w:r>
        <w:t>).</w:t>
      </w:r>
    </w:p>
    <w:p w14:paraId="43921CA4" w14:textId="135EA964" w:rsidR="004334D2" w:rsidRDefault="004334D2" w:rsidP="00C67B31">
      <w:pPr>
        <w:pStyle w:val="SDMApp1"/>
      </w:pPr>
      <w:r w:rsidRPr="00182414">
        <w:t>Upstream</w:t>
      </w:r>
      <w:r>
        <w:t xml:space="preserve"> </w:t>
      </w:r>
      <w:r w:rsidR="005704AC">
        <w:t>project emissions</w:t>
      </w:r>
      <w:r>
        <w:t xml:space="preserve"> from the manufacturing of the containers used for the transportation of the LFG or the biomethane, of trucks, and equipment used for LFG compression/liquefaction or upgrade to biomethane</w:t>
      </w:r>
    </w:p>
    <w:p w14:paraId="5761A002" w14:textId="77777777" w:rsidR="004334D2" w:rsidRDefault="004334D2" w:rsidP="00E66E80">
      <w:pPr>
        <w:pStyle w:val="SDMPara"/>
      </w:pPr>
      <w:r>
        <w:t>This upstream emission source will be assessed separately for the manufacturing of the containers, for the manufacturing of trucks and for the manufacturing and construction of the biomethane production plant.</w:t>
      </w:r>
    </w:p>
    <w:p w14:paraId="57446429" w14:textId="5D42ADDB" w:rsidR="004334D2" w:rsidRDefault="004334D2" w:rsidP="00C67B31">
      <w:pPr>
        <w:pStyle w:val="SDMApp2"/>
      </w:pPr>
      <w:r>
        <w:t xml:space="preserve">Upstream </w:t>
      </w:r>
      <w:r w:rsidR="005704AC">
        <w:t>project emissions</w:t>
      </w:r>
      <w:r>
        <w:t xml:space="preserve"> from the manufacturing of the containers used for the transportation of the LFG or biomethane</w:t>
      </w:r>
    </w:p>
    <w:p w14:paraId="75C36743" w14:textId="77777777" w:rsidR="004334D2" w:rsidRDefault="004334D2" w:rsidP="00DA05CE">
      <w:pPr>
        <w:pStyle w:val="SDMPara"/>
        <w:keepNext/>
      </w:pPr>
      <w:r>
        <w:t>In the absence of a published life-cycle analysis for the production of containers used for the transportation of the LFG or biomethane, the CO</w:t>
      </w:r>
      <w:r w:rsidRPr="00B47A78">
        <w:rPr>
          <w:vertAlign w:val="subscript"/>
        </w:rPr>
        <w:t>2</w:t>
      </w:r>
      <w:r>
        <w:t xml:space="preserve"> emissions were estimated assuming that:</w:t>
      </w:r>
    </w:p>
    <w:p w14:paraId="645D6488" w14:textId="66B02379" w:rsidR="004334D2" w:rsidRDefault="004334D2" w:rsidP="00E66E80">
      <w:pPr>
        <w:pStyle w:val="SDMSubPara1"/>
      </w:pPr>
      <w:r>
        <w:t>The cylinder used for the storage of the LFG or biomethane is a Type 3 vessel, with maximum operating pressure of 250 bar and hydraulic volume of 120 L. The vessel is manufactured using a mix of carbon fibre and epoxy composite for the structural shell and glass fibre and epoxy composite as protective barrier and has a mass equal to 57 kg.</w:t>
      </w:r>
      <w:r>
        <w:rPr>
          <w:rStyle w:val="FootnoteReference"/>
        </w:rPr>
        <w:footnoteReference w:id="25"/>
      </w:r>
      <w:r>
        <w:t xml:space="preserve"> For conservative reasons, the calculation will assume that the cylinder is 100</w:t>
      </w:r>
      <w:r w:rsidR="003F7966">
        <w:t xml:space="preserve"> per cent</w:t>
      </w:r>
      <w:r>
        <w:t xml:space="preserve"> composed by carbon fibre due to its higher LCA emissions compared to glass fibre (53.4 kgCO</w:t>
      </w:r>
      <w:r w:rsidRPr="00CE7319">
        <w:rPr>
          <w:vertAlign w:val="subscript"/>
        </w:rPr>
        <w:t>2</w:t>
      </w:r>
      <w:r>
        <w:t>e/kg</w:t>
      </w:r>
      <w:r w:rsidRPr="00CE7319">
        <w:rPr>
          <w:vertAlign w:val="subscript"/>
        </w:rPr>
        <w:t>carbon fibre</w:t>
      </w:r>
      <w:r>
        <w:rPr>
          <w:rStyle w:val="FootnoteReference"/>
        </w:rPr>
        <w:footnoteReference w:id="26"/>
      </w:r>
      <w:r>
        <w:t xml:space="preserve"> and 2.02 kgCO</w:t>
      </w:r>
      <w:r w:rsidRPr="00CE7319">
        <w:rPr>
          <w:vertAlign w:val="subscript"/>
        </w:rPr>
        <w:t>2</w:t>
      </w:r>
      <w:r>
        <w:t>e/kg</w:t>
      </w:r>
      <w:r w:rsidRPr="00CE7319">
        <w:rPr>
          <w:vertAlign w:val="subscript"/>
        </w:rPr>
        <w:t>glass fibre</w:t>
      </w:r>
      <w:r>
        <w:rPr>
          <w:rStyle w:val="FootnoteReference"/>
        </w:rPr>
        <w:footnoteReference w:id="27"/>
      </w:r>
      <w:r w:rsidRPr="008A1A50">
        <w:t>)</w:t>
      </w:r>
      <w:r>
        <w:t>;</w:t>
      </w:r>
    </w:p>
    <w:p w14:paraId="6DE6A486" w14:textId="77777777" w:rsidR="004334D2" w:rsidRDefault="004334D2" w:rsidP="00E66E80">
      <w:pPr>
        <w:pStyle w:val="SDMSubPara1"/>
      </w:pPr>
      <w:r>
        <w:t>The mass of biomethane that can be stored at 250 bar and 15ºC in a 120 L vessel is around 20 kg. Transportation trucks can be designed with different storage capacities, ranging from 1,000 to 2,500 hydraulic L – or with a storage capacity from 170 to 420 kg of biomethane at 250 bar. For simplification, trucks with 2,500 hydraulic L capacity (or 420 kg of biomethane) vessels will be considered in the calculations;</w:t>
      </w:r>
    </w:p>
    <w:p w14:paraId="444290D5" w14:textId="77777777" w:rsidR="004334D2" w:rsidRDefault="004334D2" w:rsidP="00E66E80">
      <w:pPr>
        <w:pStyle w:val="SDMSubPara1"/>
      </w:pPr>
      <w:r>
        <w:t>The LFG collected from a SWDS with a collection capacity of 5,000 m3/h at standard conditions can produce 1.6 tons/hour of biomethane, meaning that for every hour a total of 4 trucks can be filled with biomethane at the same time.</w:t>
      </w:r>
    </w:p>
    <w:p w14:paraId="48BB0170" w14:textId="77777777" w:rsidR="004334D2" w:rsidRDefault="004334D2" w:rsidP="00E66E80">
      <w:pPr>
        <w:pStyle w:val="SDMPara"/>
      </w:pPr>
      <w:r>
        <w:t>The estimation of upstream leakage will depend on the number of trucks available to make the transportation, which depends on the duration of a round-trip to transport the biomethane to consumers: if the round-trip is 1 hour, the project must operate with 8 trucks (4 to transport the biomethane whereas the other 4 are being filled with biomethane); if the round-trip is 2 hours, the project must operate with 16 trucks – and so on and so forth.</w:t>
      </w:r>
    </w:p>
    <w:p w14:paraId="4932F928" w14:textId="585AB08D" w:rsidR="004334D2" w:rsidRDefault="004334D2" w:rsidP="00E66E80">
      <w:pPr>
        <w:pStyle w:val="SDMPara"/>
      </w:pPr>
      <w:r>
        <w:t>The upstream emissions to manufacture the 2,500 hydraulic L vessel used in this example is equal to 64 tons of CO</w:t>
      </w:r>
      <w:r w:rsidRPr="007F5325">
        <w:rPr>
          <w:vertAlign w:val="subscript"/>
        </w:rPr>
        <w:t>2</w:t>
      </w:r>
      <w:r>
        <w:t xml:space="preserve"> (21 vessels x 57 kg/vessel x 53.4 kgCO</w:t>
      </w:r>
      <w:r w:rsidRPr="00CE7319">
        <w:rPr>
          <w:vertAlign w:val="subscript"/>
        </w:rPr>
        <w:t>2</w:t>
      </w:r>
      <w:r>
        <w:t>e/kg</w:t>
      </w:r>
      <w:r>
        <w:rPr>
          <w:vertAlign w:val="subscript"/>
        </w:rPr>
        <w:t>vessel</w:t>
      </w:r>
      <w:r>
        <w:t>, assuming the vessels are 100</w:t>
      </w:r>
      <w:r w:rsidR="003F7966">
        <w:t xml:space="preserve"> per cent</w:t>
      </w:r>
      <w:r>
        <w:t xml:space="preserve"> made of carbon fibre). Therefore, for a round-trip of 1 hour, upstream emissions will be equal to 8 trucks x 64 tCO</w:t>
      </w:r>
      <w:r w:rsidRPr="00B47A78">
        <w:rPr>
          <w:vertAlign w:val="subscript"/>
        </w:rPr>
        <w:t>2</w:t>
      </w:r>
      <w:r>
        <w:t>e/truck, which is equal to 512 tCO</w:t>
      </w:r>
      <w:r w:rsidRPr="00B47A78">
        <w:rPr>
          <w:vertAlign w:val="subscript"/>
        </w:rPr>
        <w:t>2</w:t>
      </w:r>
      <w:r>
        <w:t>e.</w:t>
      </w:r>
    </w:p>
    <w:p w14:paraId="438D5AB5" w14:textId="4C478807" w:rsidR="004334D2" w:rsidRDefault="004334D2" w:rsidP="00E66E80">
      <w:pPr>
        <w:pStyle w:val="SDMPara"/>
      </w:pPr>
      <w:r>
        <w:t>Converting the upstream emissions to tCO2e per MJ to transport 14,000 tons of biomethane (616 TJ) in one year, the result is 512 tCO</w:t>
      </w:r>
      <w:r w:rsidRPr="00B47A78">
        <w:rPr>
          <w:vertAlign w:val="subscript"/>
        </w:rPr>
        <w:t>2</w:t>
      </w:r>
      <w:r>
        <w:t>e / 616 TJ = 0.83 tCO</w:t>
      </w:r>
      <w:r w:rsidRPr="00B47A78">
        <w:rPr>
          <w:vertAlign w:val="subscript"/>
        </w:rPr>
        <w:t>2</w:t>
      </w:r>
      <w:r>
        <w:t>e/TJ (or 0.83 gCO</w:t>
      </w:r>
      <w:r w:rsidRPr="00B47A78">
        <w:rPr>
          <w:vertAlign w:val="subscript"/>
        </w:rPr>
        <w:t>2</w:t>
      </w:r>
      <w:r>
        <w:t>e/MJ)</w:t>
      </w:r>
      <w:r w:rsidR="006A34AC">
        <w:t>.</w:t>
      </w:r>
    </w:p>
    <w:p w14:paraId="20DDB02A" w14:textId="7D938261" w:rsidR="004334D2" w:rsidRDefault="004334D2" w:rsidP="003924BD">
      <w:pPr>
        <w:pStyle w:val="SDMApp2"/>
      </w:pPr>
      <w:r>
        <w:t xml:space="preserve">Upstream </w:t>
      </w:r>
      <w:r w:rsidR="005704AC">
        <w:t>project emissions</w:t>
      </w:r>
      <w:r>
        <w:t xml:space="preserve"> from the manufacturing of the trucks used for the transportation of the LFG or the biomethane</w:t>
      </w:r>
    </w:p>
    <w:p w14:paraId="73BC1000" w14:textId="77777777" w:rsidR="004334D2" w:rsidRDefault="004334D2" w:rsidP="00E66E80">
      <w:pPr>
        <w:pStyle w:val="SDMPara"/>
      </w:pPr>
      <w:r>
        <w:t>Data is available to determine the cradle-to-gate emissions from the manufacturing and use of heavy-duty trucks, in gCO</w:t>
      </w:r>
      <w:r w:rsidRPr="008B5784">
        <w:rPr>
          <w:vertAlign w:val="subscript"/>
        </w:rPr>
        <w:t>2</w:t>
      </w:r>
      <w:r>
        <w:t>e/km. According to the white paper published by the ICCT</w:t>
      </w:r>
      <w:r>
        <w:rPr>
          <w:rStyle w:val="FootnoteReference"/>
        </w:rPr>
        <w:footnoteReference w:id="28"/>
      </w:r>
      <w:r>
        <w:t xml:space="preserve">, the LCA emissions from a 40-tonnes </w:t>
      </w:r>
      <w:r w:rsidRPr="004D3941">
        <w:t>articulated truck</w:t>
      </w:r>
      <w:r>
        <w:t xml:space="preserve"> (tractor trailer) driving 1,300,000 km over a 20 years lifetime and consuming a mix of diesel and biofuel. The upstream emissions from the manufacturing of the truck can be conservatively assumed from Figure 4 of this white paper as 100 gCO</w:t>
      </w:r>
      <w:r w:rsidRPr="00854A66">
        <w:rPr>
          <w:vertAlign w:val="subscript"/>
        </w:rPr>
        <w:t>2</w:t>
      </w:r>
      <w:r>
        <w:t>e/km, which results in emissions equals to 100 gCO</w:t>
      </w:r>
      <w:r w:rsidRPr="00854A66">
        <w:rPr>
          <w:vertAlign w:val="subscript"/>
        </w:rPr>
        <w:t>2</w:t>
      </w:r>
      <w:r>
        <w:t>e/km x 1,300,000 km = 130 tCO</w:t>
      </w:r>
      <w:r w:rsidRPr="00854A66">
        <w:rPr>
          <w:vertAlign w:val="subscript"/>
        </w:rPr>
        <w:t>2</w:t>
      </w:r>
      <w:r>
        <w:t>e to manufacture one 40-tonnes truck. The upstream emissions for manufacturing the 8 trucks used for the transportation of the biomethane above will be equal to 1,040 tCO</w:t>
      </w:r>
      <w:r w:rsidRPr="00854A66">
        <w:rPr>
          <w:vertAlign w:val="subscript"/>
        </w:rPr>
        <w:t>2</w:t>
      </w:r>
      <w:r>
        <w:t>e.</w:t>
      </w:r>
    </w:p>
    <w:p w14:paraId="10BEBA8D" w14:textId="77777777" w:rsidR="004334D2" w:rsidRDefault="004334D2" w:rsidP="00E66E80">
      <w:pPr>
        <w:pStyle w:val="SDMPara"/>
      </w:pPr>
      <w:r>
        <w:t>Therefore, the upstream emissions for the supply of biomethane from the collection of 5,000 m3/h of LFG, assuming that the round-trip between the SWDS and the consumer is 1 hour, is equal to 1,500 tCO</w:t>
      </w:r>
      <w:r w:rsidRPr="00854A66">
        <w:rPr>
          <w:vertAlign w:val="subscript"/>
        </w:rPr>
        <w:t>2</w:t>
      </w:r>
      <w:r>
        <w:t>e.</w:t>
      </w:r>
    </w:p>
    <w:p w14:paraId="00077217" w14:textId="2D7BEE35" w:rsidR="004334D2" w:rsidRDefault="004334D2" w:rsidP="00E66E80">
      <w:pPr>
        <w:pStyle w:val="SDMPara"/>
      </w:pPr>
      <w:r>
        <w:t xml:space="preserve">Over a year, the SWDS with a capacity to collect 5,000 m3/h of biogas can produce </w:t>
      </w:r>
      <w:r w:rsidRPr="002F3667">
        <w:t>7</w:t>
      </w:r>
      <w:r>
        <w:t>0</w:t>
      </w:r>
      <w:r w:rsidRPr="002F3667">
        <w:t>,</w:t>
      </w:r>
      <w:r>
        <w:t>2</w:t>
      </w:r>
      <w:r w:rsidRPr="002F3667">
        <w:t>00 MJ/h</w:t>
      </w:r>
      <w:r>
        <w:t xml:space="preserve">, assuming the biomethane has the same composition as the natural gas and the NCV of the natural gas is equal to </w:t>
      </w:r>
      <w:r w:rsidRPr="002F3667">
        <w:t xml:space="preserve">48 TJ/GJ (as per </w:t>
      </w:r>
      <w:r>
        <w:t xml:space="preserve">Table 1.2 from </w:t>
      </w:r>
      <w:r w:rsidR="00031089">
        <w:t xml:space="preserve">Volume 2, </w:t>
      </w:r>
      <w:r>
        <w:t xml:space="preserve">Chapter 1 of </w:t>
      </w:r>
      <w:r w:rsidRPr="002F3667">
        <w:t xml:space="preserve">the IPCC </w:t>
      </w:r>
      <w:r w:rsidR="00031089">
        <w:t>(</w:t>
      </w:r>
      <w:r w:rsidRPr="002F3667">
        <w:t>2006)</w:t>
      </w:r>
      <w:r>
        <w:t xml:space="preserve">. On an yearly basis, the SWDS would produce around 14,000 tonnes of biomethane – or </w:t>
      </w:r>
      <w:r w:rsidRPr="002F3667">
        <w:t>673 TJ.</w:t>
      </w:r>
      <w:r>
        <w:t xml:space="preserve"> Therefore, the upstream emissions for the manufacturing of the vessels to store the biomethane and the trucks to transport the biomethane to the consumers is equal to 1,500 tCO</w:t>
      </w:r>
      <w:r w:rsidRPr="00CA1621">
        <w:rPr>
          <w:vertAlign w:val="subscript"/>
        </w:rPr>
        <w:t>2</w:t>
      </w:r>
      <w:r>
        <w:t>e / 673,000,000 = 2.2 tCO</w:t>
      </w:r>
      <w:r w:rsidRPr="00854A66">
        <w:rPr>
          <w:vertAlign w:val="subscript"/>
        </w:rPr>
        <w:t>2</w:t>
      </w:r>
      <w:r>
        <w:t>e/TJ, or 2.2 gCO</w:t>
      </w:r>
      <w:r w:rsidRPr="00854A66">
        <w:rPr>
          <w:vertAlign w:val="subscript"/>
        </w:rPr>
        <w:t>2</w:t>
      </w:r>
      <w:r>
        <w:t>e/MJ.</w:t>
      </w:r>
    </w:p>
    <w:p w14:paraId="38B09F0B" w14:textId="1EFDB3C9" w:rsidR="004334D2" w:rsidRDefault="004334D2" w:rsidP="00C67B31">
      <w:pPr>
        <w:pStyle w:val="SDMApp2"/>
      </w:pPr>
      <w:r>
        <w:t xml:space="preserve">Upstream </w:t>
      </w:r>
      <w:r w:rsidR="005704AC">
        <w:t>project emissions</w:t>
      </w:r>
      <w:r>
        <w:t xml:space="preserve"> from the manufacturing of the equipment used for LFG compression/liquefaction or upgrade to biomethane</w:t>
      </w:r>
    </w:p>
    <w:p w14:paraId="6AD235CC" w14:textId="77777777" w:rsidR="004334D2" w:rsidRPr="00A37005" w:rsidRDefault="004334D2" w:rsidP="00E66E80">
      <w:pPr>
        <w:pStyle w:val="SDMPara"/>
        <w:rPr>
          <w:i/>
          <w:iCs/>
        </w:rPr>
      </w:pPr>
      <w:r>
        <w:t>In the absence of a published life-cycle analysis for the manufacturing of a biomethane production plant from LFG, a proxy was considered based on upstream emissions to process natural gas. The National Energy Technology Laboratory, published, in 2024, the report “Life cycle analysis of natural gas extraction and power generation: U.S. 2020 emissions profile”</w:t>
      </w:r>
      <w:r>
        <w:rPr>
          <w:rStyle w:val="FootnoteReference"/>
        </w:rPr>
        <w:footnoteReference w:id="29"/>
      </w:r>
      <w:r>
        <w:t xml:space="preserve"> containing an analysis of the U.S. natural gas (NG) supply chain and a study on the impact associated with an average unit of NG traversing from the upstream production basins to the downstream delivery regions. According to analysis, the upstream emissions of a processing natural gas plant is equal to 2.08 gCO</w:t>
      </w:r>
      <w:r w:rsidRPr="00CA1621">
        <w:rPr>
          <w:vertAlign w:val="subscript"/>
        </w:rPr>
        <w:t>2</w:t>
      </w:r>
      <w:r>
        <w:t>/MJ. Adding this value to the 2.2 gCO</w:t>
      </w:r>
      <w:r w:rsidRPr="00CA1621">
        <w:rPr>
          <w:vertAlign w:val="subscript"/>
        </w:rPr>
        <w:t>2</w:t>
      </w:r>
      <w:r>
        <w:t>e/MJ determined in section 3.2 above gives a total of 4.28 gCO</w:t>
      </w:r>
      <w:r w:rsidRPr="00CA1621">
        <w:rPr>
          <w:vertAlign w:val="subscript"/>
        </w:rPr>
        <w:t>2</w:t>
      </w:r>
      <w:r>
        <w:t>/MJ.</w:t>
      </w:r>
    </w:p>
    <w:p w14:paraId="1D66C18E" w14:textId="516BBD5B" w:rsidR="004334D2" w:rsidRDefault="004334D2" w:rsidP="00C67B31">
      <w:pPr>
        <w:pStyle w:val="SDMApp1"/>
      </w:pPr>
      <w:r>
        <w:t xml:space="preserve">Upstream </w:t>
      </w:r>
      <w:r w:rsidR="005704AC">
        <w:t>project emissions</w:t>
      </w:r>
      <w:r>
        <w:t xml:space="preserve"> from the generation of electricity</w:t>
      </w:r>
    </w:p>
    <w:p w14:paraId="0A1C348A" w14:textId="77777777" w:rsidR="004334D2" w:rsidRDefault="004334D2" w:rsidP="00DA05CE">
      <w:pPr>
        <w:pStyle w:val="SDMPara"/>
        <w:keepNext/>
        <w:rPr>
          <w:lang w:val="en-US"/>
        </w:rPr>
      </w:pPr>
      <w:r w:rsidRPr="00FD438E">
        <w:rPr>
          <w:lang w:val="en-US"/>
        </w:rPr>
        <w:t>In the absence of LCAs that provide the emissions from the construction of a</w:t>
      </w:r>
      <w:r>
        <w:rPr>
          <w:lang w:val="en-US"/>
        </w:rPr>
        <w:t>n</w:t>
      </w:r>
      <w:r w:rsidRPr="00FD438E">
        <w:rPr>
          <w:lang w:val="en-US"/>
        </w:rPr>
        <w:t xml:space="preserve"> LFG power plant and from the manufacturing of engines, an approximate emission factor per </w:t>
      </w:r>
      <w:r>
        <w:rPr>
          <w:lang w:val="en-US"/>
        </w:rPr>
        <w:t>kWh</w:t>
      </w:r>
      <w:r w:rsidRPr="00FD438E">
        <w:rPr>
          <w:lang w:val="en-US"/>
        </w:rPr>
        <w:t xml:space="preserve"> was estimated by</w:t>
      </w:r>
      <w:r>
        <w:rPr>
          <w:lang w:val="en-US"/>
        </w:rPr>
        <w:t>:</w:t>
      </w:r>
    </w:p>
    <w:p w14:paraId="77183E56" w14:textId="28E3E769" w:rsidR="004334D2" w:rsidRDefault="004334D2" w:rsidP="00E66E80">
      <w:pPr>
        <w:pStyle w:val="SDMSubPara1"/>
        <w:rPr>
          <w:lang w:val="en-US"/>
        </w:rPr>
      </w:pPr>
      <w:r>
        <w:rPr>
          <w:lang w:val="en-US"/>
        </w:rPr>
        <w:t>Calculating the electricity generation by a 4 MW gas engine as the product between 8,760 hours/year x 4 MW x 85</w:t>
      </w:r>
      <w:r w:rsidR="003F7966">
        <w:rPr>
          <w:lang w:val="en-US"/>
        </w:rPr>
        <w:t xml:space="preserve"> per cent</w:t>
      </w:r>
      <w:r>
        <w:rPr>
          <w:lang w:val="en-US"/>
        </w:rPr>
        <w:t xml:space="preserve"> capacity factor (same basis as the NGCC power plant from item 5 above) x 30 years (same basis as the NGCC power plant from item 5 above), which is equal to 893,520 MWh;</w:t>
      </w:r>
    </w:p>
    <w:p w14:paraId="781C6FE3" w14:textId="67875CB8" w:rsidR="004334D2" w:rsidRDefault="004334D2" w:rsidP="00E66E80">
      <w:pPr>
        <w:pStyle w:val="SDMSubPara1"/>
        <w:rPr>
          <w:lang w:val="en-US"/>
        </w:rPr>
      </w:pPr>
      <w:r>
        <w:rPr>
          <w:lang w:val="en-US"/>
        </w:rPr>
        <w:t>Determining the emissions to produce a 4 MW LFG engine by multiplying</w:t>
      </w:r>
      <w:r w:rsidRPr="00FD438E">
        <w:rPr>
          <w:lang w:val="en-US"/>
        </w:rPr>
        <w:t xml:space="preserve"> the weight of </w:t>
      </w:r>
      <w:r>
        <w:rPr>
          <w:lang w:val="en-US"/>
        </w:rPr>
        <w:t>a typical 4 MW LFG</w:t>
      </w:r>
      <w:r w:rsidRPr="00FD438E">
        <w:rPr>
          <w:lang w:val="en-US"/>
        </w:rPr>
        <w:t xml:space="preserve"> engine </w:t>
      </w:r>
      <w:r>
        <w:rPr>
          <w:lang w:val="en-US"/>
        </w:rPr>
        <w:t>(54</w:t>
      </w:r>
      <w:r w:rsidRPr="00FD438E">
        <w:rPr>
          <w:lang w:val="en-US"/>
        </w:rPr>
        <w:t xml:space="preserve"> tonnes</w:t>
      </w:r>
      <w:r>
        <w:rPr>
          <w:rStyle w:val="FootnoteReference"/>
          <w:lang w:val="en-US"/>
        </w:rPr>
        <w:footnoteReference w:id="30"/>
      </w:r>
      <w:r>
        <w:rPr>
          <w:lang w:val="en-US"/>
        </w:rPr>
        <w:t xml:space="preserve">) </w:t>
      </w:r>
      <w:r w:rsidRPr="00FD438E">
        <w:rPr>
          <w:lang w:val="en-US"/>
        </w:rPr>
        <w:t xml:space="preserve">by </w:t>
      </w:r>
      <w:r>
        <w:rPr>
          <w:lang w:val="en-US"/>
        </w:rPr>
        <w:t>the specific CO</w:t>
      </w:r>
      <w:r w:rsidRPr="00CA1621">
        <w:rPr>
          <w:vertAlign w:val="subscript"/>
          <w:lang w:val="en-US"/>
        </w:rPr>
        <w:t>2</w:t>
      </w:r>
      <w:r>
        <w:rPr>
          <w:lang w:val="en-US"/>
        </w:rPr>
        <w:t xml:space="preserve"> emission factor for the production of steel </w:t>
      </w:r>
      <w:r w:rsidRPr="00FD438E">
        <w:rPr>
          <w:lang w:val="en-US"/>
        </w:rPr>
        <w:t>1.27 tCO</w:t>
      </w:r>
      <w:r w:rsidRPr="00FD438E">
        <w:rPr>
          <w:vertAlign w:val="subscript"/>
          <w:lang w:val="en-US"/>
        </w:rPr>
        <w:t>2</w:t>
      </w:r>
      <w:r w:rsidRPr="00FD438E">
        <w:rPr>
          <w:lang w:val="en-US"/>
        </w:rPr>
        <w:t>e/t</w:t>
      </w:r>
      <w:r w:rsidRPr="00FD438E">
        <w:rPr>
          <w:vertAlign w:val="subscript"/>
          <w:lang w:val="en-US"/>
        </w:rPr>
        <w:t>steel</w:t>
      </w:r>
      <w:r w:rsidRPr="00FD438E">
        <w:rPr>
          <w:lang w:val="en-US"/>
        </w:rPr>
        <w:t xml:space="preserve"> (assuming that the engine is 100</w:t>
      </w:r>
      <w:r w:rsidR="003F7966">
        <w:rPr>
          <w:lang w:val="en-US"/>
        </w:rPr>
        <w:t xml:space="preserve"> per cent</w:t>
      </w:r>
      <w:r w:rsidRPr="00FD438E">
        <w:rPr>
          <w:lang w:val="en-US"/>
        </w:rPr>
        <w:t xml:space="preserve"> steel), and further multiplying the result by 1.3 to account for emissions from the construction of the power plant</w:t>
      </w:r>
      <w:r>
        <w:rPr>
          <w:lang w:val="en-US"/>
        </w:rPr>
        <w:t>, which results in 89 tCO</w:t>
      </w:r>
      <w:r w:rsidRPr="00CA1621">
        <w:rPr>
          <w:vertAlign w:val="subscript"/>
          <w:lang w:val="en-US"/>
        </w:rPr>
        <w:t>2</w:t>
      </w:r>
      <w:r>
        <w:rPr>
          <w:lang w:val="en-US"/>
        </w:rPr>
        <w:t xml:space="preserve"> per 4 MW engine;</w:t>
      </w:r>
    </w:p>
    <w:p w14:paraId="75FD4109" w14:textId="3A5BA9D8" w:rsidR="004334D2" w:rsidRDefault="004334D2" w:rsidP="00E66E80">
      <w:pPr>
        <w:pStyle w:val="SDMSubPara1"/>
        <w:rPr>
          <w:lang w:val="en-US"/>
        </w:rPr>
      </w:pPr>
      <w:r>
        <w:rPr>
          <w:lang w:val="en-US"/>
        </w:rPr>
        <w:t xml:space="preserve">The upstream </w:t>
      </w:r>
      <w:r w:rsidR="005704AC">
        <w:rPr>
          <w:lang w:val="en-US"/>
        </w:rPr>
        <w:t>project emissions</w:t>
      </w:r>
      <w:r>
        <w:rPr>
          <w:lang w:val="en-US"/>
        </w:rPr>
        <w:t xml:space="preserve"> is the ratio between the electricity CO</w:t>
      </w:r>
      <w:r w:rsidRPr="00CA1621">
        <w:rPr>
          <w:vertAlign w:val="subscript"/>
          <w:lang w:val="en-US"/>
        </w:rPr>
        <w:t>2</w:t>
      </w:r>
      <w:r>
        <w:rPr>
          <w:lang w:val="en-US"/>
        </w:rPr>
        <w:t xml:space="preserve"> emissions and the electricity generated, which is equal to 89 tCO</w:t>
      </w:r>
      <w:r w:rsidRPr="00CA1621">
        <w:rPr>
          <w:vertAlign w:val="subscript"/>
          <w:lang w:val="en-US"/>
        </w:rPr>
        <w:t>2</w:t>
      </w:r>
      <w:r>
        <w:rPr>
          <w:lang w:val="en-US"/>
        </w:rPr>
        <w:t>/893,520 MWh = 0.1 gCO</w:t>
      </w:r>
      <w:r w:rsidRPr="00CA1621">
        <w:rPr>
          <w:vertAlign w:val="subscript"/>
          <w:lang w:val="en-US"/>
        </w:rPr>
        <w:t>2</w:t>
      </w:r>
      <w:r>
        <w:rPr>
          <w:lang w:val="en-US"/>
        </w:rPr>
        <w:t>/kWh</w:t>
      </w:r>
      <w:r w:rsidRPr="00FD438E">
        <w:rPr>
          <w:lang w:val="en-US"/>
        </w:rPr>
        <w:t>.</w:t>
      </w:r>
    </w:p>
    <w:p w14:paraId="0FB4F3ED" w14:textId="31C6697B" w:rsidR="004334D2" w:rsidRDefault="004334D2" w:rsidP="00C67B31">
      <w:pPr>
        <w:pStyle w:val="SDMApp1"/>
      </w:pPr>
      <w:r>
        <w:t xml:space="preserve">Upstream </w:t>
      </w:r>
      <w:r w:rsidR="005704AC">
        <w:t>project emissions</w:t>
      </w:r>
      <w:r>
        <w:t xml:space="preserve"> form the manufacturing of a boiler</w:t>
      </w:r>
    </w:p>
    <w:p w14:paraId="2BFE961A" w14:textId="77777777" w:rsidR="004334D2" w:rsidRPr="00831DC2" w:rsidRDefault="004334D2" w:rsidP="00E66E80">
      <w:pPr>
        <w:pStyle w:val="SDMPara"/>
        <w:rPr>
          <w:lang w:val="en-US"/>
        </w:rPr>
      </w:pPr>
      <w:r>
        <w:t xml:space="preserve">Upstream emissions for the manufacturing of a boiler for the construction of the energy plant </w:t>
      </w:r>
      <w:r>
        <w:rPr>
          <w:lang w:val="en-US"/>
        </w:rPr>
        <w:t xml:space="preserve">were sourced from </w:t>
      </w:r>
      <w:r>
        <w:t>available literature of LAC for the natural gas supply chain and for a 25 MW</w:t>
      </w:r>
      <w:r w:rsidRPr="00B4390D">
        <w:rPr>
          <w:vertAlign w:val="subscript"/>
        </w:rPr>
        <w:t>thermal</w:t>
      </w:r>
      <w:r>
        <w:t xml:space="preserve"> boiler.</w:t>
      </w:r>
    </w:p>
    <w:p w14:paraId="60D13677" w14:textId="10E79C27" w:rsidR="004334D2" w:rsidRPr="00BB587F" w:rsidRDefault="004334D2" w:rsidP="00E66E80">
      <w:pPr>
        <w:pStyle w:val="SDMPara"/>
        <w:rPr>
          <w:lang w:val="en-US"/>
        </w:rPr>
      </w:pPr>
      <w:r>
        <w:t>In the absence of open LCA for the production of boilers, the upstream emissions to manufacture one boiler were estimated by multiplying the weight of the boiler by 1.27 tCO</w:t>
      </w:r>
      <w:r w:rsidRPr="00BB587F">
        <w:rPr>
          <w:vertAlign w:val="subscript"/>
        </w:rPr>
        <w:t>2</w:t>
      </w:r>
      <w:r>
        <w:t>e/t</w:t>
      </w:r>
      <w:r w:rsidRPr="00BB587F">
        <w:rPr>
          <w:vertAlign w:val="subscript"/>
        </w:rPr>
        <w:t>steel</w:t>
      </w:r>
      <w:r>
        <w:t xml:space="preserve"> (assuming the boiler is 100</w:t>
      </w:r>
      <w:r w:rsidR="003F7966">
        <w:t xml:space="preserve"> per cent</w:t>
      </w:r>
      <w:r>
        <w:t xml:space="preserve"> made of steel), plus 30</w:t>
      </w:r>
      <w:r w:rsidR="003F7966">
        <w:t xml:space="preserve"> per cent</w:t>
      </w:r>
      <w:r>
        <w:t xml:space="preserve"> added to account for assembly and transportation emissions. To narrow down the search, a boiler with a capacity of 31.5 tonnes/h of steam at 11 bar and efficiency of 90</w:t>
      </w:r>
      <w:r w:rsidR="003F7966">
        <w:t xml:space="preserve"> per cent</w:t>
      </w:r>
      <w:r>
        <w:t xml:space="preserve"> was considered based on the thermal energy that 5,000 m3/h of LFG can generate (approximately 25 MW</w:t>
      </w:r>
      <w:r w:rsidRPr="00BB587F">
        <w:rPr>
          <w:vertAlign w:val="subscript"/>
        </w:rPr>
        <w:t>thermal</w:t>
      </w:r>
      <w:r>
        <w:t>) – the weight of such type of boiler is equal to 52.7 tons,</w:t>
      </w:r>
      <w:r>
        <w:rPr>
          <w:rStyle w:val="FootnoteReference"/>
        </w:rPr>
        <w:footnoteReference w:id="31"/>
      </w:r>
      <w:r>
        <w:t xml:space="preserve"> and its upstream emissions are equal to 52.7 tons x 1.27 tCO</w:t>
      </w:r>
      <w:r w:rsidRPr="00BB587F">
        <w:rPr>
          <w:vertAlign w:val="subscript"/>
        </w:rPr>
        <w:t>2</w:t>
      </w:r>
      <w:r>
        <w:t>e/t</w:t>
      </w:r>
      <w:r w:rsidRPr="00BB587F">
        <w:rPr>
          <w:vertAlign w:val="subscript"/>
        </w:rPr>
        <w:t>steel</w:t>
      </w:r>
      <w:r>
        <w:t xml:space="preserve"> x 130</w:t>
      </w:r>
      <w:r w:rsidR="003F7966">
        <w:t xml:space="preserve"> per cent</w:t>
      </w:r>
      <w:r>
        <w:t xml:space="preserve"> = 87 tCO</w:t>
      </w:r>
      <w:r w:rsidRPr="00BB587F">
        <w:rPr>
          <w:vertAlign w:val="subscript"/>
        </w:rPr>
        <w:t>2</w:t>
      </w:r>
      <w:r>
        <w:t>e. If the boiler operates throughout a whole year (8,760 hours, to align with the basis of the natural gas upstream emissions determined in item 4), the total MJ produce will be equal to 6.75x10</w:t>
      </w:r>
      <w:r w:rsidRPr="00BB587F">
        <w:rPr>
          <w:vertAlign w:val="superscript"/>
        </w:rPr>
        <w:t>8</w:t>
      </w:r>
      <w:r>
        <w:t xml:space="preserve"> MJ, which results in 0.12 gCO</w:t>
      </w:r>
      <w:r w:rsidRPr="00CA1621">
        <w:rPr>
          <w:vertAlign w:val="subscript"/>
        </w:rPr>
        <w:t>2</w:t>
      </w:r>
      <w:r>
        <w:t>/MJ.</w:t>
      </w:r>
    </w:p>
    <w:p w14:paraId="552356F6" w14:textId="77777777" w:rsidR="004334D2" w:rsidRDefault="004334D2" w:rsidP="00C67B31">
      <w:pPr>
        <w:pStyle w:val="SDMApp1"/>
      </w:pPr>
      <w:r>
        <w:t>Upstream baseline emissions from the p</w:t>
      </w:r>
      <w:r w:rsidRPr="00A3603C">
        <w:t xml:space="preserve">roduction, processing and transportation of the natural gas to </w:t>
      </w:r>
      <w:r>
        <w:t>consumers</w:t>
      </w:r>
    </w:p>
    <w:p w14:paraId="47CBEC24" w14:textId="77777777" w:rsidR="004334D2" w:rsidRPr="002F3667" w:rsidRDefault="004334D2" w:rsidP="00E66E80">
      <w:pPr>
        <w:pStyle w:val="SDMPara"/>
      </w:pPr>
      <w:r>
        <w:t>The National Energy Technology Laboratory, published, in 2024, the report “Life cycle analysis of natural gas extraction and power generation: U.S. 2020 emissions profile”</w:t>
      </w:r>
      <w:r>
        <w:rPr>
          <w:rStyle w:val="FootnoteReference"/>
        </w:rPr>
        <w:footnoteReference w:id="32"/>
      </w:r>
      <w:r>
        <w:t xml:space="preserve"> containing an analysis of the U.S. natural gas (NG) supply chain and a study on the impact associated with an average unit of NG traversing from the upstream production basins to the downstream delivery regions, including the calculation of two U.S. average emissions from NG produced and delivered in the year 2020: 8.8 gCO</w:t>
      </w:r>
      <w:r w:rsidRPr="007200DE">
        <w:rPr>
          <w:vertAlign w:val="subscript"/>
        </w:rPr>
        <w:t>2</w:t>
      </w:r>
      <w:r>
        <w:t>e/MJ for the emissions associated from the production of the NG to the distribution to final consumers via natural gas grid (the “</w:t>
      </w:r>
      <w:r w:rsidRPr="001969CF">
        <w:t>production through distribution</w:t>
      </w:r>
      <w:r>
        <w:t>” life-cycle analysis, including the production, gathering and boosting, processing, transmission and distribution of natural gas to end users), and 7.8 gCO</w:t>
      </w:r>
      <w:r w:rsidRPr="007200DE">
        <w:rPr>
          <w:vertAlign w:val="subscript"/>
        </w:rPr>
        <w:t>2</w:t>
      </w:r>
      <w:r>
        <w:t>e/MJ for the emissions associated from the production of the NG to the transmission gas pipeline (the “</w:t>
      </w:r>
      <w:r w:rsidRPr="004D7A2A">
        <w:t>production through transmission network</w:t>
      </w:r>
      <w:r>
        <w:t>” life-cycle analysis,</w:t>
      </w:r>
      <w:r w:rsidRPr="005523CA">
        <w:t xml:space="preserve"> </w:t>
      </w:r>
      <w:r>
        <w:t>including the production, gathering and boosting, processing and transmission of natural gas to the natural gas network).</w:t>
      </w:r>
    </w:p>
    <w:p w14:paraId="752EF392" w14:textId="77777777" w:rsidR="004334D2" w:rsidRDefault="004334D2" w:rsidP="00C67B31">
      <w:pPr>
        <w:pStyle w:val="SDMApp1"/>
      </w:pPr>
      <w:r>
        <w:t>Upstream baseline emissions form the generation of electricity using fossil fuels</w:t>
      </w:r>
    </w:p>
    <w:p w14:paraId="254327B8" w14:textId="77777777" w:rsidR="004334D2" w:rsidRDefault="004334D2" w:rsidP="00E66E80">
      <w:pPr>
        <w:pStyle w:val="SDMPara"/>
        <w:rPr>
          <w:lang w:val="en-US"/>
        </w:rPr>
      </w:pPr>
      <w:r>
        <w:t xml:space="preserve">Upstream baseline emissions from the generation of electricity using fossil fuels, including emissions from the production, processing and transportation of fossil fuel to the energy plant, manufacturing of the energy generation equipment and construction of the energy plant </w:t>
      </w:r>
      <w:r>
        <w:rPr>
          <w:lang w:val="en-US"/>
        </w:rPr>
        <w:t xml:space="preserve">were sourced from </w:t>
      </w:r>
      <w:r>
        <w:t>available literature of lifecycle analysis (LAC)</w:t>
      </w:r>
      <w:r>
        <w:rPr>
          <w:rStyle w:val="FootnoteReference"/>
          <w:lang w:val="en-US"/>
        </w:rPr>
        <w:footnoteReference w:id="33"/>
      </w:r>
      <w:r>
        <w:t xml:space="preserve">, based on a </w:t>
      </w:r>
      <w:r w:rsidRPr="00FD438E">
        <w:rPr>
          <w:lang w:val="en-US"/>
        </w:rPr>
        <w:t>natural gas combined cycle (NGCC) power plant located in Europe, with an installed capacity of 497 MW</w:t>
      </w:r>
      <w:r>
        <w:rPr>
          <w:lang w:val="en-US"/>
        </w:rPr>
        <w:t xml:space="preserve"> with an operational lifetime of 30 years.</w:t>
      </w:r>
    </w:p>
    <w:p w14:paraId="1C57851A" w14:textId="0B954E47" w:rsidR="004334D2" w:rsidRPr="00B4508A" w:rsidRDefault="004334D2" w:rsidP="00E66E80">
      <w:pPr>
        <w:pStyle w:val="SDMPara"/>
        <w:rPr>
          <w:lang w:val="en-US"/>
        </w:rPr>
      </w:pPr>
      <w:r>
        <w:rPr>
          <w:lang w:val="en-US"/>
        </w:rPr>
        <w:t>The LCA provides emissions equal to 434 gCO</w:t>
      </w:r>
      <w:r w:rsidRPr="00EB4ED9">
        <w:rPr>
          <w:vertAlign w:val="subscript"/>
          <w:lang w:val="en-US"/>
        </w:rPr>
        <w:t>2</w:t>
      </w:r>
      <w:r>
        <w:rPr>
          <w:lang w:val="en-US"/>
        </w:rPr>
        <w:t>e/kWh for the full life-cycle of the power plant, from the natural gas production to the decommissioning of the power plant. According to Figure 9 of the report, emissions from the production and transportation of natural gas and for the construction of the power plant is between 15</w:t>
      </w:r>
      <w:r w:rsidR="003F7966">
        <w:rPr>
          <w:lang w:val="en-US"/>
        </w:rPr>
        <w:t xml:space="preserve"> per cent</w:t>
      </w:r>
      <w:r>
        <w:rPr>
          <w:lang w:val="en-US"/>
        </w:rPr>
        <w:t xml:space="preserve"> and 20</w:t>
      </w:r>
      <w:r w:rsidR="003F7966">
        <w:rPr>
          <w:lang w:val="en-US"/>
        </w:rPr>
        <w:t xml:space="preserve"> per cent</w:t>
      </w:r>
      <w:r>
        <w:rPr>
          <w:lang w:val="en-US"/>
        </w:rPr>
        <w:t xml:space="preserve"> of the life-cycle emissions. To be conservative, the analysis assume that the upstream baseline emissions are equal to 20</w:t>
      </w:r>
      <w:r w:rsidR="003F7966">
        <w:rPr>
          <w:lang w:val="en-US"/>
        </w:rPr>
        <w:t xml:space="preserve"> per cent</w:t>
      </w:r>
      <w:r>
        <w:rPr>
          <w:lang w:val="en-US"/>
        </w:rPr>
        <w:t xml:space="preserve"> of the life-cycle analysis, or 87 gCO</w:t>
      </w:r>
      <w:r w:rsidRPr="00CA1621">
        <w:rPr>
          <w:vertAlign w:val="subscript"/>
          <w:lang w:val="en-US"/>
        </w:rPr>
        <w:t>2</w:t>
      </w:r>
      <w:r w:rsidR="001049B3" w:rsidRPr="001049B3">
        <w:rPr>
          <w:lang w:val="en-US"/>
        </w:rPr>
        <w:t>e</w:t>
      </w:r>
      <w:r>
        <w:rPr>
          <w:lang w:val="en-US"/>
        </w:rPr>
        <w:t>/kWh.</w:t>
      </w:r>
    </w:p>
    <w:p w14:paraId="649A0651" w14:textId="103E53F3" w:rsidR="004334D2" w:rsidRDefault="004334D2" w:rsidP="00C67B31">
      <w:pPr>
        <w:pStyle w:val="SDMApp1"/>
      </w:pPr>
      <w:r>
        <w:t xml:space="preserve">Addressing upstream leakage under the </w:t>
      </w:r>
      <w:r w:rsidR="008A0B90">
        <w:t>mechanism methodology</w:t>
      </w:r>
    </w:p>
    <w:p w14:paraId="03F14365" w14:textId="3FC47CA3" w:rsidR="004334D2" w:rsidRDefault="004334D2" w:rsidP="00475BA1">
      <w:pPr>
        <w:pStyle w:val="SDMPara"/>
      </w:pPr>
      <w:r>
        <w:t xml:space="preserve">As explained in sections 1 above, the upstream </w:t>
      </w:r>
      <w:r w:rsidR="005704AC">
        <w:t>project emissions</w:t>
      </w:r>
      <w:r>
        <w:t xml:space="preserve"> from the production of flares can be neglected since it represents 0.002</w:t>
      </w:r>
      <w:r w:rsidR="003F7966">
        <w:t xml:space="preserve"> per cent</w:t>
      </w:r>
      <w:r>
        <w:t xml:space="preserve"> of the baseline emissions for an Article 6.4 activity with a capacity to collect 5,000 m</w:t>
      </w:r>
      <w:r w:rsidRPr="00441175">
        <w:rPr>
          <w:vertAlign w:val="superscript"/>
        </w:rPr>
        <w:t>3</w:t>
      </w:r>
      <w:r>
        <w:t>/h of LFG.</w:t>
      </w:r>
    </w:p>
    <w:p w14:paraId="59B337BB" w14:textId="221532DE" w:rsidR="004334D2" w:rsidRDefault="004334D2" w:rsidP="00475BA1">
      <w:pPr>
        <w:pStyle w:val="SDMPara"/>
      </w:pPr>
      <w:r>
        <w:t xml:space="preserve">As explained in section 2 above, the upstream </w:t>
      </w:r>
      <w:r w:rsidR="005704AC">
        <w:t>project emissions</w:t>
      </w:r>
      <w:r>
        <w:t xml:space="preserve"> from the manufacturing of a long and conservative length of HDPE pipeline represent less than 0.5</w:t>
      </w:r>
      <w:r w:rsidR="003F7966">
        <w:t xml:space="preserve"> per cent</w:t>
      </w:r>
      <w:r>
        <w:t xml:space="preserve"> of total baseline reductions achieved during the first crediting period for an Article 6.4 activity with a capacity to collect 5,000 m</w:t>
      </w:r>
      <w:r w:rsidRPr="00441175">
        <w:rPr>
          <w:vertAlign w:val="superscript"/>
        </w:rPr>
        <w:t>3</w:t>
      </w:r>
      <w:r>
        <w:t>/h of LFG.</w:t>
      </w:r>
    </w:p>
    <w:p w14:paraId="4B6DEA0F" w14:textId="77777777" w:rsidR="004334D2" w:rsidRDefault="004334D2" w:rsidP="00475BA1">
      <w:pPr>
        <w:pStyle w:val="SDMPara"/>
      </w:pPr>
      <w:r>
        <w:t>For activities that involve the supply of biomethane or LFG via trucks, dedicated pipelines or via natural gas distribution grid, the activity upstream emissions for the production and transportation of the biomethane or LFG to consumers can be neglected since the baseline upstream emissions to produce the same amount of natural gas (in an energy basis) is 4 times higher.</w:t>
      </w:r>
    </w:p>
    <w:p w14:paraId="52B91538" w14:textId="23D6D953" w:rsidR="004334D2" w:rsidRDefault="004334D2" w:rsidP="00475BA1">
      <w:pPr>
        <w:pStyle w:val="SDMPara"/>
      </w:pPr>
      <w:r>
        <w:t>For activities that involve the generation of electricity, the activity upstream emissions for the production of 1 kWh (including the manufacturing of the LFG engines and the construction of the power plant) represents 0.11</w:t>
      </w:r>
      <w:r w:rsidR="003F7966">
        <w:t xml:space="preserve"> per cent</w:t>
      </w:r>
      <w:r>
        <w:t xml:space="preserve"> of the baseline upstream emissions for the production, processing and transportation of natural gas and construction of the power plant. However, this comparison is not realistic since the upstream baseline emissions were determined for a power plant with a capacity more than 100 times higher than the activity plant, therefore it’s necessary to allocate the emissions proportionally to the same power plant capacity. By multiplying the CO</w:t>
      </w:r>
      <w:r w:rsidRPr="002C1880">
        <w:rPr>
          <w:vertAlign w:val="subscript"/>
        </w:rPr>
        <w:t>2</w:t>
      </w:r>
      <w:r>
        <w:t xml:space="preserve"> emissions of the NGCC power plant by 4 MW / 497 MW, the result is 0.8</w:t>
      </w:r>
      <w:r w:rsidR="003F7966">
        <w:t xml:space="preserve"> per cent</w:t>
      </w:r>
      <w:r>
        <w:t>; multiplying this value by 87 gCO</w:t>
      </w:r>
      <w:r w:rsidRPr="00834895">
        <w:rPr>
          <w:vertAlign w:val="subscript"/>
        </w:rPr>
        <w:t>2</w:t>
      </w:r>
      <w:r>
        <w:t>/kWh results in 0.696 gCO</w:t>
      </w:r>
      <w:r w:rsidRPr="00834895">
        <w:rPr>
          <w:vertAlign w:val="subscript"/>
        </w:rPr>
        <w:t>2</w:t>
      </w:r>
      <w:r>
        <w:t>/kWh – which is still higher than the emissions to manufacture a 4MW engine, therefore this upstream source can be neglected.</w:t>
      </w:r>
    </w:p>
    <w:p w14:paraId="216FE208" w14:textId="4C2114C3" w:rsidR="004334D2" w:rsidRDefault="004334D2" w:rsidP="00475BA1">
      <w:pPr>
        <w:pStyle w:val="SDMPara"/>
      </w:pPr>
      <w:r>
        <w:t xml:space="preserve">For activities that involve the generation of heat in the baseline heat generation equipment, the upstream baseline emissions are determined for the production, processing and transportation of natural gas, whereas no upstream </w:t>
      </w:r>
      <w:r w:rsidR="005704AC">
        <w:t>project emissions</w:t>
      </w:r>
      <w:r>
        <w:t xml:space="preserve"> take place in the activity scenario, therefore it is conservative to neglect this upstream source.</w:t>
      </w:r>
    </w:p>
    <w:p w14:paraId="5C3F1AD5" w14:textId="5A3DE90D" w:rsidR="004334D2" w:rsidRDefault="004334D2" w:rsidP="00475BA1">
      <w:pPr>
        <w:pStyle w:val="SDMPara"/>
      </w:pPr>
      <w:r>
        <w:t>For activities that involve the generation of heat in a new baseline heat generation, the upstream baseline emissions are determined for the production, processing and transportation of natural gas (7.912 gCO</w:t>
      </w:r>
      <w:r w:rsidRPr="006F756D">
        <w:rPr>
          <w:vertAlign w:val="subscript"/>
        </w:rPr>
        <w:t>2</w:t>
      </w:r>
      <w:r>
        <w:t xml:space="preserve">e/MJ), whereas the upstream </w:t>
      </w:r>
      <w:r w:rsidR="005704AC">
        <w:t>project emissions</w:t>
      </w:r>
      <w:r>
        <w:t xml:space="preserve"> are associated with the manufacturing of the new heat generation equipment (0.12 gCO</w:t>
      </w:r>
      <w:r w:rsidRPr="009328D1">
        <w:rPr>
          <w:vertAlign w:val="subscript"/>
        </w:rPr>
        <w:t>2</w:t>
      </w:r>
      <w:r>
        <w:t>/MJ) and represent 1.5</w:t>
      </w:r>
      <w:r w:rsidR="003F7966">
        <w:t xml:space="preserve"> per cent</w:t>
      </w:r>
      <w:r>
        <w:t xml:space="preserve"> of the upstream baseline emissions, therefore they can be neglected.</w:t>
      </w:r>
    </w:p>
    <w:p w14:paraId="7BF5339E" w14:textId="309C46A4" w:rsidR="004334D2" w:rsidRPr="00A01B07" w:rsidRDefault="004334D2" w:rsidP="00E66E80">
      <w:pPr>
        <w:pStyle w:val="SDMPara"/>
      </w:pPr>
      <w:r>
        <w:t xml:space="preserve">The table below summarizes the upstream baseline and </w:t>
      </w:r>
      <w:r w:rsidR="005704AC">
        <w:t>project emissions</w:t>
      </w:r>
      <w:r>
        <w:t>.</w:t>
      </w:r>
    </w:p>
    <w:p w14:paraId="08CA373A" w14:textId="77777777" w:rsidR="004334D2" w:rsidRPr="00CC4974" w:rsidRDefault="004334D2" w:rsidP="004334D2">
      <w:pPr>
        <w:sectPr w:rsidR="004334D2" w:rsidRPr="00CC4974" w:rsidSect="009532CC">
          <w:headerReference w:type="even" r:id="rId21"/>
          <w:headerReference w:type="default" r:id="rId22"/>
          <w:footerReference w:type="default" r:id="rId23"/>
          <w:headerReference w:type="first" r:id="rId24"/>
          <w:footnotePr>
            <w:numRestart w:val="eachSect"/>
          </w:footnotePr>
          <w:pgSz w:w="11907" w:h="16840" w:code="9"/>
          <w:pgMar w:top="2552" w:right="1134" w:bottom="1418" w:left="1418" w:header="851" w:footer="567" w:gutter="0"/>
          <w:cols w:space="720"/>
          <w:formProt w:val="0"/>
          <w:docGrid w:linePitch="299"/>
        </w:sectPr>
      </w:pPr>
    </w:p>
    <w:p w14:paraId="50B5653D" w14:textId="3B0AAA15" w:rsidR="004334D2" w:rsidRDefault="004334D2" w:rsidP="004334D2">
      <w:pPr>
        <w:pStyle w:val="CaptionFullPage"/>
      </w:pPr>
      <w:r>
        <w:t>Table </w:t>
      </w:r>
      <w:r w:rsidR="000E5056">
        <w:fldChar w:fldCharType="begin"/>
      </w:r>
      <w:r w:rsidR="000E5056">
        <w:instrText xml:space="preserve"> SEQ Table \* ARABIC </w:instrText>
      </w:r>
      <w:r w:rsidR="000E5056">
        <w:fldChar w:fldCharType="separate"/>
      </w:r>
      <w:r w:rsidR="00302468">
        <w:rPr>
          <w:noProof/>
        </w:rPr>
        <w:t>2</w:t>
      </w:r>
      <w:r w:rsidR="000E5056">
        <w:rPr>
          <w:noProof/>
        </w:rPr>
        <w:fldChar w:fldCharType="end"/>
      </w:r>
      <w:r>
        <w:t>.</w:t>
      </w:r>
      <w:r>
        <w:tab/>
        <w:t xml:space="preserve">Upstream baseline and </w:t>
      </w:r>
      <w:r w:rsidR="005704AC">
        <w:t>project emissions</w:t>
      </w:r>
      <w:r>
        <w:t xml:space="preserve"> for each component of Article 6.4 activities eligible under this </w:t>
      </w:r>
      <w:r w:rsidR="008A0B90">
        <w:t>mechanism methodology</w:t>
      </w:r>
    </w:p>
    <w:tbl>
      <w:tblPr>
        <w:tblStyle w:val="SDMTableFullWidth"/>
        <w:tblW w:w="0" w:type="auto"/>
        <w:tblLook w:val="0420" w:firstRow="1" w:lastRow="0" w:firstColumn="0" w:lastColumn="0" w:noHBand="0" w:noVBand="1"/>
      </w:tblPr>
      <w:tblGrid>
        <w:gridCol w:w="1555"/>
        <w:gridCol w:w="2079"/>
        <w:gridCol w:w="1868"/>
        <w:gridCol w:w="1752"/>
        <w:gridCol w:w="1887"/>
        <w:gridCol w:w="1881"/>
        <w:gridCol w:w="1791"/>
        <w:gridCol w:w="1465"/>
      </w:tblGrid>
      <w:tr w:rsidR="004334D2" w14:paraId="5CADD03D" w14:textId="77777777" w:rsidTr="007E5A9B">
        <w:trPr>
          <w:cnfStyle w:val="100000000000" w:firstRow="1" w:lastRow="0" w:firstColumn="0" w:lastColumn="0" w:oddVBand="0" w:evenVBand="0" w:oddHBand="0" w:evenHBand="0" w:firstRowFirstColumn="0" w:firstRowLastColumn="0" w:lastRowFirstColumn="0" w:lastRowLastColumn="0"/>
        </w:trPr>
        <w:tc>
          <w:tcPr>
            <w:tcW w:w="1555" w:type="dxa"/>
            <w:tcBorders>
              <w:bottom w:val="single" w:sz="4" w:space="0" w:color="auto"/>
              <w:right w:val="single" w:sz="4" w:space="0" w:color="auto"/>
            </w:tcBorders>
          </w:tcPr>
          <w:p w14:paraId="59F9C5B4" w14:textId="77777777" w:rsidR="004334D2" w:rsidRDefault="004334D2" w:rsidP="00E66E80">
            <w:pPr>
              <w:pStyle w:val="SDMTableBoxParaNumbered"/>
            </w:pPr>
            <w:r>
              <w:t>Type of project</w:t>
            </w:r>
          </w:p>
        </w:tc>
        <w:tc>
          <w:tcPr>
            <w:tcW w:w="2079" w:type="dxa"/>
            <w:tcBorders>
              <w:left w:val="single" w:sz="4" w:space="0" w:color="auto"/>
              <w:bottom w:val="single" w:sz="4" w:space="0" w:color="auto"/>
              <w:right w:val="single" w:sz="4" w:space="0" w:color="auto"/>
            </w:tcBorders>
          </w:tcPr>
          <w:p w14:paraId="5E225D7C" w14:textId="77777777" w:rsidR="004334D2" w:rsidRDefault="004334D2" w:rsidP="00D31460">
            <w:pPr>
              <w:pStyle w:val="SDMTableBoxParaNotNumbered"/>
            </w:pPr>
            <w:r>
              <w:t>Baseline situation</w:t>
            </w:r>
          </w:p>
        </w:tc>
        <w:tc>
          <w:tcPr>
            <w:tcW w:w="1868" w:type="dxa"/>
            <w:tcBorders>
              <w:left w:val="single" w:sz="4" w:space="0" w:color="auto"/>
              <w:bottom w:val="single" w:sz="4" w:space="0" w:color="auto"/>
              <w:right w:val="single" w:sz="4" w:space="0" w:color="auto"/>
            </w:tcBorders>
          </w:tcPr>
          <w:p w14:paraId="676948BE" w14:textId="77777777" w:rsidR="004334D2" w:rsidRDefault="004334D2" w:rsidP="00D31460">
            <w:pPr>
              <w:pStyle w:val="SDMTableBoxParaNotNumbered"/>
            </w:pPr>
            <w:r>
              <w:t>Source of upstream baseline emissions</w:t>
            </w:r>
          </w:p>
        </w:tc>
        <w:tc>
          <w:tcPr>
            <w:tcW w:w="1752" w:type="dxa"/>
            <w:tcBorders>
              <w:left w:val="single" w:sz="4" w:space="0" w:color="auto"/>
              <w:bottom w:val="single" w:sz="4" w:space="0" w:color="auto"/>
              <w:right w:val="single" w:sz="4" w:space="0" w:color="auto"/>
            </w:tcBorders>
          </w:tcPr>
          <w:p w14:paraId="4D18940A" w14:textId="77777777" w:rsidR="004334D2" w:rsidRDefault="004334D2" w:rsidP="00D31460">
            <w:pPr>
              <w:pStyle w:val="SDMTableBoxParaNotNumbered"/>
            </w:pPr>
            <w:r>
              <w:t>Upstream baseline emissions</w:t>
            </w:r>
          </w:p>
        </w:tc>
        <w:tc>
          <w:tcPr>
            <w:tcW w:w="1887" w:type="dxa"/>
            <w:tcBorders>
              <w:left w:val="single" w:sz="4" w:space="0" w:color="auto"/>
              <w:bottom w:val="single" w:sz="4" w:space="0" w:color="auto"/>
              <w:right w:val="single" w:sz="4" w:space="0" w:color="auto"/>
            </w:tcBorders>
          </w:tcPr>
          <w:p w14:paraId="42F41681" w14:textId="77777777" w:rsidR="004334D2" w:rsidRDefault="004334D2" w:rsidP="00D31460">
            <w:pPr>
              <w:pStyle w:val="SDMTableBoxParaNotNumbered"/>
            </w:pPr>
            <w:r>
              <w:t>Activity situation</w:t>
            </w:r>
          </w:p>
        </w:tc>
        <w:tc>
          <w:tcPr>
            <w:tcW w:w="1881" w:type="dxa"/>
            <w:tcBorders>
              <w:left w:val="single" w:sz="4" w:space="0" w:color="auto"/>
              <w:bottom w:val="single" w:sz="4" w:space="0" w:color="auto"/>
              <w:right w:val="single" w:sz="4" w:space="0" w:color="auto"/>
            </w:tcBorders>
          </w:tcPr>
          <w:p w14:paraId="291028A8" w14:textId="2C074090" w:rsidR="004334D2" w:rsidRDefault="004334D2" w:rsidP="00D31460">
            <w:pPr>
              <w:pStyle w:val="SDMTableBoxParaNotNumbered"/>
            </w:pPr>
            <w:r>
              <w:t xml:space="preserve">Source of upstream </w:t>
            </w:r>
            <w:r w:rsidR="005704AC">
              <w:t>project emissions</w:t>
            </w:r>
          </w:p>
        </w:tc>
        <w:tc>
          <w:tcPr>
            <w:tcW w:w="1791" w:type="dxa"/>
            <w:tcBorders>
              <w:left w:val="single" w:sz="4" w:space="0" w:color="auto"/>
              <w:bottom w:val="single" w:sz="4" w:space="0" w:color="auto"/>
              <w:right w:val="single" w:sz="4" w:space="0" w:color="auto"/>
            </w:tcBorders>
          </w:tcPr>
          <w:p w14:paraId="6BF48E0B" w14:textId="2D44AA8E" w:rsidR="004334D2" w:rsidRDefault="004334D2" w:rsidP="00D31460">
            <w:pPr>
              <w:pStyle w:val="SDMTableBoxParaNotNumbered"/>
            </w:pPr>
            <w:r>
              <w:t xml:space="preserve">Upstream </w:t>
            </w:r>
            <w:r w:rsidR="005704AC">
              <w:t>project emissions</w:t>
            </w:r>
          </w:p>
        </w:tc>
        <w:tc>
          <w:tcPr>
            <w:tcW w:w="1465" w:type="dxa"/>
            <w:tcBorders>
              <w:left w:val="single" w:sz="4" w:space="0" w:color="auto"/>
              <w:bottom w:val="single" w:sz="4" w:space="0" w:color="auto"/>
            </w:tcBorders>
          </w:tcPr>
          <w:p w14:paraId="1FFA341C" w14:textId="77777777" w:rsidR="004334D2" w:rsidRDefault="004334D2" w:rsidP="00D31460">
            <w:pPr>
              <w:pStyle w:val="SDMTableBoxParaNotNumbered"/>
            </w:pPr>
            <w:r>
              <w:t>Proposal to address leakage</w:t>
            </w:r>
          </w:p>
        </w:tc>
      </w:tr>
      <w:tr w:rsidR="004334D2" w14:paraId="5F15D31A" w14:textId="77777777" w:rsidTr="00D711CF">
        <w:tc>
          <w:tcPr>
            <w:tcW w:w="1555" w:type="dxa"/>
            <w:tcBorders>
              <w:top w:val="single" w:sz="4" w:space="0" w:color="auto"/>
              <w:left w:val="single" w:sz="4" w:space="0" w:color="auto"/>
              <w:bottom w:val="single" w:sz="4" w:space="0" w:color="auto"/>
              <w:right w:val="single" w:sz="4" w:space="0" w:color="auto"/>
            </w:tcBorders>
          </w:tcPr>
          <w:p w14:paraId="131AAB99" w14:textId="77777777" w:rsidR="004334D2" w:rsidRDefault="004334D2" w:rsidP="00D31460">
            <w:pPr>
              <w:pStyle w:val="SDMTableBoxParaNumbered"/>
              <w:numPr>
                <w:ilvl w:val="0"/>
                <w:numId w:val="0"/>
              </w:numPr>
            </w:pPr>
            <w:r>
              <w:t>Flaring only</w:t>
            </w:r>
          </w:p>
        </w:tc>
        <w:tc>
          <w:tcPr>
            <w:tcW w:w="2079" w:type="dxa"/>
            <w:tcBorders>
              <w:top w:val="single" w:sz="4" w:space="0" w:color="auto"/>
              <w:left w:val="single" w:sz="4" w:space="0" w:color="auto"/>
              <w:bottom w:val="single" w:sz="4" w:space="0" w:color="auto"/>
              <w:right w:val="single" w:sz="4" w:space="0" w:color="auto"/>
            </w:tcBorders>
          </w:tcPr>
          <w:p w14:paraId="0135D498" w14:textId="7C574F8F" w:rsidR="004334D2" w:rsidRDefault="004334D2" w:rsidP="00C67B31">
            <w:pPr>
              <w:pStyle w:val="SDMTableBoxParaNotNumbered"/>
              <w:numPr>
                <w:ilvl w:val="0"/>
                <w:numId w:val="13"/>
              </w:numPr>
              <w:ind w:left="172" w:hanging="172"/>
            </w:pPr>
            <w:r>
              <w:t>Operation of the landfill without implementing the LFG collection and destruction systems that are part of the project</w:t>
            </w:r>
          </w:p>
        </w:tc>
        <w:tc>
          <w:tcPr>
            <w:tcW w:w="1868" w:type="dxa"/>
            <w:tcBorders>
              <w:top w:val="single" w:sz="4" w:space="0" w:color="auto"/>
              <w:left w:val="single" w:sz="4" w:space="0" w:color="auto"/>
              <w:bottom w:val="single" w:sz="4" w:space="0" w:color="auto"/>
              <w:right w:val="single" w:sz="4" w:space="0" w:color="auto"/>
            </w:tcBorders>
          </w:tcPr>
          <w:p w14:paraId="09296DB0" w14:textId="77777777" w:rsidR="004334D2" w:rsidRDefault="004334D2" w:rsidP="00C67B31">
            <w:pPr>
              <w:pStyle w:val="SDMTableBoxParaNotNumbered"/>
              <w:numPr>
                <w:ilvl w:val="0"/>
                <w:numId w:val="13"/>
              </w:numPr>
              <w:ind w:left="172" w:hanging="172"/>
            </w:pPr>
            <w:r>
              <w:t>N/A</w:t>
            </w:r>
          </w:p>
        </w:tc>
        <w:tc>
          <w:tcPr>
            <w:tcW w:w="1752" w:type="dxa"/>
            <w:tcBorders>
              <w:top w:val="single" w:sz="4" w:space="0" w:color="auto"/>
              <w:left w:val="single" w:sz="4" w:space="0" w:color="auto"/>
              <w:bottom w:val="single" w:sz="4" w:space="0" w:color="auto"/>
              <w:right w:val="single" w:sz="4" w:space="0" w:color="auto"/>
            </w:tcBorders>
          </w:tcPr>
          <w:p w14:paraId="1561C1B2" w14:textId="77777777" w:rsidR="004334D2" w:rsidRDefault="004334D2" w:rsidP="00C67B31">
            <w:pPr>
              <w:pStyle w:val="SDMTableBoxParaNotNumbered"/>
              <w:numPr>
                <w:ilvl w:val="0"/>
                <w:numId w:val="13"/>
              </w:numPr>
              <w:ind w:left="172" w:hanging="172"/>
            </w:pPr>
            <w:r>
              <w:t>N/A</w:t>
            </w:r>
          </w:p>
        </w:tc>
        <w:tc>
          <w:tcPr>
            <w:tcW w:w="1887" w:type="dxa"/>
            <w:tcBorders>
              <w:top w:val="single" w:sz="4" w:space="0" w:color="auto"/>
              <w:left w:val="single" w:sz="4" w:space="0" w:color="auto"/>
              <w:bottom w:val="single" w:sz="4" w:space="0" w:color="auto"/>
              <w:right w:val="single" w:sz="4" w:space="0" w:color="auto"/>
            </w:tcBorders>
          </w:tcPr>
          <w:p w14:paraId="625096F3" w14:textId="77777777" w:rsidR="004334D2" w:rsidRDefault="004334D2" w:rsidP="00C67B31">
            <w:pPr>
              <w:pStyle w:val="SDMTableBoxParaNotNumbered"/>
              <w:numPr>
                <w:ilvl w:val="0"/>
                <w:numId w:val="13"/>
              </w:numPr>
              <w:ind w:left="172" w:hanging="172"/>
            </w:pPr>
            <w:r>
              <w:t>Installation of an efficient LFG collection system;</w:t>
            </w:r>
          </w:p>
          <w:p w14:paraId="6B07E182" w14:textId="77777777" w:rsidR="004334D2" w:rsidRDefault="004334D2" w:rsidP="00C67B31">
            <w:pPr>
              <w:pStyle w:val="SDMTableBoxParaNotNumbered"/>
              <w:numPr>
                <w:ilvl w:val="0"/>
                <w:numId w:val="13"/>
              </w:numPr>
              <w:spacing w:before="60"/>
              <w:ind w:left="170" w:hanging="170"/>
            </w:pPr>
            <w:r>
              <w:t>Installation of one or more flares to destroy the methane</w:t>
            </w:r>
          </w:p>
        </w:tc>
        <w:tc>
          <w:tcPr>
            <w:tcW w:w="1881" w:type="dxa"/>
            <w:tcBorders>
              <w:top w:val="single" w:sz="4" w:space="0" w:color="auto"/>
              <w:left w:val="single" w:sz="4" w:space="0" w:color="auto"/>
              <w:bottom w:val="single" w:sz="4" w:space="0" w:color="auto"/>
              <w:right w:val="single" w:sz="4" w:space="0" w:color="auto"/>
            </w:tcBorders>
          </w:tcPr>
          <w:p w14:paraId="28632B18" w14:textId="77777777" w:rsidR="004334D2" w:rsidRDefault="004334D2" w:rsidP="00C67B31">
            <w:pPr>
              <w:pStyle w:val="SDMTableBoxParaNotNumbered"/>
              <w:numPr>
                <w:ilvl w:val="0"/>
                <w:numId w:val="13"/>
              </w:numPr>
              <w:ind w:left="172" w:hanging="172"/>
            </w:pPr>
            <w:r>
              <w:t>Manufacturing of HDPE pipeline to collect the LFG</w:t>
            </w:r>
          </w:p>
          <w:p w14:paraId="5F845092" w14:textId="77777777" w:rsidR="004334D2" w:rsidRDefault="004334D2" w:rsidP="00C67B31">
            <w:pPr>
              <w:pStyle w:val="SDMTableBoxParaNotNumbered"/>
              <w:numPr>
                <w:ilvl w:val="0"/>
                <w:numId w:val="13"/>
              </w:numPr>
              <w:spacing w:before="60"/>
              <w:ind w:left="170" w:hanging="170"/>
            </w:pPr>
            <w:r>
              <w:t>Manufacturing of flares</w:t>
            </w:r>
          </w:p>
        </w:tc>
        <w:tc>
          <w:tcPr>
            <w:tcW w:w="1791" w:type="dxa"/>
            <w:tcBorders>
              <w:top w:val="single" w:sz="4" w:space="0" w:color="auto"/>
              <w:left w:val="single" w:sz="4" w:space="0" w:color="auto"/>
              <w:bottom w:val="single" w:sz="4" w:space="0" w:color="auto"/>
              <w:right w:val="single" w:sz="4" w:space="0" w:color="auto"/>
            </w:tcBorders>
          </w:tcPr>
          <w:p w14:paraId="7213EB8B" w14:textId="0B3A12A8" w:rsidR="004334D2" w:rsidRDefault="004334D2" w:rsidP="00C67B31">
            <w:pPr>
              <w:pStyle w:val="SDMTableBoxParaNotNumbered"/>
              <w:numPr>
                <w:ilvl w:val="0"/>
                <w:numId w:val="13"/>
              </w:numPr>
              <w:ind w:left="172" w:hanging="172"/>
            </w:pPr>
            <w:r>
              <w:t>0.5</w:t>
            </w:r>
            <w:r w:rsidR="003F7966">
              <w:t xml:space="preserve"> per cent</w:t>
            </w:r>
            <w:r>
              <w:t xml:space="preserve"> of baseline emissions</w:t>
            </w:r>
          </w:p>
          <w:p w14:paraId="68815224" w14:textId="35C8461B" w:rsidR="004334D2" w:rsidRDefault="004334D2" w:rsidP="00C67B31">
            <w:pPr>
              <w:pStyle w:val="SDMTableBoxParaNotNumbered"/>
              <w:numPr>
                <w:ilvl w:val="0"/>
                <w:numId w:val="13"/>
              </w:numPr>
              <w:spacing w:before="60"/>
              <w:ind w:left="170" w:hanging="170"/>
            </w:pPr>
            <w:r>
              <w:t>Neglected (0.002</w:t>
            </w:r>
            <w:r w:rsidR="003F7966">
              <w:t xml:space="preserve"> per cent</w:t>
            </w:r>
            <w:r>
              <w:t xml:space="preserve"> of baseline emissions)</w:t>
            </w:r>
          </w:p>
        </w:tc>
        <w:tc>
          <w:tcPr>
            <w:tcW w:w="1465" w:type="dxa"/>
            <w:tcBorders>
              <w:top w:val="single" w:sz="4" w:space="0" w:color="auto"/>
              <w:left w:val="single" w:sz="4" w:space="0" w:color="auto"/>
              <w:bottom w:val="single" w:sz="4" w:space="0" w:color="auto"/>
              <w:right w:val="single" w:sz="4" w:space="0" w:color="auto"/>
            </w:tcBorders>
          </w:tcPr>
          <w:p w14:paraId="4439238E" w14:textId="40622DED" w:rsidR="004334D2" w:rsidRDefault="004334D2" w:rsidP="00C67B31">
            <w:pPr>
              <w:pStyle w:val="SDMTableBoxParaNotNumbered"/>
              <w:numPr>
                <w:ilvl w:val="0"/>
                <w:numId w:val="13"/>
              </w:numPr>
              <w:ind w:left="172" w:hanging="172"/>
            </w:pPr>
            <w:r>
              <w:t>Discount 0.5</w:t>
            </w:r>
            <w:r w:rsidR="003F7966">
              <w:t xml:space="preserve"> per cent</w:t>
            </w:r>
            <w:r>
              <w:t xml:space="preserve"> from the baseline emissions</w:t>
            </w:r>
          </w:p>
        </w:tc>
      </w:tr>
      <w:tr w:rsidR="004334D2" w14:paraId="2C853149" w14:textId="77777777" w:rsidTr="00D711CF">
        <w:tc>
          <w:tcPr>
            <w:tcW w:w="1555" w:type="dxa"/>
            <w:tcBorders>
              <w:top w:val="single" w:sz="4" w:space="0" w:color="auto"/>
              <w:left w:val="single" w:sz="4" w:space="0" w:color="auto"/>
              <w:bottom w:val="single" w:sz="4" w:space="0" w:color="auto"/>
              <w:right w:val="single" w:sz="4" w:space="0" w:color="auto"/>
            </w:tcBorders>
          </w:tcPr>
          <w:p w14:paraId="63508873" w14:textId="77777777" w:rsidR="004334D2" w:rsidRDefault="004334D2" w:rsidP="00D31460">
            <w:pPr>
              <w:pStyle w:val="SDMTableBoxParaNumbered"/>
              <w:numPr>
                <w:ilvl w:val="0"/>
                <w:numId w:val="0"/>
              </w:numPr>
            </w:pPr>
            <w:r>
              <w:t>Supply of biomethane or LFG to consumers</w:t>
            </w:r>
          </w:p>
        </w:tc>
        <w:tc>
          <w:tcPr>
            <w:tcW w:w="2079" w:type="dxa"/>
            <w:tcBorders>
              <w:top w:val="single" w:sz="4" w:space="0" w:color="auto"/>
              <w:left w:val="single" w:sz="4" w:space="0" w:color="auto"/>
              <w:bottom w:val="single" w:sz="4" w:space="0" w:color="auto"/>
              <w:right w:val="single" w:sz="4" w:space="0" w:color="auto"/>
            </w:tcBorders>
          </w:tcPr>
          <w:p w14:paraId="238F9539" w14:textId="77777777" w:rsidR="004334D2" w:rsidRDefault="004334D2" w:rsidP="00C67B31">
            <w:pPr>
              <w:pStyle w:val="SDMTableBoxParaNotNumbered"/>
              <w:numPr>
                <w:ilvl w:val="0"/>
                <w:numId w:val="13"/>
              </w:numPr>
              <w:ind w:left="172" w:hanging="172"/>
            </w:pPr>
            <w:r>
              <w:t>Operation of the landfill without implementing the LFG collection system that is part of the project;</w:t>
            </w:r>
          </w:p>
          <w:p w14:paraId="30C21F7D" w14:textId="5B5FBF6E" w:rsidR="004334D2" w:rsidRDefault="004334D2" w:rsidP="00C67B31">
            <w:pPr>
              <w:pStyle w:val="SDMTableBoxParaNotNumbered"/>
              <w:numPr>
                <w:ilvl w:val="0"/>
                <w:numId w:val="13"/>
              </w:numPr>
              <w:spacing w:before="60"/>
              <w:ind w:left="170" w:hanging="170"/>
            </w:pPr>
            <w:r>
              <w:t>Consumers would have been supplied with natural gas from the distribution network</w:t>
            </w:r>
          </w:p>
        </w:tc>
        <w:tc>
          <w:tcPr>
            <w:tcW w:w="1868" w:type="dxa"/>
            <w:tcBorders>
              <w:top w:val="single" w:sz="4" w:space="0" w:color="auto"/>
              <w:left w:val="single" w:sz="4" w:space="0" w:color="auto"/>
              <w:bottom w:val="single" w:sz="4" w:space="0" w:color="auto"/>
              <w:right w:val="single" w:sz="4" w:space="0" w:color="auto"/>
            </w:tcBorders>
          </w:tcPr>
          <w:p w14:paraId="223ECF8F" w14:textId="77777777" w:rsidR="004334D2" w:rsidRDefault="004334D2" w:rsidP="00C67B31">
            <w:pPr>
              <w:pStyle w:val="SDMTableBoxParaNotNumbered"/>
              <w:numPr>
                <w:ilvl w:val="0"/>
                <w:numId w:val="13"/>
              </w:numPr>
              <w:ind w:left="172" w:hanging="172"/>
            </w:pPr>
            <w:r>
              <w:t>N/A</w:t>
            </w:r>
          </w:p>
          <w:p w14:paraId="325B44C8" w14:textId="2B34494F" w:rsidR="004334D2" w:rsidRDefault="004334D2" w:rsidP="00C67B31">
            <w:pPr>
              <w:pStyle w:val="SDMTableBoxParaNotNumbered"/>
              <w:numPr>
                <w:ilvl w:val="0"/>
                <w:numId w:val="13"/>
              </w:numPr>
              <w:spacing w:before="60"/>
              <w:ind w:left="170" w:hanging="170"/>
            </w:pPr>
            <w:r>
              <w:t>Production, processing and transportation of the natural gas to the consumers</w:t>
            </w:r>
          </w:p>
        </w:tc>
        <w:tc>
          <w:tcPr>
            <w:tcW w:w="1752" w:type="dxa"/>
            <w:tcBorders>
              <w:top w:val="single" w:sz="4" w:space="0" w:color="auto"/>
              <w:left w:val="single" w:sz="4" w:space="0" w:color="auto"/>
              <w:bottom w:val="single" w:sz="4" w:space="0" w:color="auto"/>
              <w:right w:val="single" w:sz="4" w:space="0" w:color="auto"/>
            </w:tcBorders>
          </w:tcPr>
          <w:p w14:paraId="726A685F" w14:textId="77777777" w:rsidR="004334D2" w:rsidRDefault="004334D2" w:rsidP="00C67B31">
            <w:pPr>
              <w:pStyle w:val="SDMTableBoxParaNotNumbered"/>
              <w:numPr>
                <w:ilvl w:val="0"/>
                <w:numId w:val="13"/>
              </w:numPr>
              <w:ind w:left="172" w:hanging="172"/>
            </w:pPr>
            <w:r>
              <w:t>N/A</w:t>
            </w:r>
          </w:p>
          <w:p w14:paraId="2639E619" w14:textId="4CA6E70A" w:rsidR="004334D2" w:rsidRDefault="004334D2" w:rsidP="00C67B31">
            <w:pPr>
              <w:pStyle w:val="SDMTableBoxParaNotNumbered"/>
              <w:numPr>
                <w:ilvl w:val="0"/>
                <w:numId w:val="13"/>
              </w:numPr>
              <w:spacing w:before="60"/>
              <w:ind w:left="170" w:hanging="170"/>
            </w:pPr>
            <w:r>
              <w:t>8.8 gCO</w:t>
            </w:r>
            <w:r w:rsidRPr="00A26E87">
              <w:rPr>
                <w:vertAlign w:val="subscript"/>
              </w:rPr>
              <w:t>2</w:t>
            </w:r>
            <w:r>
              <w:t>/TJ</w:t>
            </w:r>
          </w:p>
        </w:tc>
        <w:tc>
          <w:tcPr>
            <w:tcW w:w="1887" w:type="dxa"/>
            <w:tcBorders>
              <w:top w:val="single" w:sz="4" w:space="0" w:color="auto"/>
              <w:left w:val="single" w:sz="4" w:space="0" w:color="auto"/>
              <w:bottom w:val="single" w:sz="4" w:space="0" w:color="auto"/>
              <w:right w:val="single" w:sz="4" w:space="0" w:color="auto"/>
            </w:tcBorders>
          </w:tcPr>
          <w:p w14:paraId="163D1504" w14:textId="77777777" w:rsidR="004334D2" w:rsidRDefault="004334D2" w:rsidP="00C67B31">
            <w:pPr>
              <w:pStyle w:val="SDMTableBoxParaNotNumbered"/>
              <w:numPr>
                <w:ilvl w:val="0"/>
                <w:numId w:val="13"/>
              </w:numPr>
              <w:ind w:left="172" w:hanging="172"/>
            </w:pPr>
            <w:r>
              <w:t>Installation of an efficient LFG collection system;</w:t>
            </w:r>
          </w:p>
          <w:p w14:paraId="23EB7C4E" w14:textId="77777777" w:rsidR="004334D2" w:rsidRDefault="004334D2" w:rsidP="00C67B31">
            <w:pPr>
              <w:pStyle w:val="SDMTableBoxParaNotNumbered"/>
              <w:numPr>
                <w:ilvl w:val="0"/>
                <w:numId w:val="13"/>
              </w:numPr>
              <w:spacing w:before="60"/>
              <w:ind w:left="172" w:hanging="172"/>
            </w:pPr>
            <w:r>
              <w:t>Installation of biomethane production plant;</w:t>
            </w:r>
          </w:p>
          <w:p w14:paraId="2640F82E" w14:textId="77777777" w:rsidR="004334D2" w:rsidRDefault="004334D2" w:rsidP="00C67B31">
            <w:pPr>
              <w:pStyle w:val="SDMTableBoxParaNotNumbered"/>
              <w:numPr>
                <w:ilvl w:val="0"/>
                <w:numId w:val="13"/>
              </w:numPr>
              <w:spacing w:before="60"/>
              <w:ind w:left="172" w:hanging="172"/>
            </w:pPr>
            <w:r>
              <w:t>Transportation of the biomethane to consumers via pipeline, natural gas grid or trucks</w:t>
            </w:r>
          </w:p>
        </w:tc>
        <w:tc>
          <w:tcPr>
            <w:tcW w:w="1881" w:type="dxa"/>
            <w:tcBorders>
              <w:top w:val="single" w:sz="4" w:space="0" w:color="auto"/>
              <w:left w:val="single" w:sz="4" w:space="0" w:color="auto"/>
              <w:bottom w:val="single" w:sz="4" w:space="0" w:color="auto"/>
              <w:right w:val="single" w:sz="4" w:space="0" w:color="auto"/>
            </w:tcBorders>
          </w:tcPr>
          <w:p w14:paraId="257DD6DA" w14:textId="77777777" w:rsidR="004334D2" w:rsidRDefault="004334D2" w:rsidP="00C67B31">
            <w:pPr>
              <w:pStyle w:val="SDMTableBoxParaNotNumbered"/>
              <w:numPr>
                <w:ilvl w:val="0"/>
                <w:numId w:val="13"/>
              </w:numPr>
              <w:ind w:left="172" w:hanging="172"/>
            </w:pPr>
            <w:r>
              <w:t>Manufacturing of HDPE pipeline to collect the LFG;</w:t>
            </w:r>
          </w:p>
          <w:p w14:paraId="3A54C225" w14:textId="77777777" w:rsidR="004334D2" w:rsidRDefault="004334D2" w:rsidP="00C67B31">
            <w:pPr>
              <w:pStyle w:val="SDMTableBoxParaNotNumbered"/>
              <w:numPr>
                <w:ilvl w:val="0"/>
                <w:numId w:val="13"/>
              </w:numPr>
              <w:spacing w:before="60"/>
              <w:ind w:left="172" w:hanging="172"/>
            </w:pPr>
            <w:r>
              <w:t>Construction of the biomethane production plant;</w:t>
            </w:r>
          </w:p>
          <w:p w14:paraId="48069049" w14:textId="65924C78" w:rsidR="004334D2" w:rsidRDefault="004334D2" w:rsidP="00C67B31">
            <w:pPr>
              <w:pStyle w:val="SDMTableBoxParaNotNumbered"/>
              <w:numPr>
                <w:ilvl w:val="0"/>
                <w:numId w:val="13"/>
              </w:numPr>
              <w:spacing w:before="60"/>
              <w:ind w:left="172" w:hanging="172"/>
            </w:pPr>
            <w:r>
              <w:t>Manufacturing of biomethane transportation pipelines, trucks and vessels</w:t>
            </w:r>
          </w:p>
        </w:tc>
        <w:tc>
          <w:tcPr>
            <w:tcW w:w="1791" w:type="dxa"/>
            <w:tcBorders>
              <w:top w:val="single" w:sz="4" w:space="0" w:color="auto"/>
              <w:left w:val="single" w:sz="4" w:space="0" w:color="auto"/>
              <w:bottom w:val="single" w:sz="4" w:space="0" w:color="auto"/>
              <w:right w:val="single" w:sz="4" w:space="0" w:color="auto"/>
            </w:tcBorders>
          </w:tcPr>
          <w:p w14:paraId="3EDA2D2A" w14:textId="471DCCFE" w:rsidR="004334D2" w:rsidRDefault="004334D2" w:rsidP="00C67B31">
            <w:pPr>
              <w:pStyle w:val="SDMTableBoxParaNotNumbered"/>
              <w:numPr>
                <w:ilvl w:val="0"/>
                <w:numId w:val="13"/>
              </w:numPr>
              <w:ind w:left="172" w:hanging="172"/>
            </w:pPr>
            <w:r>
              <w:t>0.5</w:t>
            </w:r>
            <w:r w:rsidR="003F7966">
              <w:t xml:space="preserve"> per cent</w:t>
            </w:r>
            <w:r>
              <w:t xml:space="preserve"> of baseline emissions</w:t>
            </w:r>
          </w:p>
          <w:p w14:paraId="3AAE424B" w14:textId="4E980BF3" w:rsidR="004334D2" w:rsidRDefault="004334D2" w:rsidP="00C67B31">
            <w:pPr>
              <w:pStyle w:val="SDMTableBoxParaNotNumbered"/>
              <w:numPr>
                <w:ilvl w:val="0"/>
                <w:numId w:val="13"/>
              </w:numPr>
              <w:spacing w:before="60"/>
              <w:ind w:left="172" w:hanging="172"/>
            </w:pPr>
            <w:r>
              <w:t xml:space="preserve">2.08 </w:t>
            </w:r>
            <w:r w:rsidR="00A363E6">
              <w:t>gCO</w:t>
            </w:r>
            <w:r w:rsidR="00A363E6" w:rsidRPr="001049B3">
              <w:rPr>
                <w:vertAlign w:val="subscript"/>
              </w:rPr>
              <w:t>2</w:t>
            </w:r>
            <w:r w:rsidR="00A363E6" w:rsidRPr="001049B3">
              <w:t>e</w:t>
            </w:r>
            <w:r w:rsidR="00A363E6">
              <w:t xml:space="preserve"> </w:t>
            </w:r>
            <w:r>
              <w:t>/MJ</w:t>
            </w:r>
          </w:p>
          <w:p w14:paraId="69B94EEC" w14:textId="71E3684D" w:rsidR="004334D2" w:rsidRDefault="004334D2" w:rsidP="00C67B31">
            <w:pPr>
              <w:pStyle w:val="SDMTableBoxParaNotNumbered"/>
              <w:numPr>
                <w:ilvl w:val="0"/>
                <w:numId w:val="13"/>
              </w:numPr>
              <w:spacing w:before="60"/>
              <w:ind w:left="172" w:hanging="172"/>
            </w:pPr>
            <w:r>
              <w:t>2.2 gCO</w:t>
            </w:r>
            <w:r w:rsidRPr="00D31460">
              <w:rPr>
                <w:vertAlign w:val="subscript"/>
              </w:rPr>
              <w:t>2</w:t>
            </w:r>
            <w:r w:rsidR="001049B3" w:rsidRPr="001049B3">
              <w:t>e</w:t>
            </w:r>
            <w:r>
              <w:t>/MJ</w:t>
            </w:r>
            <w:r w:rsidR="00D31460">
              <w:t xml:space="preserve"> </w:t>
            </w:r>
            <w:r>
              <w:t>(the sum can be neglected since it’s 2 times lower than baseline upstream emissions)</w:t>
            </w:r>
          </w:p>
        </w:tc>
        <w:tc>
          <w:tcPr>
            <w:tcW w:w="1465" w:type="dxa"/>
            <w:tcBorders>
              <w:top w:val="single" w:sz="4" w:space="0" w:color="auto"/>
              <w:left w:val="single" w:sz="4" w:space="0" w:color="auto"/>
              <w:bottom w:val="single" w:sz="4" w:space="0" w:color="auto"/>
              <w:right w:val="single" w:sz="4" w:space="0" w:color="auto"/>
            </w:tcBorders>
          </w:tcPr>
          <w:p w14:paraId="0515B31E" w14:textId="1832F6D8" w:rsidR="004334D2" w:rsidRDefault="004334D2" w:rsidP="00C67B31">
            <w:pPr>
              <w:pStyle w:val="SDMTableBoxParaNotNumbered"/>
              <w:numPr>
                <w:ilvl w:val="0"/>
                <w:numId w:val="13"/>
              </w:numPr>
              <w:ind w:left="172" w:hanging="172"/>
            </w:pPr>
            <w:r>
              <w:t>Discount 0.5</w:t>
            </w:r>
            <w:r w:rsidR="003F7966">
              <w:t xml:space="preserve"> per cent</w:t>
            </w:r>
            <w:r>
              <w:t xml:space="preserve"> from the baseline emissions</w:t>
            </w:r>
          </w:p>
        </w:tc>
      </w:tr>
      <w:tr w:rsidR="004334D2" w14:paraId="3BC9BF10" w14:textId="77777777" w:rsidTr="00D711CF">
        <w:tc>
          <w:tcPr>
            <w:tcW w:w="1555" w:type="dxa"/>
            <w:tcBorders>
              <w:top w:val="single" w:sz="4" w:space="0" w:color="auto"/>
              <w:left w:val="single" w:sz="4" w:space="0" w:color="auto"/>
              <w:bottom w:val="single" w:sz="4" w:space="0" w:color="auto"/>
              <w:right w:val="single" w:sz="4" w:space="0" w:color="auto"/>
            </w:tcBorders>
          </w:tcPr>
          <w:p w14:paraId="0CC07784" w14:textId="77777777" w:rsidR="004334D2" w:rsidRDefault="004334D2" w:rsidP="00D31460">
            <w:pPr>
              <w:pStyle w:val="SDMTableBoxParaNumbered"/>
              <w:numPr>
                <w:ilvl w:val="0"/>
                <w:numId w:val="0"/>
              </w:numPr>
            </w:pPr>
            <w:r>
              <w:t>Electricity generation</w:t>
            </w:r>
          </w:p>
        </w:tc>
        <w:tc>
          <w:tcPr>
            <w:tcW w:w="2079" w:type="dxa"/>
            <w:tcBorders>
              <w:top w:val="single" w:sz="4" w:space="0" w:color="auto"/>
              <w:left w:val="single" w:sz="4" w:space="0" w:color="auto"/>
              <w:bottom w:val="single" w:sz="4" w:space="0" w:color="auto"/>
              <w:right w:val="single" w:sz="4" w:space="0" w:color="auto"/>
            </w:tcBorders>
          </w:tcPr>
          <w:p w14:paraId="4EB5CD0E" w14:textId="77777777" w:rsidR="004334D2" w:rsidRDefault="004334D2" w:rsidP="00C67B31">
            <w:pPr>
              <w:pStyle w:val="SDMTableBoxParaNotNumbered"/>
              <w:numPr>
                <w:ilvl w:val="0"/>
                <w:numId w:val="13"/>
              </w:numPr>
              <w:ind w:left="172" w:hanging="172"/>
            </w:pPr>
            <w:r>
              <w:t>Operation of the landfill without implementing the LFG collection system that is part of the project;</w:t>
            </w:r>
          </w:p>
          <w:p w14:paraId="2352EA39" w14:textId="05EB2318" w:rsidR="004334D2" w:rsidRDefault="004334D2" w:rsidP="00C67B31">
            <w:pPr>
              <w:pStyle w:val="SDMTableBoxParaNotNumbered"/>
              <w:numPr>
                <w:ilvl w:val="0"/>
                <w:numId w:val="13"/>
              </w:numPr>
              <w:spacing w:before="60"/>
              <w:ind w:left="172" w:hanging="172"/>
            </w:pPr>
            <w:r>
              <w:t>For simplification: electricity would have been generated by a natural gas power plant</w:t>
            </w:r>
          </w:p>
        </w:tc>
        <w:tc>
          <w:tcPr>
            <w:tcW w:w="1868" w:type="dxa"/>
            <w:tcBorders>
              <w:top w:val="single" w:sz="4" w:space="0" w:color="auto"/>
              <w:left w:val="single" w:sz="4" w:space="0" w:color="auto"/>
              <w:bottom w:val="single" w:sz="4" w:space="0" w:color="auto"/>
              <w:right w:val="single" w:sz="4" w:space="0" w:color="auto"/>
            </w:tcBorders>
          </w:tcPr>
          <w:p w14:paraId="3EF058FC" w14:textId="77777777" w:rsidR="004334D2" w:rsidRDefault="004334D2" w:rsidP="00C67B31">
            <w:pPr>
              <w:pStyle w:val="SDMTableBoxParaNotNumbered"/>
              <w:numPr>
                <w:ilvl w:val="0"/>
                <w:numId w:val="13"/>
              </w:numPr>
              <w:ind w:left="172" w:hanging="172"/>
            </w:pPr>
            <w:r>
              <w:t>N/A</w:t>
            </w:r>
          </w:p>
          <w:p w14:paraId="2F431777" w14:textId="77777777" w:rsidR="004334D2" w:rsidRDefault="004334D2" w:rsidP="00C67B31">
            <w:pPr>
              <w:pStyle w:val="SDMTableBoxParaNotNumbered"/>
              <w:numPr>
                <w:ilvl w:val="0"/>
                <w:numId w:val="13"/>
              </w:numPr>
              <w:spacing w:before="60"/>
              <w:ind w:left="170" w:hanging="170"/>
            </w:pPr>
            <w:r>
              <w:t>Production, processing and transportation of the natural gas to the power plant and generation of electricity</w:t>
            </w:r>
          </w:p>
        </w:tc>
        <w:tc>
          <w:tcPr>
            <w:tcW w:w="1752" w:type="dxa"/>
            <w:tcBorders>
              <w:top w:val="single" w:sz="4" w:space="0" w:color="auto"/>
              <w:left w:val="single" w:sz="4" w:space="0" w:color="auto"/>
              <w:bottom w:val="single" w:sz="4" w:space="0" w:color="auto"/>
              <w:right w:val="single" w:sz="4" w:space="0" w:color="auto"/>
            </w:tcBorders>
          </w:tcPr>
          <w:p w14:paraId="3BE7FB02" w14:textId="77777777" w:rsidR="004334D2" w:rsidRDefault="004334D2" w:rsidP="00C67B31">
            <w:pPr>
              <w:pStyle w:val="SDMTableBoxParaNotNumbered"/>
              <w:numPr>
                <w:ilvl w:val="0"/>
                <w:numId w:val="13"/>
              </w:numPr>
              <w:ind w:left="172" w:hanging="172"/>
            </w:pPr>
            <w:r>
              <w:t>N/A</w:t>
            </w:r>
          </w:p>
          <w:p w14:paraId="776AB3BF" w14:textId="1E561E5A" w:rsidR="004334D2" w:rsidRDefault="004334D2" w:rsidP="00C67B31">
            <w:pPr>
              <w:pStyle w:val="SDMTableBoxParaNotNumbered"/>
              <w:numPr>
                <w:ilvl w:val="0"/>
                <w:numId w:val="13"/>
              </w:numPr>
              <w:spacing w:before="60"/>
              <w:ind w:left="170" w:hanging="170"/>
            </w:pPr>
            <w:r>
              <w:t xml:space="preserve">87 </w:t>
            </w:r>
            <w:r w:rsidR="00A363E6">
              <w:t>gCO</w:t>
            </w:r>
            <w:r w:rsidR="00A363E6" w:rsidRPr="001049B3">
              <w:rPr>
                <w:vertAlign w:val="subscript"/>
              </w:rPr>
              <w:t>2</w:t>
            </w:r>
            <w:r w:rsidR="00A363E6" w:rsidRPr="001049B3">
              <w:t>e</w:t>
            </w:r>
            <w:r w:rsidR="00A363E6">
              <w:t xml:space="preserve"> </w:t>
            </w:r>
            <w:r>
              <w:t>/kWh</w:t>
            </w:r>
          </w:p>
        </w:tc>
        <w:tc>
          <w:tcPr>
            <w:tcW w:w="1887" w:type="dxa"/>
            <w:tcBorders>
              <w:top w:val="single" w:sz="4" w:space="0" w:color="auto"/>
              <w:left w:val="single" w:sz="4" w:space="0" w:color="auto"/>
              <w:bottom w:val="single" w:sz="4" w:space="0" w:color="auto"/>
              <w:right w:val="single" w:sz="4" w:space="0" w:color="auto"/>
            </w:tcBorders>
          </w:tcPr>
          <w:p w14:paraId="537EA6D0" w14:textId="77777777" w:rsidR="004334D2" w:rsidRDefault="004334D2" w:rsidP="00C67B31">
            <w:pPr>
              <w:pStyle w:val="SDMTableBoxParaNotNumbered"/>
              <w:numPr>
                <w:ilvl w:val="0"/>
                <w:numId w:val="13"/>
              </w:numPr>
              <w:ind w:left="172" w:hanging="172"/>
            </w:pPr>
            <w:r>
              <w:t>Installation of an efficient LFG collection system;</w:t>
            </w:r>
          </w:p>
          <w:p w14:paraId="6DC4D1D8" w14:textId="77777777" w:rsidR="004334D2" w:rsidRDefault="004334D2" w:rsidP="00C67B31">
            <w:pPr>
              <w:pStyle w:val="SDMTableBoxParaNotNumbered"/>
              <w:numPr>
                <w:ilvl w:val="0"/>
                <w:numId w:val="13"/>
              </w:numPr>
              <w:spacing w:before="60"/>
              <w:ind w:left="170" w:hanging="170"/>
            </w:pPr>
            <w:r>
              <w:t>Construction of a LFG power plant</w:t>
            </w:r>
          </w:p>
        </w:tc>
        <w:tc>
          <w:tcPr>
            <w:tcW w:w="1881" w:type="dxa"/>
            <w:tcBorders>
              <w:top w:val="single" w:sz="4" w:space="0" w:color="auto"/>
              <w:left w:val="single" w:sz="4" w:space="0" w:color="auto"/>
              <w:bottom w:val="single" w:sz="4" w:space="0" w:color="auto"/>
              <w:right w:val="single" w:sz="4" w:space="0" w:color="auto"/>
            </w:tcBorders>
          </w:tcPr>
          <w:p w14:paraId="32B338F1" w14:textId="77777777" w:rsidR="004334D2" w:rsidRDefault="004334D2" w:rsidP="00C67B31">
            <w:pPr>
              <w:pStyle w:val="SDMTableBoxParaNotNumbered"/>
              <w:numPr>
                <w:ilvl w:val="0"/>
                <w:numId w:val="13"/>
              </w:numPr>
              <w:ind w:left="172" w:hanging="172"/>
            </w:pPr>
            <w:r>
              <w:t>Manufacturing of HDPE pipeline to collect the LFG;</w:t>
            </w:r>
          </w:p>
          <w:p w14:paraId="240C6A21" w14:textId="3FE3A872" w:rsidR="004334D2" w:rsidRDefault="004334D2" w:rsidP="00C67B31">
            <w:pPr>
              <w:pStyle w:val="SDMTableBoxParaNotNumbered"/>
              <w:numPr>
                <w:ilvl w:val="0"/>
                <w:numId w:val="13"/>
              </w:numPr>
              <w:spacing w:before="60"/>
              <w:ind w:left="170" w:hanging="170"/>
            </w:pPr>
            <w:r>
              <w:t>Manufacturing of LFG engines and construction of the power plant</w:t>
            </w:r>
          </w:p>
        </w:tc>
        <w:tc>
          <w:tcPr>
            <w:tcW w:w="1791" w:type="dxa"/>
            <w:tcBorders>
              <w:top w:val="single" w:sz="4" w:space="0" w:color="auto"/>
              <w:left w:val="single" w:sz="4" w:space="0" w:color="auto"/>
              <w:bottom w:val="single" w:sz="4" w:space="0" w:color="auto"/>
              <w:right w:val="single" w:sz="4" w:space="0" w:color="auto"/>
            </w:tcBorders>
          </w:tcPr>
          <w:p w14:paraId="0B502D2A" w14:textId="5649D67B" w:rsidR="004334D2" w:rsidRDefault="004334D2" w:rsidP="00C67B31">
            <w:pPr>
              <w:pStyle w:val="SDMTableBoxParaNotNumbered"/>
              <w:numPr>
                <w:ilvl w:val="0"/>
                <w:numId w:val="13"/>
              </w:numPr>
              <w:ind w:left="172" w:hanging="172"/>
            </w:pPr>
            <w:r>
              <w:t>0.5</w:t>
            </w:r>
            <w:r w:rsidR="003F7966">
              <w:t xml:space="preserve"> per cent</w:t>
            </w:r>
            <w:r>
              <w:t xml:space="preserve"> of baseline emissions</w:t>
            </w:r>
          </w:p>
          <w:p w14:paraId="434FC856" w14:textId="5FF77C88" w:rsidR="004334D2" w:rsidRDefault="004334D2" w:rsidP="00C67B31">
            <w:pPr>
              <w:pStyle w:val="SDMTableBoxParaNotNumbered"/>
              <w:numPr>
                <w:ilvl w:val="0"/>
                <w:numId w:val="13"/>
              </w:numPr>
              <w:spacing w:before="60"/>
              <w:ind w:left="172" w:hanging="172"/>
            </w:pPr>
            <w:r>
              <w:t xml:space="preserve">0.1 </w:t>
            </w:r>
            <w:r w:rsidR="00A363E6">
              <w:t>gCO</w:t>
            </w:r>
            <w:r w:rsidR="00A363E6" w:rsidRPr="001049B3">
              <w:rPr>
                <w:vertAlign w:val="subscript"/>
              </w:rPr>
              <w:t>2</w:t>
            </w:r>
            <w:r w:rsidR="00A363E6" w:rsidRPr="001049B3">
              <w:t>e</w:t>
            </w:r>
            <w:r w:rsidR="00A363E6">
              <w:t xml:space="preserve"> </w:t>
            </w:r>
            <w:r>
              <w:t>/kWh (can be neglected since it represents 0.11</w:t>
            </w:r>
            <w:r w:rsidR="003F7966">
              <w:t xml:space="preserve"> per cent</w:t>
            </w:r>
            <w:r>
              <w:t xml:space="preserve"> of baseline upstream emissions)</w:t>
            </w:r>
          </w:p>
        </w:tc>
        <w:tc>
          <w:tcPr>
            <w:tcW w:w="1465" w:type="dxa"/>
            <w:tcBorders>
              <w:top w:val="single" w:sz="4" w:space="0" w:color="auto"/>
              <w:left w:val="single" w:sz="4" w:space="0" w:color="auto"/>
              <w:bottom w:val="single" w:sz="4" w:space="0" w:color="auto"/>
              <w:right w:val="single" w:sz="4" w:space="0" w:color="auto"/>
            </w:tcBorders>
          </w:tcPr>
          <w:p w14:paraId="66C557E4" w14:textId="751E8759" w:rsidR="004334D2" w:rsidRDefault="004334D2" w:rsidP="00C67B31">
            <w:pPr>
              <w:pStyle w:val="SDMTableBoxParaNotNumbered"/>
              <w:numPr>
                <w:ilvl w:val="0"/>
                <w:numId w:val="13"/>
              </w:numPr>
              <w:ind w:left="172" w:hanging="172"/>
            </w:pPr>
            <w:r>
              <w:t>Discount 0.5</w:t>
            </w:r>
            <w:r w:rsidR="003F7966">
              <w:t xml:space="preserve"> per cent</w:t>
            </w:r>
            <w:r>
              <w:t xml:space="preserve"> from the baseline emissions</w:t>
            </w:r>
          </w:p>
        </w:tc>
      </w:tr>
      <w:tr w:rsidR="004334D2" w14:paraId="1CDD6A42" w14:textId="77777777" w:rsidTr="00D711CF">
        <w:tc>
          <w:tcPr>
            <w:tcW w:w="1555" w:type="dxa"/>
            <w:tcBorders>
              <w:top w:val="single" w:sz="4" w:space="0" w:color="auto"/>
              <w:left w:val="single" w:sz="4" w:space="0" w:color="auto"/>
              <w:bottom w:val="single" w:sz="4" w:space="0" w:color="auto"/>
              <w:right w:val="single" w:sz="4" w:space="0" w:color="auto"/>
            </w:tcBorders>
          </w:tcPr>
          <w:p w14:paraId="45B39E9B" w14:textId="77777777" w:rsidR="004334D2" w:rsidRDefault="004334D2" w:rsidP="00D31460">
            <w:pPr>
              <w:pStyle w:val="SDMTableBoxParaNumbered"/>
              <w:numPr>
                <w:ilvl w:val="0"/>
                <w:numId w:val="0"/>
              </w:numPr>
            </w:pPr>
            <w:r>
              <w:t>Heat generation in an existing equipment</w:t>
            </w:r>
          </w:p>
        </w:tc>
        <w:tc>
          <w:tcPr>
            <w:tcW w:w="2079" w:type="dxa"/>
            <w:tcBorders>
              <w:top w:val="single" w:sz="4" w:space="0" w:color="auto"/>
              <w:left w:val="single" w:sz="4" w:space="0" w:color="auto"/>
              <w:bottom w:val="single" w:sz="4" w:space="0" w:color="auto"/>
              <w:right w:val="single" w:sz="4" w:space="0" w:color="auto"/>
            </w:tcBorders>
          </w:tcPr>
          <w:p w14:paraId="16D87954" w14:textId="77777777" w:rsidR="004334D2" w:rsidRDefault="004334D2" w:rsidP="00C67B31">
            <w:pPr>
              <w:pStyle w:val="SDMTableBoxParaNotNumbered"/>
              <w:numPr>
                <w:ilvl w:val="0"/>
                <w:numId w:val="13"/>
              </w:numPr>
              <w:ind w:left="172" w:hanging="172"/>
            </w:pPr>
            <w:r>
              <w:t>Operation of the landfill without implementing the LFG collection system that is part of the project;</w:t>
            </w:r>
          </w:p>
          <w:p w14:paraId="3B4DF5EA" w14:textId="77777777" w:rsidR="004334D2" w:rsidRDefault="004334D2" w:rsidP="00C67B31">
            <w:pPr>
              <w:pStyle w:val="SDMTableBoxParaNotNumbered"/>
              <w:numPr>
                <w:ilvl w:val="0"/>
                <w:numId w:val="13"/>
              </w:numPr>
              <w:spacing w:before="60"/>
              <w:ind w:left="170" w:hanging="170"/>
            </w:pPr>
            <w:r>
              <w:t>For simplification: heat would have been generated in the same natural gas boiler</w:t>
            </w:r>
          </w:p>
        </w:tc>
        <w:tc>
          <w:tcPr>
            <w:tcW w:w="1868" w:type="dxa"/>
            <w:tcBorders>
              <w:top w:val="single" w:sz="4" w:space="0" w:color="auto"/>
              <w:left w:val="single" w:sz="4" w:space="0" w:color="auto"/>
              <w:bottom w:val="single" w:sz="4" w:space="0" w:color="auto"/>
              <w:right w:val="single" w:sz="4" w:space="0" w:color="auto"/>
            </w:tcBorders>
          </w:tcPr>
          <w:p w14:paraId="38DFDC1D" w14:textId="77777777" w:rsidR="004334D2" w:rsidRDefault="004334D2" w:rsidP="00C67B31">
            <w:pPr>
              <w:pStyle w:val="SDMTableBoxParaNotNumbered"/>
              <w:numPr>
                <w:ilvl w:val="0"/>
                <w:numId w:val="13"/>
              </w:numPr>
              <w:ind w:left="172" w:hanging="172"/>
            </w:pPr>
            <w:r>
              <w:t>N/A</w:t>
            </w:r>
          </w:p>
          <w:p w14:paraId="21C65B27" w14:textId="77777777" w:rsidR="004334D2" w:rsidRDefault="004334D2" w:rsidP="00C67B31">
            <w:pPr>
              <w:pStyle w:val="SDMTableBoxParaNotNumbered"/>
              <w:numPr>
                <w:ilvl w:val="0"/>
                <w:numId w:val="13"/>
              </w:numPr>
              <w:spacing w:before="60"/>
              <w:ind w:left="170" w:hanging="170"/>
            </w:pPr>
            <w:r>
              <w:t>Production, processing and transportation of the natural gas to the boiler</w:t>
            </w:r>
          </w:p>
        </w:tc>
        <w:tc>
          <w:tcPr>
            <w:tcW w:w="1752" w:type="dxa"/>
            <w:tcBorders>
              <w:top w:val="single" w:sz="4" w:space="0" w:color="auto"/>
              <w:left w:val="single" w:sz="4" w:space="0" w:color="auto"/>
              <w:bottom w:val="single" w:sz="4" w:space="0" w:color="auto"/>
              <w:right w:val="single" w:sz="4" w:space="0" w:color="auto"/>
            </w:tcBorders>
          </w:tcPr>
          <w:p w14:paraId="51A3AA27" w14:textId="77777777" w:rsidR="004334D2" w:rsidRDefault="004334D2" w:rsidP="00C67B31">
            <w:pPr>
              <w:pStyle w:val="SDMTableBoxParaNotNumbered"/>
              <w:numPr>
                <w:ilvl w:val="0"/>
                <w:numId w:val="13"/>
              </w:numPr>
              <w:ind w:left="172" w:hanging="172"/>
            </w:pPr>
            <w:r>
              <w:t>N/A</w:t>
            </w:r>
          </w:p>
          <w:p w14:paraId="4885E5B7" w14:textId="260C76F5" w:rsidR="004334D2" w:rsidRDefault="004334D2" w:rsidP="00C67B31">
            <w:pPr>
              <w:pStyle w:val="SDMTableBoxParaNotNumbered"/>
              <w:numPr>
                <w:ilvl w:val="0"/>
                <w:numId w:val="13"/>
              </w:numPr>
              <w:spacing w:before="60"/>
              <w:ind w:left="170" w:hanging="170"/>
            </w:pPr>
            <w:r>
              <w:t xml:space="preserve">87 </w:t>
            </w:r>
            <w:r w:rsidR="00A363E6">
              <w:t>gCO</w:t>
            </w:r>
            <w:r w:rsidR="00A363E6" w:rsidRPr="001049B3">
              <w:rPr>
                <w:vertAlign w:val="subscript"/>
              </w:rPr>
              <w:t>2</w:t>
            </w:r>
            <w:r w:rsidR="00A363E6" w:rsidRPr="001049B3">
              <w:t>e</w:t>
            </w:r>
            <w:r w:rsidR="00A363E6">
              <w:t xml:space="preserve"> </w:t>
            </w:r>
            <w:r>
              <w:t>/kWh</w:t>
            </w:r>
          </w:p>
        </w:tc>
        <w:tc>
          <w:tcPr>
            <w:tcW w:w="1887" w:type="dxa"/>
            <w:tcBorders>
              <w:top w:val="single" w:sz="4" w:space="0" w:color="auto"/>
              <w:left w:val="single" w:sz="4" w:space="0" w:color="auto"/>
              <w:bottom w:val="single" w:sz="4" w:space="0" w:color="auto"/>
              <w:right w:val="single" w:sz="4" w:space="0" w:color="auto"/>
            </w:tcBorders>
          </w:tcPr>
          <w:p w14:paraId="53CA68A2" w14:textId="3CE1198A" w:rsidR="004334D2" w:rsidRDefault="004334D2" w:rsidP="00C67B31">
            <w:pPr>
              <w:pStyle w:val="SDMTableBoxParaNotNumbered"/>
              <w:numPr>
                <w:ilvl w:val="0"/>
                <w:numId w:val="13"/>
              </w:numPr>
              <w:ind w:left="172" w:hanging="172"/>
            </w:pPr>
            <w:r>
              <w:t>Installation of an efficient LFG collection system</w:t>
            </w:r>
          </w:p>
        </w:tc>
        <w:tc>
          <w:tcPr>
            <w:tcW w:w="1881" w:type="dxa"/>
            <w:tcBorders>
              <w:top w:val="single" w:sz="4" w:space="0" w:color="auto"/>
              <w:left w:val="single" w:sz="4" w:space="0" w:color="auto"/>
              <w:bottom w:val="single" w:sz="4" w:space="0" w:color="auto"/>
              <w:right w:val="single" w:sz="4" w:space="0" w:color="auto"/>
            </w:tcBorders>
          </w:tcPr>
          <w:p w14:paraId="171CEFD0" w14:textId="229D91E2" w:rsidR="004334D2" w:rsidRDefault="004334D2" w:rsidP="00C67B31">
            <w:pPr>
              <w:pStyle w:val="SDMTableBoxParaNotNumbered"/>
              <w:numPr>
                <w:ilvl w:val="0"/>
                <w:numId w:val="13"/>
              </w:numPr>
              <w:ind w:left="172" w:hanging="172"/>
            </w:pPr>
            <w:r>
              <w:t>Manufacturing of HDPE pipeline to collect the LFG</w:t>
            </w:r>
          </w:p>
        </w:tc>
        <w:tc>
          <w:tcPr>
            <w:tcW w:w="1791" w:type="dxa"/>
            <w:tcBorders>
              <w:top w:val="single" w:sz="4" w:space="0" w:color="auto"/>
              <w:left w:val="single" w:sz="4" w:space="0" w:color="auto"/>
              <w:bottom w:val="single" w:sz="4" w:space="0" w:color="auto"/>
              <w:right w:val="single" w:sz="4" w:space="0" w:color="auto"/>
            </w:tcBorders>
          </w:tcPr>
          <w:p w14:paraId="50823875" w14:textId="4B007674" w:rsidR="004334D2" w:rsidRDefault="004334D2" w:rsidP="00C67B31">
            <w:pPr>
              <w:pStyle w:val="SDMTableBoxParaNotNumbered"/>
              <w:numPr>
                <w:ilvl w:val="0"/>
                <w:numId w:val="13"/>
              </w:numPr>
              <w:ind w:left="172" w:hanging="172"/>
            </w:pPr>
            <w:r>
              <w:t>0.5</w:t>
            </w:r>
            <w:r w:rsidR="003F7966">
              <w:t xml:space="preserve"> per cent</w:t>
            </w:r>
            <w:r>
              <w:t xml:space="preserve"> of baseline emissions</w:t>
            </w:r>
          </w:p>
        </w:tc>
        <w:tc>
          <w:tcPr>
            <w:tcW w:w="1465" w:type="dxa"/>
            <w:tcBorders>
              <w:top w:val="single" w:sz="4" w:space="0" w:color="auto"/>
              <w:left w:val="single" w:sz="4" w:space="0" w:color="auto"/>
              <w:bottom w:val="single" w:sz="4" w:space="0" w:color="auto"/>
              <w:right w:val="single" w:sz="4" w:space="0" w:color="auto"/>
            </w:tcBorders>
          </w:tcPr>
          <w:p w14:paraId="2EBCD252" w14:textId="4FB04422" w:rsidR="004334D2" w:rsidRDefault="004334D2" w:rsidP="00C67B31">
            <w:pPr>
              <w:pStyle w:val="SDMTableBoxParaNotNumbered"/>
              <w:numPr>
                <w:ilvl w:val="0"/>
                <w:numId w:val="13"/>
              </w:numPr>
              <w:ind w:left="172" w:hanging="172"/>
            </w:pPr>
            <w:r>
              <w:t>Discount 0.5</w:t>
            </w:r>
            <w:r w:rsidR="003F7966">
              <w:t xml:space="preserve"> per cent</w:t>
            </w:r>
            <w:r>
              <w:t xml:space="preserve"> from the baseline emissions</w:t>
            </w:r>
          </w:p>
        </w:tc>
      </w:tr>
      <w:tr w:rsidR="004334D2" w14:paraId="6C517F86" w14:textId="77777777" w:rsidTr="00D711CF">
        <w:tc>
          <w:tcPr>
            <w:tcW w:w="1555" w:type="dxa"/>
            <w:tcBorders>
              <w:top w:val="single" w:sz="4" w:space="0" w:color="auto"/>
              <w:left w:val="single" w:sz="4" w:space="0" w:color="auto"/>
              <w:bottom w:val="single" w:sz="4" w:space="0" w:color="auto"/>
              <w:right w:val="single" w:sz="4" w:space="0" w:color="auto"/>
            </w:tcBorders>
          </w:tcPr>
          <w:p w14:paraId="754230FA" w14:textId="77777777" w:rsidR="004334D2" w:rsidRDefault="004334D2" w:rsidP="00D31460">
            <w:pPr>
              <w:pStyle w:val="SDMTableBoxParaNumbered"/>
              <w:numPr>
                <w:ilvl w:val="0"/>
                <w:numId w:val="0"/>
              </w:numPr>
            </w:pPr>
            <w:r>
              <w:t>Heat generation in a new equipment</w:t>
            </w:r>
          </w:p>
        </w:tc>
        <w:tc>
          <w:tcPr>
            <w:tcW w:w="2079" w:type="dxa"/>
            <w:tcBorders>
              <w:top w:val="single" w:sz="4" w:space="0" w:color="auto"/>
              <w:left w:val="single" w:sz="4" w:space="0" w:color="auto"/>
              <w:bottom w:val="single" w:sz="4" w:space="0" w:color="auto"/>
              <w:right w:val="single" w:sz="4" w:space="0" w:color="auto"/>
            </w:tcBorders>
          </w:tcPr>
          <w:p w14:paraId="075DE035" w14:textId="77777777" w:rsidR="004334D2" w:rsidRDefault="004334D2" w:rsidP="00C67B31">
            <w:pPr>
              <w:pStyle w:val="SDMTableBoxParaNotNumbered"/>
              <w:numPr>
                <w:ilvl w:val="0"/>
                <w:numId w:val="13"/>
              </w:numPr>
              <w:ind w:left="172" w:hanging="172"/>
            </w:pPr>
            <w:r>
              <w:t>Operation of the landfill without implementing the LFG collection system that is part of the project;</w:t>
            </w:r>
          </w:p>
          <w:p w14:paraId="3A90BA89" w14:textId="77777777" w:rsidR="004334D2" w:rsidRDefault="004334D2" w:rsidP="00C67B31">
            <w:pPr>
              <w:pStyle w:val="SDMTableBoxParaNotNumbered"/>
              <w:numPr>
                <w:ilvl w:val="0"/>
                <w:numId w:val="13"/>
              </w:numPr>
              <w:spacing w:before="60"/>
              <w:ind w:left="172" w:hanging="172"/>
            </w:pPr>
            <w:r>
              <w:t>For simplification: heat would have been generated in a natural gas boiler</w:t>
            </w:r>
          </w:p>
        </w:tc>
        <w:tc>
          <w:tcPr>
            <w:tcW w:w="1868" w:type="dxa"/>
            <w:tcBorders>
              <w:top w:val="single" w:sz="4" w:space="0" w:color="auto"/>
              <w:left w:val="single" w:sz="4" w:space="0" w:color="auto"/>
              <w:bottom w:val="single" w:sz="4" w:space="0" w:color="auto"/>
              <w:right w:val="single" w:sz="4" w:space="0" w:color="auto"/>
            </w:tcBorders>
          </w:tcPr>
          <w:p w14:paraId="5D50EC44" w14:textId="77777777" w:rsidR="004334D2" w:rsidRDefault="004334D2" w:rsidP="00C67B31">
            <w:pPr>
              <w:pStyle w:val="SDMTableBoxParaNotNumbered"/>
              <w:numPr>
                <w:ilvl w:val="0"/>
                <w:numId w:val="13"/>
              </w:numPr>
              <w:ind w:left="172" w:hanging="172"/>
            </w:pPr>
            <w:r>
              <w:t>N/A</w:t>
            </w:r>
          </w:p>
          <w:p w14:paraId="0EA62713" w14:textId="0D56236A" w:rsidR="004334D2" w:rsidRDefault="004334D2" w:rsidP="00C67B31">
            <w:pPr>
              <w:pStyle w:val="SDMTableBoxParaNotNumbered"/>
              <w:numPr>
                <w:ilvl w:val="0"/>
                <w:numId w:val="13"/>
              </w:numPr>
              <w:spacing w:before="60"/>
              <w:ind w:left="170" w:hanging="170"/>
            </w:pPr>
            <w:r>
              <w:t>Production, processing and transportation of the natural gas to the boiler</w:t>
            </w:r>
          </w:p>
        </w:tc>
        <w:tc>
          <w:tcPr>
            <w:tcW w:w="1752" w:type="dxa"/>
            <w:tcBorders>
              <w:top w:val="single" w:sz="4" w:space="0" w:color="auto"/>
              <w:left w:val="single" w:sz="4" w:space="0" w:color="auto"/>
              <w:bottom w:val="single" w:sz="4" w:space="0" w:color="auto"/>
              <w:right w:val="single" w:sz="4" w:space="0" w:color="auto"/>
            </w:tcBorders>
          </w:tcPr>
          <w:p w14:paraId="1735B788" w14:textId="77777777" w:rsidR="004334D2" w:rsidRDefault="004334D2" w:rsidP="00C67B31">
            <w:pPr>
              <w:pStyle w:val="SDMTableBoxParaNotNumbered"/>
              <w:numPr>
                <w:ilvl w:val="0"/>
                <w:numId w:val="13"/>
              </w:numPr>
              <w:ind w:left="172" w:hanging="172"/>
            </w:pPr>
            <w:r>
              <w:t>N/A</w:t>
            </w:r>
          </w:p>
          <w:p w14:paraId="08CB9C79" w14:textId="24A7BA6E" w:rsidR="004334D2" w:rsidRDefault="004334D2" w:rsidP="00C67B31">
            <w:pPr>
              <w:pStyle w:val="SDMTableBoxParaNotNumbered"/>
              <w:numPr>
                <w:ilvl w:val="0"/>
                <w:numId w:val="13"/>
              </w:numPr>
              <w:spacing w:before="60"/>
              <w:ind w:left="170" w:hanging="170"/>
            </w:pPr>
            <w:r>
              <w:t xml:space="preserve">7.912 </w:t>
            </w:r>
            <w:r w:rsidR="00A363E6">
              <w:t>gCO</w:t>
            </w:r>
            <w:r w:rsidR="00A363E6" w:rsidRPr="001049B3">
              <w:rPr>
                <w:vertAlign w:val="subscript"/>
              </w:rPr>
              <w:t>2</w:t>
            </w:r>
            <w:r w:rsidR="00A363E6" w:rsidRPr="001049B3">
              <w:t>e</w:t>
            </w:r>
            <w:r w:rsidR="00A363E6">
              <w:t xml:space="preserve"> </w:t>
            </w:r>
            <w:r>
              <w:t>/MJ</w:t>
            </w:r>
          </w:p>
        </w:tc>
        <w:tc>
          <w:tcPr>
            <w:tcW w:w="1887" w:type="dxa"/>
            <w:tcBorders>
              <w:top w:val="single" w:sz="4" w:space="0" w:color="auto"/>
              <w:left w:val="single" w:sz="4" w:space="0" w:color="auto"/>
              <w:bottom w:val="single" w:sz="4" w:space="0" w:color="auto"/>
              <w:right w:val="single" w:sz="4" w:space="0" w:color="auto"/>
            </w:tcBorders>
          </w:tcPr>
          <w:p w14:paraId="063E8D6D" w14:textId="77777777" w:rsidR="004334D2" w:rsidRDefault="004334D2" w:rsidP="00C67B31">
            <w:pPr>
              <w:pStyle w:val="SDMTableBoxParaNotNumbered"/>
              <w:numPr>
                <w:ilvl w:val="0"/>
                <w:numId w:val="13"/>
              </w:numPr>
              <w:ind w:left="172" w:hanging="172"/>
            </w:pPr>
            <w:r>
              <w:t>Installation of an efficient LFG collection system;</w:t>
            </w:r>
          </w:p>
          <w:p w14:paraId="0B4A4E89" w14:textId="77777777" w:rsidR="004334D2" w:rsidRDefault="004334D2" w:rsidP="00C67B31">
            <w:pPr>
              <w:pStyle w:val="SDMTableBoxParaNotNumbered"/>
              <w:numPr>
                <w:ilvl w:val="0"/>
                <w:numId w:val="13"/>
              </w:numPr>
              <w:spacing w:before="60"/>
              <w:ind w:left="170" w:hanging="170"/>
            </w:pPr>
            <w:r>
              <w:t>Installation of a new boiler</w:t>
            </w:r>
          </w:p>
        </w:tc>
        <w:tc>
          <w:tcPr>
            <w:tcW w:w="1881" w:type="dxa"/>
            <w:tcBorders>
              <w:top w:val="single" w:sz="4" w:space="0" w:color="auto"/>
              <w:left w:val="single" w:sz="4" w:space="0" w:color="auto"/>
              <w:bottom w:val="single" w:sz="4" w:space="0" w:color="auto"/>
              <w:right w:val="single" w:sz="4" w:space="0" w:color="auto"/>
            </w:tcBorders>
          </w:tcPr>
          <w:p w14:paraId="3CB39B36" w14:textId="77777777" w:rsidR="004334D2" w:rsidRDefault="004334D2" w:rsidP="00C67B31">
            <w:pPr>
              <w:pStyle w:val="SDMTableBoxParaNotNumbered"/>
              <w:numPr>
                <w:ilvl w:val="0"/>
                <w:numId w:val="13"/>
              </w:numPr>
              <w:ind w:left="172" w:hanging="172"/>
            </w:pPr>
            <w:r>
              <w:t>Manufacturing of HDPE pipeline to collect the LFG;</w:t>
            </w:r>
          </w:p>
          <w:p w14:paraId="74A31DCB" w14:textId="77777777" w:rsidR="004334D2" w:rsidRDefault="004334D2" w:rsidP="00C67B31">
            <w:pPr>
              <w:pStyle w:val="SDMTableBoxParaNotNumbered"/>
              <w:numPr>
                <w:ilvl w:val="0"/>
                <w:numId w:val="13"/>
              </w:numPr>
              <w:spacing w:before="60"/>
              <w:ind w:left="170" w:hanging="170"/>
            </w:pPr>
            <w:r>
              <w:t>Manufacturing of the boiler</w:t>
            </w:r>
          </w:p>
        </w:tc>
        <w:tc>
          <w:tcPr>
            <w:tcW w:w="1791" w:type="dxa"/>
            <w:tcBorders>
              <w:top w:val="single" w:sz="4" w:space="0" w:color="auto"/>
              <w:left w:val="single" w:sz="4" w:space="0" w:color="auto"/>
              <w:bottom w:val="single" w:sz="4" w:space="0" w:color="auto"/>
              <w:right w:val="single" w:sz="4" w:space="0" w:color="auto"/>
            </w:tcBorders>
          </w:tcPr>
          <w:p w14:paraId="30BAF4CD" w14:textId="0C26C011" w:rsidR="004334D2" w:rsidRDefault="004334D2" w:rsidP="00C67B31">
            <w:pPr>
              <w:pStyle w:val="SDMTableBoxParaNotNumbered"/>
              <w:numPr>
                <w:ilvl w:val="0"/>
                <w:numId w:val="13"/>
              </w:numPr>
              <w:ind w:left="172" w:hanging="172"/>
            </w:pPr>
            <w:r>
              <w:t>0.5</w:t>
            </w:r>
            <w:r w:rsidR="003F7966">
              <w:t xml:space="preserve"> per cent</w:t>
            </w:r>
            <w:r>
              <w:t xml:space="preserve"> of baseline emissions</w:t>
            </w:r>
          </w:p>
          <w:p w14:paraId="0928A5D6" w14:textId="2CFC69D0" w:rsidR="004334D2" w:rsidRDefault="004334D2" w:rsidP="00C67B31">
            <w:pPr>
              <w:pStyle w:val="SDMTableBoxParaNotNumbered"/>
              <w:numPr>
                <w:ilvl w:val="0"/>
                <w:numId w:val="13"/>
              </w:numPr>
              <w:spacing w:before="60"/>
              <w:ind w:left="170" w:hanging="170"/>
            </w:pPr>
            <w:r>
              <w:t xml:space="preserve">0.12 </w:t>
            </w:r>
            <w:r w:rsidR="00A363E6">
              <w:t>gCO</w:t>
            </w:r>
            <w:r w:rsidR="00A363E6" w:rsidRPr="001049B3">
              <w:rPr>
                <w:vertAlign w:val="subscript"/>
              </w:rPr>
              <w:t>2</w:t>
            </w:r>
            <w:r w:rsidR="00A363E6" w:rsidRPr="001049B3">
              <w:t>e</w:t>
            </w:r>
            <w:r w:rsidR="00A363E6">
              <w:t xml:space="preserve"> </w:t>
            </w:r>
            <w:r>
              <w:t>/MJ (can be neglected since it is lower than the baseline upstream emissions)</w:t>
            </w:r>
          </w:p>
        </w:tc>
        <w:tc>
          <w:tcPr>
            <w:tcW w:w="1465" w:type="dxa"/>
            <w:tcBorders>
              <w:top w:val="single" w:sz="4" w:space="0" w:color="auto"/>
              <w:left w:val="single" w:sz="4" w:space="0" w:color="auto"/>
              <w:bottom w:val="single" w:sz="4" w:space="0" w:color="auto"/>
              <w:right w:val="single" w:sz="4" w:space="0" w:color="auto"/>
            </w:tcBorders>
          </w:tcPr>
          <w:p w14:paraId="776EAF8C" w14:textId="1C587743" w:rsidR="004334D2" w:rsidRDefault="004334D2" w:rsidP="00C67B31">
            <w:pPr>
              <w:pStyle w:val="SDMTableBoxParaNotNumbered"/>
              <w:numPr>
                <w:ilvl w:val="0"/>
                <w:numId w:val="13"/>
              </w:numPr>
              <w:ind w:left="172" w:hanging="172"/>
            </w:pPr>
            <w:r>
              <w:t>Discount 0.5</w:t>
            </w:r>
            <w:r w:rsidR="003F7966">
              <w:t xml:space="preserve"> per cent</w:t>
            </w:r>
            <w:r>
              <w:t xml:space="preserve"> from the baseline emissions</w:t>
            </w:r>
          </w:p>
        </w:tc>
      </w:tr>
    </w:tbl>
    <w:p w14:paraId="0D9626A7" w14:textId="77777777" w:rsidR="004334D2" w:rsidRPr="00924D40" w:rsidRDefault="004334D2" w:rsidP="00924D40"/>
    <w:p w14:paraId="54558898" w14:textId="77777777" w:rsidR="004334D2" w:rsidRPr="00924D40" w:rsidRDefault="004334D2" w:rsidP="00924D40">
      <w:pPr>
        <w:sectPr w:rsidR="004334D2" w:rsidRPr="00924D40">
          <w:headerReference w:type="default" r:id="rId25"/>
          <w:footerReference w:type="default" r:id="rId26"/>
          <w:pgSz w:w="16840" w:h="11907" w:orient="landscape" w:code="9"/>
          <w:pgMar w:top="2552" w:right="1134" w:bottom="1418" w:left="1418" w:header="851" w:footer="567" w:gutter="0"/>
          <w:cols w:space="720"/>
          <w:formProt w:val="0"/>
          <w:docGrid w:linePitch="299"/>
        </w:sectPr>
      </w:pPr>
    </w:p>
    <w:p w14:paraId="40D7826B" w14:textId="0DB13920" w:rsidR="004334D2" w:rsidRPr="004334D2" w:rsidRDefault="004334D2" w:rsidP="00E66E80">
      <w:pPr>
        <w:pStyle w:val="SDMPara"/>
      </w:pPr>
      <w:r>
        <w:t xml:space="preserve">In summary, the common upstream leakage source among the different types of </w:t>
      </w:r>
      <w:r w:rsidR="007608C9">
        <w:t>Article</w:t>
      </w:r>
      <w:r w:rsidR="00475BA1">
        <w:t> </w:t>
      </w:r>
      <w:r w:rsidR="007608C9">
        <w:t xml:space="preserve">6.4 activities </w:t>
      </w:r>
      <w:r>
        <w:t>is the manufacturing of the HDPE pipeline, therefore it is proposed to discount 0.5</w:t>
      </w:r>
      <w:r w:rsidR="003F7966">
        <w:t xml:space="preserve"> per cent</w:t>
      </w:r>
      <w:r>
        <w:t xml:space="preserve"> of the baseline emissions to address any potential leakage.</w:t>
      </w:r>
    </w:p>
    <w:p w14:paraId="2FB4EBAA" w14:textId="52A93809" w:rsidR="002454C9" w:rsidRDefault="002454C9" w:rsidP="002454C9">
      <w:pPr>
        <w:spacing w:before="240"/>
        <w:jc w:val="center"/>
        <w:rPr>
          <w:rFonts w:cs="Arial"/>
        </w:rPr>
      </w:pPr>
      <w:r>
        <w:rPr>
          <w:rFonts w:cs="Arial"/>
        </w:rPr>
        <w:t>- - - - -</w:t>
      </w:r>
    </w:p>
    <w:p w14:paraId="4AC194A0" w14:textId="77777777" w:rsidR="002454C9" w:rsidRPr="00C151D8" w:rsidRDefault="002454C9" w:rsidP="002454C9">
      <w:pPr>
        <w:pStyle w:val="SDMDocInfoTitle"/>
      </w:pPr>
      <w:r w:rsidRPr="00C151D8">
        <w:t xml:space="preserve">Document </w:t>
      </w:r>
      <w:r>
        <w:t>i</w:t>
      </w:r>
      <w:r w:rsidRPr="00C151D8">
        <w:t>nformation</w:t>
      </w:r>
    </w:p>
    <w:tbl>
      <w:tblPr>
        <w:tblW w:w="5000" w:type="pct"/>
        <w:jc w:val="center"/>
        <w:tblLayout w:type="fixed"/>
        <w:tblLook w:val="0000" w:firstRow="0" w:lastRow="0" w:firstColumn="0" w:lastColumn="0" w:noHBand="0" w:noVBand="0"/>
      </w:tblPr>
      <w:tblGrid>
        <w:gridCol w:w="1105"/>
        <w:gridCol w:w="2204"/>
        <w:gridCol w:w="6046"/>
      </w:tblGrid>
      <w:tr w:rsidR="002454C9" w:rsidRPr="003303F0" w14:paraId="33A508F5" w14:textId="77777777" w:rsidTr="00A03AA1">
        <w:trPr>
          <w:trHeight w:val="113"/>
          <w:tblHeader/>
          <w:jc w:val="center"/>
        </w:trPr>
        <w:tc>
          <w:tcPr>
            <w:tcW w:w="1105" w:type="dxa"/>
            <w:tcBorders>
              <w:top w:val="single" w:sz="4" w:space="0" w:color="auto"/>
              <w:bottom w:val="single" w:sz="12" w:space="0" w:color="auto"/>
            </w:tcBorders>
            <w:tcMar>
              <w:top w:w="80" w:type="dxa"/>
              <w:bottom w:w="80" w:type="dxa"/>
            </w:tcMar>
            <w:vAlign w:val="center"/>
          </w:tcPr>
          <w:p w14:paraId="7F6F9CFB" w14:textId="77777777" w:rsidR="002454C9" w:rsidRPr="002A3775" w:rsidRDefault="002454C9" w:rsidP="00796092">
            <w:pPr>
              <w:pStyle w:val="SDMDocInfoHeadRow"/>
            </w:pPr>
            <w:r>
              <w:t>Version</w:t>
            </w:r>
          </w:p>
        </w:tc>
        <w:tc>
          <w:tcPr>
            <w:tcW w:w="2204" w:type="dxa"/>
            <w:tcBorders>
              <w:top w:val="single" w:sz="4" w:space="0" w:color="auto"/>
              <w:bottom w:val="single" w:sz="12" w:space="0" w:color="auto"/>
            </w:tcBorders>
            <w:tcMar>
              <w:top w:w="80" w:type="dxa"/>
              <w:bottom w:w="80" w:type="dxa"/>
            </w:tcMar>
            <w:vAlign w:val="center"/>
          </w:tcPr>
          <w:p w14:paraId="77E647BC" w14:textId="77777777" w:rsidR="002454C9" w:rsidRPr="002A3775" w:rsidRDefault="002454C9" w:rsidP="00796092">
            <w:pPr>
              <w:pStyle w:val="SDMDocInfoHeadRow"/>
            </w:pPr>
            <w:r>
              <w:t>Date</w:t>
            </w:r>
          </w:p>
        </w:tc>
        <w:tc>
          <w:tcPr>
            <w:tcW w:w="6046" w:type="dxa"/>
            <w:tcBorders>
              <w:top w:val="single" w:sz="4" w:space="0" w:color="auto"/>
              <w:bottom w:val="single" w:sz="12" w:space="0" w:color="auto"/>
            </w:tcBorders>
            <w:tcMar>
              <w:top w:w="80" w:type="dxa"/>
              <w:bottom w:w="80" w:type="dxa"/>
            </w:tcMar>
            <w:vAlign w:val="center"/>
          </w:tcPr>
          <w:p w14:paraId="585AEF8E" w14:textId="77777777" w:rsidR="002454C9" w:rsidRPr="002A3775" w:rsidRDefault="002454C9" w:rsidP="00796092">
            <w:pPr>
              <w:pStyle w:val="SDMDocInfoHeadRow"/>
            </w:pPr>
            <w:r>
              <w:t>Description</w:t>
            </w:r>
          </w:p>
        </w:tc>
      </w:tr>
      <w:tr w:rsidR="002454C9" w:rsidRPr="00EA492B" w14:paraId="307D4580" w14:textId="77777777" w:rsidTr="00A03AA1">
        <w:trPr>
          <w:trHeight w:val="113"/>
          <w:tblHeader/>
          <w:jc w:val="center"/>
        </w:trPr>
        <w:tc>
          <w:tcPr>
            <w:tcW w:w="9355" w:type="dxa"/>
            <w:gridSpan w:val="3"/>
            <w:tcBorders>
              <w:top w:val="single" w:sz="12" w:space="0" w:color="auto"/>
            </w:tcBorders>
          </w:tcPr>
          <w:p w14:paraId="5D5567D5" w14:textId="77777777" w:rsidR="002454C9" w:rsidRPr="00E30033" w:rsidRDefault="002454C9" w:rsidP="00E30033">
            <w:pPr>
              <w:pStyle w:val="SDMDocInfoHeadRow"/>
            </w:pPr>
          </w:p>
        </w:tc>
      </w:tr>
      <w:tr w:rsidR="00A73ED8" w:rsidRPr="003303F0" w14:paraId="098844C8" w14:textId="77777777" w:rsidTr="00A03AA1">
        <w:trPr>
          <w:trHeight w:val="113"/>
          <w:jc w:val="center"/>
        </w:trPr>
        <w:tc>
          <w:tcPr>
            <w:tcW w:w="1105" w:type="dxa"/>
            <w:tcBorders>
              <w:bottom w:val="single" w:sz="4" w:space="0" w:color="auto"/>
            </w:tcBorders>
          </w:tcPr>
          <w:p w14:paraId="132FC874" w14:textId="4C7C4812" w:rsidR="00A73ED8" w:rsidRDefault="00A568D6" w:rsidP="00E66E80">
            <w:pPr>
              <w:pStyle w:val="SDMDocInfoText"/>
            </w:pPr>
            <w:r>
              <w:t>01.0</w:t>
            </w:r>
          </w:p>
        </w:tc>
        <w:tc>
          <w:tcPr>
            <w:tcW w:w="2204" w:type="dxa"/>
            <w:tcBorders>
              <w:bottom w:val="single" w:sz="4" w:space="0" w:color="auto"/>
            </w:tcBorders>
          </w:tcPr>
          <w:p w14:paraId="2B29C543" w14:textId="0277BE70" w:rsidR="00A73ED8" w:rsidRDefault="00A568D6" w:rsidP="00E66E80">
            <w:pPr>
              <w:pStyle w:val="SDMDocInfoText"/>
            </w:pPr>
            <w:r>
              <w:t>30</w:t>
            </w:r>
            <w:r w:rsidR="003953B1" w:rsidRPr="003953B1">
              <w:t xml:space="preserve"> </w:t>
            </w:r>
            <w:r w:rsidR="004D3CA8" w:rsidRPr="003953B1">
              <w:t>October 2025</w:t>
            </w:r>
          </w:p>
        </w:tc>
        <w:tc>
          <w:tcPr>
            <w:tcW w:w="6046" w:type="dxa"/>
            <w:tcBorders>
              <w:bottom w:val="single" w:sz="4" w:space="0" w:color="auto"/>
            </w:tcBorders>
          </w:tcPr>
          <w:p w14:paraId="62AD6C11" w14:textId="77777777" w:rsidR="00A73ED8" w:rsidRDefault="009236CF" w:rsidP="00E66E80">
            <w:pPr>
              <w:pStyle w:val="SDMDocInfoText"/>
              <w:rPr>
                <w:rFonts w:eastAsia="Arial"/>
                <w:color w:val="000000" w:themeColor="text1"/>
              </w:rPr>
            </w:pPr>
            <w:r>
              <w:rPr>
                <w:rFonts w:eastAsia="Arial"/>
                <w:color w:val="000000" w:themeColor="text1"/>
              </w:rPr>
              <w:t>SBM 019, Annex 2.</w:t>
            </w:r>
          </w:p>
          <w:p w14:paraId="7C815AE0" w14:textId="1A9C5A59" w:rsidR="009236CF" w:rsidRPr="06DD8AB3" w:rsidRDefault="009236CF" w:rsidP="00E66E80">
            <w:pPr>
              <w:pStyle w:val="SDMDocInfoText"/>
              <w:rPr>
                <w:rFonts w:eastAsia="Arial"/>
                <w:color w:val="000000" w:themeColor="text1"/>
              </w:rPr>
            </w:pPr>
            <w:r>
              <w:rPr>
                <w:rFonts w:eastAsia="Arial"/>
                <w:color w:val="000000" w:themeColor="text1"/>
              </w:rPr>
              <w:t xml:space="preserve">Initial </w:t>
            </w:r>
            <w:r w:rsidR="00302468">
              <w:rPr>
                <w:rFonts w:eastAsia="Arial"/>
                <w:color w:val="000000" w:themeColor="text1"/>
              </w:rPr>
              <w:t>adoption</w:t>
            </w:r>
            <w:r>
              <w:rPr>
                <w:rFonts w:eastAsia="Arial"/>
                <w:color w:val="000000" w:themeColor="text1"/>
              </w:rPr>
              <w:t>.</w:t>
            </w:r>
          </w:p>
        </w:tc>
      </w:tr>
      <w:tr w:rsidR="00777A90" w:rsidRPr="0056518A" w14:paraId="57576994" w14:textId="77777777" w:rsidTr="00A03AA1">
        <w:trPr>
          <w:trHeight w:val="113"/>
          <w:jc w:val="center"/>
        </w:trPr>
        <w:tc>
          <w:tcPr>
            <w:tcW w:w="9355" w:type="dxa"/>
            <w:gridSpan w:val="3"/>
            <w:tcBorders>
              <w:top w:val="single" w:sz="4" w:space="0" w:color="auto"/>
              <w:bottom w:val="single" w:sz="12" w:space="0" w:color="auto"/>
            </w:tcBorders>
            <w:vAlign w:val="center"/>
          </w:tcPr>
          <w:p w14:paraId="002CF248" w14:textId="1E1B1D23" w:rsidR="00777A90" w:rsidRPr="0056518A" w:rsidRDefault="00F2487D" w:rsidP="00E66E80">
            <w:pPr>
              <w:pStyle w:val="SDMDocInfoText"/>
            </w:pPr>
            <w:r>
              <w:t>Decision Class: Regulatory</w:t>
            </w:r>
            <w:r>
              <w:br/>
              <w:t>Document Type: Standard</w:t>
            </w:r>
            <w:r>
              <w:br/>
              <w:t xml:space="preserve">Business Function: </w:t>
            </w:r>
            <w:r w:rsidR="002D11B3">
              <w:t>M</w:t>
            </w:r>
            <w:r w:rsidR="008A0B90">
              <w:t>ethodology</w:t>
            </w:r>
            <w:r>
              <w:br/>
              <w:t xml:space="preserve">Keywords: A6.4 mechanism, landfill gas, </w:t>
            </w:r>
            <w:r w:rsidR="00DF7426">
              <w:t xml:space="preserve">methane, </w:t>
            </w:r>
            <w:r>
              <w:t>methodologies</w:t>
            </w:r>
            <w:r w:rsidR="00F75803">
              <w:t>, pipeline</w:t>
            </w:r>
          </w:p>
        </w:tc>
      </w:tr>
    </w:tbl>
    <w:p w14:paraId="4F7A4029" w14:textId="77777777" w:rsidR="00235FD4" w:rsidRDefault="00235FD4" w:rsidP="00ED7CB5">
      <w:pPr>
        <w:rPr>
          <w:sz w:val="2"/>
          <w:szCs w:val="2"/>
        </w:rPr>
      </w:pPr>
    </w:p>
    <w:sectPr w:rsidR="00235FD4" w:rsidSect="00E171DA">
      <w:headerReference w:type="even" r:id="rId27"/>
      <w:headerReference w:type="default" r:id="rId28"/>
      <w:footerReference w:type="default" r:id="rId29"/>
      <w:headerReference w:type="first" r:id="rId30"/>
      <w:pgSz w:w="11907" w:h="16840" w:code="9"/>
      <w:pgMar w:top="2552" w:right="1134" w:bottom="1418" w:left="1418" w:header="851"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3A72E" w14:textId="77777777" w:rsidR="00CD5850" w:rsidRDefault="00CD5850">
      <w:r>
        <w:separator/>
      </w:r>
    </w:p>
  </w:endnote>
  <w:endnote w:type="continuationSeparator" w:id="0">
    <w:p w14:paraId="032833C7" w14:textId="77777777" w:rsidR="00CD5850" w:rsidRDefault="00CD5850">
      <w:r>
        <w:continuationSeparator/>
      </w:r>
    </w:p>
  </w:endnote>
  <w:endnote w:type="continuationNotice" w:id="1">
    <w:p w14:paraId="7CFC6579" w14:textId="77777777" w:rsidR="00CD5850" w:rsidRDefault="00CD58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E36F" w14:textId="232E48C0" w:rsidR="004334D2" w:rsidRPr="00F306F1" w:rsidRDefault="004334D2">
    <w:pPr>
      <w:pStyle w:val="SDMFooter"/>
    </w:pPr>
    <w:r w:rsidRPr="00F306F1">
      <w:fldChar w:fldCharType="begin"/>
    </w:r>
    <w:r w:rsidRPr="00F306F1">
      <w:instrText xml:space="preserve"> PAGE </w:instrText>
    </w:r>
    <w:r w:rsidRPr="00F306F1">
      <w:fldChar w:fldCharType="separate"/>
    </w:r>
    <w:r>
      <w:rPr>
        <w:noProof/>
      </w:rPr>
      <w:t>6</w:t>
    </w:r>
    <w:r w:rsidRPr="00F306F1">
      <w:fldChar w:fldCharType="end"/>
    </w:r>
    <w:r w:rsidRPr="00F306F1">
      <w:t xml:space="preserve"> of </w:t>
    </w:r>
    <w:r>
      <w:fldChar w:fldCharType="begin"/>
    </w:r>
    <w:r>
      <w:instrText>NUMPAGES</w:instrText>
    </w:r>
    <w:r>
      <w:fldChar w:fldCharType="separate"/>
    </w:r>
    <w:r>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168AF" w14:textId="77777777" w:rsidR="004321E1" w:rsidRDefault="004334D2">
    <w:pPr>
      <w:pStyle w:val="SDMFooter"/>
    </w:pPr>
    <w:r w:rsidRPr="00F306F1">
      <w:fldChar w:fldCharType="begin"/>
    </w:r>
    <w:r w:rsidRPr="00F306F1">
      <w:instrText xml:space="preserve"> PAGE </w:instrText>
    </w:r>
    <w:r w:rsidRPr="00F306F1">
      <w:fldChar w:fldCharType="separate"/>
    </w:r>
    <w:r>
      <w:rPr>
        <w:noProof/>
      </w:rPr>
      <w:t>6</w:t>
    </w:r>
    <w:r w:rsidRPr="00F306F1">
      <w:fldChar w:fldCharType="end"/>
    </w:r>
    <w:r w:rsidRPr="00F306F1">
      <w:t xml:space="preserve"> of </w:t>
    </w:r>
    <w:r>
      <w:fldChar w:fldCharType="begin"/>
    </w:r>
    <w:r>
      <w:instrText>NUMPAGES</w:instrText>
    </w:r>
    <w:r>
      <w:fldChar w:fldCharType="separate"/>
    </w:r>
    <w:r>
      <w:rPr>
        <w:noProof/>
      </w:rP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DE069" w14:textId="126AC4C8" w:rsidR="00627EF3" w:rsidRDefault="00627E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8F81" w14:textId="77777777" w:rsidR="008011CA" w:rsidRPr="00F306F1" w:rsidRDefault="008011CA" w:rsidP="00F306F1">
    <w:pPr>
      <w:pStyle w:val="SDMFooter"/>
    </w:pPr>
    <w:r w:rsidRPr="00F306F1">
      <w:fldChar w:fldCharType="begin"/>
    </w:r>
    <w:r w:rsidRPr="00F306F1">
      <w:instrText xml:space="preserve"> PAGE </w:instrText>
    </w:r>
    <w:r w:rsidRPr="00F306F1">
      <w:fldChar w:fldCharType="separate"/>
    </w:r>
    <w:r>
      <w:rPr>
        <w:noProof/>
      </w:rPr>
      <w:t>10</w:t>
    </w:r>
    <w:r w:rsidRPr="00F306F1">
      <w:fldChar w:fldCharType="end"/>
    </w:r>
    <w:r w:rsidRPr="00F306F1">
      <w:t xml:space="preserve"> of </w:t>
    </w:r>
    <w:r w:rsidR="000E5056">
      <w:fldChar w:fldCharType="begin"/>
    </w:r>
    <w:r w:rsidR="000E5056">
      <w:instrText xml:space="preserve"> NUMPAGES </w:instrText>
    </w:r>
    <w:r w:rsidR="000E5056">
      <w:fldChar w:fldCharType="separate"/>
    </w:r>
    <w:r>
      <w:rPr>
        <w:noProof/>
      </w:rPr>
      <w:t>10</w:t>
    </w:r>
    <w:r w:rsidR="000E505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AFC9" w14:textId="77777777" w:rsidR="00CD5850" w:rsidRDefault="00CD5850">
      <w:r>
        <w:separator/>
      </w:r>
    </w:p>
  </w:footnote>
  <w:footnote w:type="continuationSeparator" w:id="0">
    <w:p w14:paraId="034068AC" w14:textId="77777777" w:rsidR="00CD5850" w:rsidRDefault="00CD5850">
      <w:r>
        <w:continuationSeparator/>
      </w:r>
    </w:p>
  </w:footnote>
  <w:footnote w:type="continuationNotice" w:id="1">
    <w:p w14:paraId="5E59249D" w14:textId="77777777" w:rsidR="00CD5850" w:rsidRDefault="00CD5850"/>
  </w:footnote>
  <w:footnote w:id="2">
    <w:p w14:paraId="3A45112F" w14:textId="27E6CAF5" w:rsidR="004334D2" w:rsidRDefault="004334D2" w:rsidP="00247E9F">
      <w:pPr>
        <w:pStyle w:val="FootnoteText"/>
        <w:numPr>
          <w:ilvl w:val="0"/>
          <w:numId w:val="6"/>
        </w:numPr>
      </w:pPr>
      <w:r>
        <w:rPr>
          <w:rStyle w:val="FootnoteReference"/>
        </w:rPr>
        <w:footnoteRef/>
      </w:r>
      <w:r>
        <w:tab/>
      </w:r>
      <w:r w:rsidR="00E5092F" w:rsidRPr="00E5092F">
        <w:rPr>
          <w:lang w:val="en-US"/>
        </w:rPr>
        <w:t xml:space="preserve">The </w:t>
      </w:r>
      <w:r w:rsidR="006755E0">
        <w:rPr>
          <w:lang w:val="en-US"/>
        </w:rPr>
        <w:t>Methodological Exper Panel (</w:t>
      </w:r>
      <w:r w:rsidR="00E5092F" w:rsidRPr="00E5092F">
        <w:rPr>
          <w:lang w:val="en-US"/>
        </w:rPr>
        <w:t>MEP</w:t>
      </w:r>
      <w:r w:rsidR="006755E0">
        <w:rPr>
          <w:lang w:val="en-US"/>
        </w:rPr>
        <w:t>)</w:t>
      </w:r>
      <w:r w:rsidR="00E5092F" w:rsidRPr="00E5092F">
        <w:rPr>
          <w:lang w:val="en-US"/>
        </w:rPr>
        <w:t xml:space="preserve"> notes that the </w:t>
      </w:r>
      <w:r w:rsidR="001D4ED1">
        <w:rPr>
          <w:lang w:val="en-US"/>
        </w:rPr>
        <w:t>mechanism methodology</w:t>
      </w:r>
      <w:r w:rsidR="00E5092F" w:rsidRPr="00E5092F">
        <w:rPr>
          <w:lang w:val="en-US"/>
        </w:rPr>
        <w:t xml:space="preserve"> applies only to Article 6.4 projects and</w:t>
      </w:r>
      <w:r w:rsidR="00A624BD">
        <w:rPr>
          <w:lang w:val="en-US"/>
        </w:rPr>
        <w:t xml:space="preserve"> will </w:t>
      </w:r>
      <w:r w:rsidR="00E5092F" w:rsidRPr="00E5092F">
        <w:rPr>
          <w:lang w:val="en-US"/>
        </w:rPr>
        <w:t>be amended in the future to cover activities at other scales (e.g., programmes of activities, policies, sectoral approaches) once the adopted standards for the development of mechanism methodologies (e.g., additionality standard, baseline-setting standard) are revised to incorporate other scales.</w:t>
      </w:r>
    </w:p>
  </w:footnote>
  <w:footnote w:id="3">
    <w:p w14:paraId="06B0F96A" w14:textId="3BD6BED8" w:rsidR="004334D2" w:rsidRDefault="004334D2" w:rsidP="00247E9F">
      <w:pPr>
        <w:pStyle w:val="FootnoteText"/>
        <w:numPr>
          <w:ilvl w:val="0"/>
          <w:numId w:val="6"/>
        </w:numPr>
      </w:pPr>
      <w:r>
        <w:rPr>
          <w:rStyle w:val="FootnoteReference"/>
        </w:rPr>
        <w:footnoteRef/>
      </w:r>
      <w:r>
        <w:tab/>
        <w:t>Under this methodology</w:t>
      </w:r>
      <w:r w:rsidR="00E735EA">
        <w:t>,</w:t>
      </w:r>
      <w:r>
        <w:t xml:space="preserve"> “trucks” mean container trucks that transport LFG or biomethane</w:t>
      </w:r>
      <w:r w:rsidR="00E735EA">
        <w:t>, whether</w:t>
      </w:r>
      <w:r>
        <w:t xml:space="preserve"> pressurized or liquefied</w:t>
      </w:r>
      <w:r w:rsidR="00C73B11">
        <w:t>.</w:t>
      </w:r>
    </w:p>
  </w:footnote>
  <w:footnote w:id="4">
    <w:p w14:paraId="25ECDF67" w14:textId="7A299C52" w:rsidR="0001164E" w:rsidRPr="0061071A" w:rsidRDefault="0001164E" w:rsidP="003630AA">
      <w:pPr>
        <w:pStyle w:val="FootnoteText"/>
        <w:numPr>
          <w:ilvl w:val="0"/>
          <w:numId w:val="0"/>
        </w:numPr>
        <w:ind w:left="227" w:hanging="227"/>
        <w:rPr>
          <w:lang w:val="en-US"/>
        </w:rPr>
      </w:pPr>
      <w:r>
        <w:rPr>
          <w:rStyle w:val="FootnoteReference"/>
        </w:rPr>
        <w:footnoteRef/>
      </w:r>
      <w:r w:rsidR="00426CAE" w:rsidRPr="0061071A">
        <w:rPr>
          <w:lang w:val="en-US"/>
        </w:rPr>
        <w:tab/>
      </w:r>
      <w:r w:rsidR="0061071A" w:rsidRPr="0061071A">
        <w:rPr>
          <w:lang w:val="en-US"/>
        </w:rPr>
        <w:t xml:space="preserve">See </w:t>
      </w:r>
      <w:hyperlink r:id="rId1" w:history="1">
        <w:r w:rsidR="002B5FFA" w:rsidRPr="0061071A">
          <w:rPr>
            <w:rStyle w:val="Hyperlink"/>
            <w:lang w:val="en-US"/>
          </w:rPr>
          <w:t>https://unfccc.int/sites/default/files/resource/A6.4-PROC-METH-001.pdf</w:t>
        </w:r>
      </w:hyperlink>
      <w:r w:rsidR="004D6777" w:rsidRPr="0061071A">
        <w:rPr>
          <w:rStyle w:val="Hyperlink"/>
          <w:lang w:val="en-US"/>
        </w:rPr>
        <w:t>.</w:t>
      </w:r>
    </w:p>
  </w:footnote>
  <w:footnote w:id="5">
    <w:p w14:paraId="4E5D19F8" w14:textId="2E9F56A5" w:rsidR="004334D2" w:rsidRDefault="004334D2" w:rsidP="00247E9F">
      <w:pPr>
        <w:pStyle w:val="FootnoteText"/>
        <w:numPr>
          <w:ilvl w:val="0"/>
          <w:numId w:val="6"/>
        </w:numPr>
      </w:pPr>
      <w:r>
        <w:rPr>
          <w:rStyle w:val="FootnoteReference"/>
        </w:rPr>
        <w:footnoteRef/>
      </w:r>
      <w:r>
        <w:tab/>
      </w:r>
      <w:r w:rsidRPr="0026447F">
        <w:t>For example, agreements between parties, such as between a private sector entity and a government, to take an action in exchange for avoiding court action.</w:t>
      </w:r>
    </w:p>
  </w:footnote>
  <w:footnote w:id="6">
    <w:p w14:paraId="3AC9C6FE" w14:textId="30A47877" w:rsidR="00954147" w:rsidRPr="0061071A" w:rsidRDefault="00954147" w:rsidP="0061071A">
      <w:pPr>
        <w:pStyle w:val="FootnoteText"/>
        <w:numPr>
          <w:ilvl w:val="0"/>
          <w:numId w:val="0"/>
        </w:numPr>
        <w:ind w:left="227" w:hanging="227"/>
        <w:rPr>
          <w:lang w:val="en-US"/>
        </w:rPr>
      </w:pPr>
      <w:r>
        <w:rPr>
          <w:rStyle w:val="FootnoteReference"/>
        </w:rPr>
        <w:footnoteRef/>
      </w:r>
      <w:r w:rsidRPr="0061071A">
        <w:rPr>
          <w:lang w:val="en-US"/>
        </w:rPr>
        <w:tab/>
      </w:r>
      <w:r w:rsidR="0061071A" w:rsidRPr="0061071A">
        <w:rPr>
          <w:lang w:val="en-US"/>
        </w:rPr>
        <w:t>See</w:t>
      </w:r>
      <w:r w:rsidR="00AA0D9E" w:rsidRPr="0061071A">
        <w:rPr>
          <w:lang w:val="en-US"/>
        </w:rPr>
        <w:t xml:space="preserve"> </w:t>
      </w:r>
      <w:hyperlink r:id="rId2" w:history="1">
        <w:r w:rsidR="00AA0D9E" w:rsidRPr="0061071A">
          <w:rPr>
            <w:rStyle w:val="Hyperlink"/>
            <w:lang w:val="en-US"/>
          </w:rPr>
          <w:t>https://www.ipcc-nggip.iges.or.jp/public/2019rf/index.html</w:t>
        </w:r>
      </w:hyperlink>
      <w:r w:rsidR="00750BC2" w:rsidRPr="0061071A">
        <w:rPr>
          <w:rStyle w:val="Hyperlink"/>
          <w:u w:val="none"/>
          <w:lang w:val="en-US"/>
        </w:rPr>
        <w:t>.</w:t>
      </w:r>
    </w:p>
  </w:footnote>
  <w:footnote w:id="7">
    <w:p w14:paraId="517C0B9C" w14:textId="0BBD49B4" w:rsidR="00524BDA" w:rsidRPr="00680B36" w:rsidRDefault="00524BDA" w:rsidP="0061071A">
      <w:pPr>
        <w:pStyle w:val="FootnoteText"/>
        <w:numPr>
          <w:ilvl w:val="0"/>
          <w:numId w:val="0"/>
        </w:numPr>
        <w:ind w:left="227" w:hanging="227"/>
        <w:rPr>
          <w:lang w:val="en-US"/>
        </w:rPr>
      </w:pPr>
      <w:r>
        <w:rPr>
          <w:rStyle w:val="FootnoteReference"/>
        </w:rPr>
        <w:footnoteRef/>
      </w:r>
      <w:r w:rsidR="00426CAE" w:rsidRPr="00680B36">
        <w:rPr>
          <w:lang w:val="en-US"/>
        </w:rPr>
        <w:tab/>
      </w:r>
      <w:r w:rsidR="0061071A" w:rsidRPr="00680B36">
        <w:rPr>
          <w:lang w:val="en-US"/>
        </w:rPr>
        <w:t>See</w:t>
      </w:r>
      <w:r w:rsidRPr="00680B36">
        <w:rPr>
          <w:lang w:val="en-US"/>
        </w:rPr>
        <w:t xml:space="preserve"> </w:t>
      </w:r>
      <w:hyperlink r:id="rId3" w:history="1">
        <w:r w:rsidRPr="00680B36">
          <w:rPr>
            <w:rStyle w:val="Hyperlink"/>
            <w:lang w:val="en-US"/>
          </w:rPr>
          <w:t>https://www.ipcc-nggip.iges.or.jp/public/2006gl/index.html</w:t>
        </w:r>
      </w:hyperlink>
      <w:r w:rsidR="00750BC2" w:rsidRPr="00680B36">
        <w:rPr>
          <w:rStyle w:val="Hyperlink"/>
          <w:u w:val="none"/>
          <w:lang w:val="en-US"/>
        </w:rPr>
        <w:t>.</w:t>
      </w:r>
    </w:p>
  </w:footnote>
  <w:footnote w:id="8">
    <w:p w14:paraId="5304F2DD" w14:textId="58464118" w:rsidR="004334D2" w:rsidRDefault="004334D2" w:rsidP="00247E9F">
      <w:pPr>
        <w:pStyle w:val="FootnoteText"/>
        <w:numPr>
          <w:ilvl w:val="0"/>
          <w:numId w:val="6"/>
        </w:numPr>
      </w:pPr>
      <w:r>
        <w:rPr>
          <w:rStyle w:val="FootnoteReference"/>
        </w:rPr>
        <w:footnoteRef/>
      </w:r>
      <w:r>
        <w:tab/>
      </w:r>
      <w:r>
        <w:rPr>
          <w:lang w:val="en-US"/>
        </w:rPr>
        <w:t xml:space="preserve">If the identified baseline based on the best available technology results in another baseline scenario, activity participants may request a revision to the methodology through the latest version of the “Procedure: </w:t>
      </w:r>
      <w:r w:rsidRPr="00FD06E0">
        <w:rPr>
          <w:lang w:val="en-US"/>
        </w:rPr>
        <w:t>Development, revision and clarification of methodologies and methodological tools</w:t>
      </w:r>
      <w:r>
        <w:rPr>
          <w:lang w:val="en-US"/>
        </w:rPr>
        <w:t>” (</w:t>
      </w:r>
      <w:r w:rsidRPr="00FD06E0">
        <w:rPr>
          <w:lang w:val="en-US"/>
        </w:rPr>
        <w:t>A6.4-PROC-METH-001</w:t>
      </w:r>
      <w:r>
        <w:rPr>
          <w:lang w:val="en-US"/>
        </w:rPr>
        <w:t>)</w:t>
      </w:r>
      <w:r w:rsidR="00C73B11">
        <w:rPr>
          <w:lang w:val="en-US"/>
        </w:rPr>
        <w:t>.</w:t>
      </w:r>
    </w:p>
  </w:footnote>
  <w:footnote w:id="9">
    <w:p w14:paraId="64FF5128" w14:textId="5F08C6D7" w:rsidR="00847BC7" w:rsidRDefault="00847BC7" w:rsidP="00680B36">
      <w:pPr>
        <w:pStyle w:val="FootnoteText"/>
        <w:numPr>
          <w:ilvl w:val="0"/>
          <w:numId w:val="6"/>
        </w:numPr>
      </w:pPr>
      <w:r>
        <w:rPr>
          <w:rStyle w:val="FootnoteReference"/>
        </w:rPr>
        <w:footnoteRef/>
      </w:r>
      <w:r w:rsidR="00426CAE">
        <w:rPr>
          <w:lang w:val="en-US"/>
        </w:rPr>
        <w:tab/>
      </w:r>
      <w:r>
        <w:rPr>
          <w:lang w:val="en-US"/>
        </w:rPr>
        <w:t xml:space="preserve">Activity participants may submit a request for revision of the methodology following the “Procedure: </w:t>
      </w:r>
      <w:r w:rsidRPr="003C0B48">
        <w:rPr>
          <w:lang w:val="en-US"/>
        </w:rPr>
        <w:t>Development, revision and clarification of methodologies and methodological tools</w:t>
      </w:r>
      <w:r>
        <w:rPr>
          <w:lang w:val="en-US"/>
        </w:rPr>
        <w:t>” (</w:t>
      </w:r>
      <w:r w:rsidRPr="00142706">
        <w:rPr>
          <w:lang w:val="en-US"/>
        </w:rPr>
        <w:t>A6.4-PROC-METH-001</w:t>
      </w:r>
      <w:r>
        <w:rPr>
          <w:lang w:val="en-US"/>
        </w:rPr>
        <w:t xml:space="preserve">, available at </w:t>
      </w:r>
      <w:hyperlink r:id="rId4" w:history="1">
        <w:r w:rsidRPr="00CA1484">
          <w:rPr>
            <w:rStyle w:val="Hyperlink"/>
            <w:lang w:val="en-US"/>
          </w:rPr>
          <w:t>https://unfccc.int/sites/default/files/resource/A6.4-PROC-METH-001.pdf</w:t>
        </w:r>
      </w:hyperlink>
      <w:r>
        <w:rPr>
          <w:lang w:val="en-US"/>
        </w:rPr>
        <w:t>) to allow the this methodology to be applied in combination with other approved methodologies.</w:t>
      </w:r>
    </w:p>
  </w:footnote>
  <w:footnote w:id="10">
    <w:p w14:paraId="6CD2AE18" w14:textId="42109208" w:rsidR="00011ADE" w:rsidRDefault="00011ADE" w:rsidP="00722715">
      <w:pPr>
        <w:pStyle w:val="FootnoteText"/>
        <w:numPr>
          <w:ilvl w:val="0"/>
          <w:numId w:val="0"/>
        </w:numPr>
        <w:ind w:left="227" w:hanging="227"/>
      </w:pPr>
      <w:r>
        <w:rPr>
          <w:rStyle w:val="FootnoteReference"/>
        </w:rPr>
        <w:footnoteRef/>
      </w:r>
      <w:r w:rsidR="00426CAE">
        <w:tab/>
      </w:r>
      <w:r w:rsidRPr="00011ADE">
        <w:t>For example, if the regulations explicitly mention that utilizing the Article 6.4 and its generated revenues are to be used as incentives to achieve the emission reductions in a specific sector.</w:t>
      </w:r>
    </w:p>
  </w:footnote>
  <w:footnote w:id="11">
    <w:p w14:paraId="34DDEC3B" w14:textId="1E0EE460" w:rsidR="004334D2" w:rsidRDefault="004334D2" w:rsidP="00247E9F">
      <w:pPr>
        <w:pStyle w:val="FootnoteText"/>
        <w:numPr>
          <w:ilvl w:val="0"/>
          <w:numId w:val="6"/>
        </w:numPr>
      </w:pPr>
      <w:r>
        <w:rPr>
          <w:rStyle w:val="FootnoteReference"/>
        </w:rPr>
        <w:footnoteRef/>
      </w:r>
      <w:r>
        <w:tab/>
        <w:t>Value proposed based on the threshold of moving from early adopters to early majority as identified in the Roger diffusion curve (Rogers, 2003).</w:t>
      </w:r>
    </w:p>
  </w:footnote>
  <w:footnote w:id="12">
    <w:p w14:paraId="40BC75AA" w14:textId="6F3AC2BD" w:rsidR="004334D2" w:rsidRDefault="004334D2" w:rsidP="00247E9F">
      <w:pPr>
        <w:pStyle w:val="FootnoteText"/>
        <w:numPr>
          <w:ilvl w:val="0"/>
          <w:numId w:val="6"/>
        </w:numPr>
      </w:pPr>
      <w:r>
        <w:rPr>
          <w:rStyle w:val="FootnoteReference"/>
        </w:rPr>
        <w:footnoteRef/>
      </w:r>
      <w:r>
        <w:tab/>
        <w:t>The remaining lifetime is determined as a difference between the technical lifetime provided by the manufacturer and the operational time since the commissioning of the equipment</w:t>
      </w:r>
      <w:r w:rsidR="00C73B11">
        <w:t>.</w:t>
      </w:r>
    </w:p>
  </w:footnote>
  <w:footnote w:id="13">
    <w:p w14:paraId="645DCC54" w14:textId="6CDB7682" w:rsidR="004334D2" w:rsidRPr="00325DC8" w:rsidRDefault="004334D2" w:rsidP="00247E9F">
      <w:pPr>
        <w:pStyle w:val="FootnoteText"/>
        <w:numPr>
          <w:ilvl w:val="0"/>
          <w:numId w:val="6"/>
        </w:numPr>
        <w:spacing w:after="20"/>
        <w:ind w:left="198" w:hanging="198"/>
      </w:pPr>
      <w:r w:rsidRPr="00325DC8">
        <w:rPr>
          <w:rStyle w:val="FootnoteReference"/>
        </w:rPr>
        <w:footnoteRef/>
      </w:r>
      <w:r w:rsidRPr="00325DC8">
        <w:tab/>
        <w:t xml:space="preserve">This default value of </w:t>
      </w:r>
      <w:r>
        <w:t>40</w:t>
      </w:r>
      <w:r w:rsidRPr="00325DC8">
        <w:t xml:space="preserve"> per cent is based on assuming a situation in which: the efficiency of the LFG capture system in the </w:t>
      </w:r>
      <w:r>
        <w:t>activity scenario is</w:t>
      </w:r>
      <w:r w:rsidRPr="00325DC8">
        <w:t xml:space="preserve"> 50 per cent; the efficiency of the LFG capture system in the baseline is 20 per cent; and the amount captured in the baseline is flared using an open flare with a destruction efficiency of </w:t>
      </w:r>
      <w:r>
        <w:t xml:space="preserve">100 </w:t>
      </w:r>
      <w:r w:rsidRPr="00325DC8">
        <w:t>per cent</w:t>
      </w:r>
      <w:r>
        <w:t>, as a conservative approach</w:t>
      </w:r>
      <w:r w:rsidRPr="00325DC8">
        <w:t xml:space="preserve">. </w:t>
      </w:r>
      <w:r>
        <w:t>Activity</w:t>
      </w:r>
      <w:r w:rsidRPr="00325DC8">
        <w:t xml:space="preserve"> participants may propose and justify an alternative default value as a request for revision to this methodology.</w:t>
      </w:r>
    </w:p>
  </w:footnote>
  <w:footnote w:id="14">
    <w:p w14:paraId="2FEFB41F" w14:textId="77777777" w:rsidR="00BD7A5F" w:rsidRPr="002B666E" w:rsidRDefault="00BD7A5F" w:rsidP="009C7C3B">
      <w:pPr>
        <w:pStyle w:val="FootnoteText"/>
        <w:numPr>
          <w:ilvl w:val="0"/>
          <w:numId w:val="0"/>
        </w:numPr>
        <w:ind w:left="284" w:hanging="284"/>
      </w:pPr>
      <w:r w:rsidRPr="009C7C3B">
        <w:rPr>
          <w:rStyle w:val="FootnoteReference"/>
        </w:rPr>
        <w:footnoteRef/>
      </w:r>
      <w:r w:rsidRPr="009C7C3B">
        <w:tab/>
        <w:t>The conservative default emission factors proposed under this sub-section is an interim solution, since the revision of the CDM methodologies “ACM0002: Grid-connected electricity generation from renewable sources,” “AMS-I.D.: Grid-connected renewable electricity generation,” and “Methodological Tool: Emission factor for an electricity system,” are yet to be finalized. This mechanism methodology will be revised accordingly to include the calculation of baseline emissions and project emissions from electricity generated and consumed once the revision of ACM0002, AMS-I.D. and the “Methodological Tool: Emission factor for an electricity system” is concluded and the respective standard(s) are adopted by the Supervisory Body.</w:t>
      </w:r>
    </w:p>
  </w:footnote>
  <w:footnote w:id="15">
    <w:p w14:paraId="79A912E9" w14:textId="06D973AF" w:rsidR="00CE1355" w:rsidRDefault="00CE1355" w:rsidP="00EA5C8D">
      <w:pPr>
        <w:pStyle w:val="FootnoteText"/>
        <w:numPr>
          <w:ilvl w:val="0"/>
          <w:numId w:val="0"/>
        </w:numPr>
        <w:ind w:left="227" w:hanging="227"/>
      </w:pPr>
      <w:r>
        <w:rPr>
          <w:rStyle w:val="FootnoteReference"/>
        </w:rPr>
        <w:footnoteRef/>
      </w:r>
      <w:r w:rsidR="00426CAE">
        <w:rPr>
          <w:lang w:val="en-US"/>
        </w:rPr>
        <w:tab/>
      </w:r>
      <w:r w:rsidR="00542EB5">
        <w:rPr>
          <w:lang w:val="en-US"/>
        </w:rPr>
        <w:t>Th</w:t>
      </w:r>
      <w:r w:rsidR="006733B9">
        <w:rPr>
          <w:lang w:val="en-US"/>
        </w:rPr>
        <w:t>is</w:t>
      </w:r>
      <w:r w:rsidR="00542EB5">
        <w:rPr>
          <w:lang w:val="en-US"/>
        </w:rPr>
        <w:t xml:space="preserve"> </w:t>
      </w:r>
      <w:r>
        <w:rPr>
          <w:lang w:val="en-US"/>
        </w:rPr>
        <w:t xml:space="preserve">proposal draws on </w:t>
      </w:r>
      <w:r w:rsidR="003D20E2">
        <w:rPr>
          <w:lang w:val="en-US"/>
        </w:rPr>
        <w:t xml:space="preserve">paragraph 64(b) </w:t>
      </w:r>
      <w:r w:rsidR="002D43FC">
        <w:rPr>
          <w:lang w:val="en-US"/>
        </w:rPr>
        <w:t xml:space="preserve">of the baseline standard that allows </w:t>
      </w:r>
      <w:r w:rsidR="00CF0880">
        <w:rPr>
          <w:lang w:val="en-US"/>
        </w:rPr>
        <w:t xml:space="preserve">for </w:t>
      </w:r>
      <w:r w:rsidR="00192A03">
        <w:rPr>
          <w:lang w:val="en-US"/>
        </w:rPr>
        <w:t>other</w:t>
      </w:r>
      <w:r w:rsidR="00CF0880">
        <w:rPr>
          <w:lang w:val="en-US"/>
        </w:rPr>
        <w:t xml:space="preserve"> approache</w:t>
      </w:r>
      <w:r w:rsidR="00192A03">
        <w:rPr>
          <w:lang w:val="en-US"/>
        </w:rPr>
        <w:t>s</w:t>
      </w:r>
      <w:r w:rsidR="00D865C4">
        <w:rPr>
          <w:lang w:val="en-US"/>
        </w:rPr>
        <w:t xml:space="preserve"> </w:t>
      </w:r>
      <w:r w:rsidR="00133421">
        <w:rPr>
          <w:lang w:val="en-US"/>
        </w:rPr>
        <w:t xml:space="preserve">different from </w:t>
      </w:r>
      <w:r w:rsidR="00D53E5C">
        <w:rPr>
          <w:lang w:val="en-US"/>
        </w:rPr>
        <w:t xml:space="preserve">the approach </w:t>
      </w:r>
      <w:r w:rsidR="00192A03">
        <w:rPr>
          <w:lang w:val="en-US"/>
        </w:rPr>
        <w:t xml:space="preserve">in </w:t>
      </w:r>
      <w:r w:rsidR="006A1AE6">
        <w:rPr>
          <w:lang w:val="en-US"/>
        </w:rPr>
        <w:t>paragraph 64(a)</w:t>
      </w:r>
      <w:r w:rsidR="00AB46A0">
        <w:rPr>
          <w:lang w:val="en-US"/>
        </w:rPr>
        <w:t xml:space="preserve"> </w:t>
      </w:r>
      <w:r w:rsidR="00133421">
        <w:rPr>
          <w:lang w:val="en-US"/>
        </w:rPr>
        <w:t>which</w:t>
      </w:r>
      <w:r w:rsidR="00AB46A0">
        <w:rPr>
          <w:lang w:val="en-US"/>
        </w:rPr>
        <w:t xml:space="preserve"> determine</w:t>
      </w:r>
      <w:r w:rsidR="00133421">
        <w:rPr>
          <w:lang w:val="en-US"/>
        </w:rPr>
        <w:t>s</w:t>
      </w:r>
      <w:r w:rsidR="00AB46A0">
        <w:rPr>
          <w:lang w:val="en-US"/>
        </w:rPr>
        <w:t xml:space="preserve"> </w:t>
      </w:r>
      <w:r w:rsidR="00907D91">
        <w:rPr>
          <w:lang w:val="en-US"/>
        </w:rPr>
        <w:t xml:space="preserve">the </w:t>
      </w:r>
      <w:r w:rsidR="00907D91">
        <w:t>uncertainty of baseline emissions at the lower bound of the 95</w:t>
      </w:r>
      <w:r w:rsidR="00BE6AAF">
        <w:t xml:space="preserve"> per cent</w:t>
      </w:r>
      <w:r w:rsidR="00907D91">
        <w:t xml:space="preserve"> confidence interval relative to the central estimate of the ex</w:t>
      </w:r>
      <w:r w:rsidR="000C53F7">
        <w:t> </w:t>
      </w:r>
      <w:r w:rsidR="00907D91">
        <w:t>ante quantified unadjusted net baseline emissions</w:t>
      </w:r>
      <w:r w:rsidR="00712985">
        <w:rPr>
          <w:lang w:val="en-US"/>
        </w:rPr>
        <w:t>.</w:t>
      </w:r>
    </w:p>
  </w:footnote>
  <w:footnote w:id="16">
    <w:p w14:paraId="1AFD9250" w14:textId="3DA60B02" w:rsidR="007C6AFD" w:rsidRPr="00A278BE" w:rsidRDefault="007C6AFD" w:rsidP="00EA5C8D">
      <w:pPr>
        <w:pStyle w:val="FootnoteText"/>
        <w:numPr>
          <w:ilvl w:val="0"/>
          <w:numId w:val="0"/>
        </w:numPr>
        <w:ind w:left="227" w:hanging="227"/>
      </w:pPr>
      <w:r w:rsidRPr="00A278BE">
        <w:rPr>
          <w:rStyle w:val="FootnoteReference"/>
        </w:rPr>
        <w:footnoteRef/>
      </w:r>
      <w:r w:rsidR="00426CAE">
        <w:tab/>
      </w:r>
      <w:r w:rsidR="002A250A" w:rsidRPr="002F6360">
        <w:t xml:space="preserve">The pro-rata approach is illustrated through the following numerical example. </w:t>
      </w:r>
      <w:r w:rsidR="003146D3" w:rsidRPr="002F6360">
        <w:t>The first crediting period of an</w:t>
      </w:r>
      <w:r w:rsidR="00835D3F" w:rsidRPr="002F6360">
        <w:t xml:space="preserve"> Article 6.4 activity starts on 1 October 2025.</w:t>
      </w:r>
      <w:r w:rsidR="002A250A" w:rsidRPr="002F6360">
        <w:t xml:space="preserve"> </w:t>
      </w:r>
      <w:r w:rsidR="00D74AC3" w:rsidRPr="002F6360">
        <w:t xml:space="preserve">The initial downward adjustment is </w:t>
      </w:r>
      <w:r w:rsidR="00E20345" w:rsidRPr="002F6360">
        <w:t>determined to be</w:t>
      </w:r>
      <w:r w:rsidR="00D74AC3" w:rsidRPr="002F6360">
        <w:t xml:space="preserve"> 50 t</w:t>
      </w:r>
      <w:r w:rsidR="00D74AC3" w:rsidRPr="00A276A8">
        <w:rPr>
          <w:lang w:val="en-US"/>
        </w:rPr>
        <w:t>CO</w:t>
      </w:r>
      <w:r w:rsidR="00D74AC3" w:rsidRPr="00A276A8">
        <w:rPr>
          <w:vertAlign w:val="subscript"/>
          <w:lang w:val="en-US"/>
        </w:rPr>
        <w:t>2</w:t>
      </w:r>
      <w:r w:rsidR="00D74AC3" w:rsidRPr="002F6360">
        <w:t xml:space="preserve"> per year and the annual increase in the downward </w:t>
      </w:r>
      <w:r w:rsidR="00A169D4" w:rsidRPr="002F6360">
        <w:t xml:space="preserve">adjustment is determined </w:t>
      </w:r>
      <w:r w:rsidR="00E20345" w:rsidRPr="002F6360">
        <w:t>to be</w:t>
      </w:r>
      <w:r w:rsidR="00A169D4" w:rsidRPr="002F6360">
        <w:t xml:space="preserve"> 5 t</w:t>
      </w:r>
      <w:r w:rsidR="00A169D4" w:rsidRPr="00A276A8">
        <w:rPr>
          <w:lang w:val="en-US"/>
        </w:rPr>
        <w:t>CO</w:t>
      </w:r>
      <w:r w:rsidR="00A169D4" w:rsidRPr="00A276A8">
        <w:rPr>
          <w:vertAlign w:val="subscript"/>
          <w:lang w:val="en-US"/>
        </w:rPr>
        <w:t>2</w:t>
      </w:r>
      <w:r w:rsidR="00A169D4" w:rsidRPr="002F6360">
        <w:t xml:space="preserve"> per</w:t>
      </w:r>
      <w:r w:rsidR="00D74AC3" w:rsidRPr="002F6360">
        <w:t xml:space="preserve"> </w:t>
      </w:r>
      <w:r w:rsidR="002D01CD" w:rsidRPr="002F6360">
        <w:t>year</w:t>
      </w:r>
      <w:r w:rsidR="00AA7B69" w:rsidRPr="002F6360">
        <w:t xml:space="preserve">, </w:t>
      </w:r>
      <w:r w:rsidR="002E0BD5" w:rsidRPr="002F6360">
        <w:t xml:space="preserve">resulting in a total </w:t>
      </w:r>
      <w:r w:rsidR="00AA7B69" w:rsidRPr="002F6360">
        <w:t>downward adjustment is 55</w:t>
      </w:r>
      <w:r w:rsidR="002E0BD5" w:rsidRPr="002F6360">
        <w:t xml:space="preserve"> t</w:t>
      </w:r>
      <w:r w:rsidR="002E0BD5" w:rsidRPr="00A276A8">
        <w:rPr>
          <w:lang w:val="en-US"/>
        </w:rPr>
        <w:t>CO</w:t>
      </w:r>
      <w:r w:rsidR="002E0BD5" w:rsidRPr="00A276A8">
        <w:rPr>
          <w:vertAlign w:val="subscript"/>
          <w:lang w:val="en-US"/>
        </w:rPr>
        <w:t>2</w:t>
      </w:r>
      <w:r w:rsidR="002E0BD5" w:rsidRPr="002F6360">
        <w:t xml:space="preserve"> per year in the second year and 60 t</w:t>
      </w:r>
      <w:r w:rsidR="002E0BD5" w:rsidRPr="00A276A8">
        <w:rPr>
          <w:lang w:val="en-US"/>
        </w:rPr>
        <w:t>CO</w:t>
      </w:r>
      <w:r w:rsidR="002E0BD5" w:rsidRPr="00A276A8">
        <w:rPr>
          <w:vertAlign w:val="subscript"/>
          <w:lang w:val="en-US"/>
        </w:rPr>
        <w:t>2</w:t>
      </w:r>
      <w:r w:rsidR="002E0BD5" w:rsidRPr="002F6360">
        <w:t xml:space="preserve"> per year in the third year</w:t>
      </w:r>
      <w:r w:rsidR="002D01CD" w:rsidRPr="002F6360">
        <w:t xml:space="preserve">. In this example, </w:t>
      </w:r>
      <w:r w:rsidR="00FD0962" w:rsidRPr="002F6360">
        <w:t>following a pro-rata approach means that</w:t>
      </w:r>
      <w:r w:rsidR="002D01CD" w:rsidRPr="002F6360">
        <w:t xml:space="preserve"> a downward adjustment of 50 t</w:t>
      </w:r>
      <w:r w:rsidR="002D01CD" w:rsidRPr="00A276A8">
        <w:rPr>
          <w:lang w:val="en-US"/>
        </w:rPr>
        <w:t>CO</w:t>
      </w:r>
      <w:r w:rsidR="002D01CD" w:rsidRPr="00A276A8">
        <w:rPr>
          <w:vertAlign w:val="subscript"/>
          <w:lang w:val="en-US"/>
        </w:rPr>
        <w:t>2</w:t>
      </w:r>
      <w:r w:rsidR="002D01CD" w:rsidRPr="002F6360">
        <w:t xml:space="preserve"> </w:t>
      </w:r>
      <w:r w:rsidR="002F162A" w:rsidRPr="002F6360">
        <w:t xml:space="preserve">per year </w:t>
      </w:r>
      <w:r w:rsidR="002D01CD" w:rsidRPr="002F6360">
        <w:t xml:space="preserve">shall be </w:t>
      </w:r>
      <w:r w:rsidR="00FD00E5" w:rsidRPr="002F6360">
        <w:t>pro</w:t>
      </w:r>
      <w:r w:rsidR="00C94136" w:rsidRPr="002F6360">
        <w:t xml:space="preserve">-rated before being </w:t>
      </w:r>
      <w:r w:rsidR="002D01CD" w:rsidRPr="002F6360">
        <w:t xml:space="preserve">applied in the </w:t>
      </w:r>
      <w:r w:rsidR="00F6780A" w:rsidRPr="002F6360">
        <w:t xml:space="preserve">calendar year of the start date of the first crediting period, </w:t>
      </w:r>
      <w:r w:rsidR="00DB0A54" w:rsidRPr="002F6360">
        <w:t>i.e.,</w:t>
      </w:r>
      <w:r w:rsidR="00F6780A" w:rsidRPr="002F6360">
        <w:t xml:space="preserve"> for the </w:t>
      </w:r>
      <w:r w:rsidR="002D01CD" w:rsidRPr="002F6360">
        <w:t>period from 1 October 2025 to 31</w:t>
      </w:r>
      <w:r w:rsidR="002F162A" w:rsidRPr="002F6360">
        <w:t xml:space="preserve"> December</w:t>
      </w:r>
      <w:r w:rsidR="000E2D5B" w:rsidRPr="002F6360">
        <w:t xml:space="preserve"> 2025. This correspond</w:t>
      </w:r>
      <w:r w:rsidR="006B6A81" w:rsidRPr="002F6360">
        <w:t>s</w:t>
      </w:r>
      <w:r w:rsidR="000E2D5B" w:rsidRPr="002F6360">
        <w:t xml:space="preserve"> to an absolute value of </w:t>
      </w:r>
      <w:r w:rsidR="00485EF7" w:rsidRPr="002F6360">
        <w:t>12.60</w:t>
      </w:r>
      <w:r w:rsidR="006B6A81" w:rsidRPr="002F6360">
        <w:t xml:space="preserve"> tCO</w:t>
      </w:r>
      <w:r w:rsidR="006B6A81" w:rsidRPr="00A276A8">
        <w:rPr>
          <w:vertAlign w:val="subscript"/>
        </w:rPr>
        <w:t>2</w:t>
      </w:r>
      <w:r w:rsidR="006B6A81" w:rsidRPr="002F6360">
        <w:t xml:space="preserve"> for that period</w:t>
      </w:r>
      <w:r w:rsidR="00FD0962" w:rsidRPr="002F6360">
        <w:t>,</w:t>
      </w:r>
      <w:r w:rsidR="006B6A81" w:rsidRPr="002F6360">
        <w:t xml:space="preserve"> </w:t>
      </w:r>
      <w:r w:rsidR="008A56F9" w:rsidRPr="002F6360">
        <w:t xml:space="preserve">calculated as </w:t>
      </w:r>
      <w:r w:rsidR="006B6A81" w:rsidRPr="002F6360">
        <w:t xml:space="preserve">92 days </w:t>
      </w:r>
      <w:r w:rsidR="00485EF7" w:rsidRPr="002F6360">
        <w:t>divided</w:t>
      </w:r>
      <w:r w:rsidR="006B6A81" w:rsidRPr="002F6360">
        <w:t xml:space="preserve"> by 365 days multiplied by 50 t</w:t>
      </w:r>
      <w:r w:rsidR="006B6A81" w:rsidRPr="00A276A8">
        <w:rPr>
          <w:lang w:val="en-US"/>
        </w:rPr>
        <w:t>CO</w:t>
      </w:r>
      <w:r w:rsidR="006B6A81" w:rsidRPr="00A276A8">
        <w:rPr>
          <w:vertAlign w:val="subscript"/>
          <w:lang w:val="en-US"/>
        </w:rPr>
        <w:t>2</w:t>
      </w:r>
      <w:r w:rsidR="006B6A81" w:rsidRPr="002F6360">
        <w:t xml:space="preserve">. For the calendar year </w:t>
      </w:r>
      <w:r w:rsidR="006B4EAA" w:rsidRPr="002F6360">
        <w:t>2026 (</w:t>
      </w:r>
      <w:r w:rsidR="00DB0A54" w:rsidRPr="002F6360">
        <w:t>i.e.,</w:t>
      </w:r>
      <w:r w:rsidR="006B4EAA" w:rsidRPr="002F6360">
        <w:t xml:space="preserve"> the period from 1 January 2026</w:t>
      </w:r>
      <w:r w:rsidR="00485EF7" w:rsidRPr="002F6360">
        <w:t xml:space="preserve"> to 31 December 2026), </w:t>
      </w:r>
      <w:r w:rsidR="003E6C3A" w:rsidRPr="002F6360">
        <w:t>a downward adjustment of 51.26 t</w:t>
      </w:r>
      <w:r w:rsidR="003E6C3A" w:rsidRPr="00A276A8">
        <w:rPr>
          <w:lang w:val="en-US"/>
        </w:rPr>
        <w:t>CO</w:t>
      </w:r>
      <w:r w:rsidR="003E6C3A" w:rsidRPr="00A276A8">
        <w:rPr>
          <w:vertAlign w:val="subscript"/>
          <w:lang w:val="en-US"/>
        </w:rPr>
        <w:t>2</w:t>
      </w:r>
      <w:r w:rsidR="003E6C3A" w:rsidRPr="002F6360">
        <w:t xml:space="preserve"> shall be applied</w:t>
      </w:r>
      <w:r w:rsidR="00FD0962" w:rsidRPr="002F6360">
        <w:t>,</w:t>
      </w:r>
      <w:r w:rsidR="003E6C3A" w:rsidRPr="002F6360">
        <w:t xml:space="preserve"> </w:t>
      </w:r>
      <w:r w:rsidR="008A56F9" w:rsidRPr="002F6360">
        <w:t xml:space="preserve">calculated </w:t>
      </w:r>
      <w:r w:rsidR="005C5157" w:rsidRPr="002F6360">
        <w:t xml:space="preserve">as the sum of </w:t>
      </w:r>
      <w:r w:rsidR="00FD0962" w:rsidRPr="002F6360">
        <w:t xml:space="preserve">(i) </w:t>
      </w:r>
      <w:r w:rsidR="000864CE" w:rsidRPr="002F6360">
        <w:t>273 days divided by 365 days multiplied by 50 t</w:t>
      </w:r>
      <w:r w:rsidR="000864CE" w:rsidRPr="00A276A8">
        <w:rPr>
          <w:lang w:val="en-US"/>
        </w:rPr>
        <w:t>CO</w:t>
      </w:r>
      <w:r w:rsidR="000864CE" w:rsidRPr="00A276A8">
        <w:rPr>
          <w:vertAlign w:val="subscript"/>
          <w:lang w:val="en-US"/>
        </w:rPr>
        <w:t xml:space="preserve">2 </w:t>
      </w:r>
      <w:r w:rsidR="000864CE" w:rsidRPr="002F6360">
        <w:t>50 a</w:t>
      </w:r>
      <w:r w:rsidR="005C5157" w:rsidRPr="002F6360">
        <w:t xml:space="preserve">nd </w:t>
      </w:r>
      <w:r w:rsidR="00FD0962" w:rsidRPr="002F6360">
        <w:t xml:space="preserve">(i) </w:t>
      </w:r>
      <w:r w:rsidR="005C5157" w:rsidRPr="002F6360">
        <w:t xml:space="preserve">92 days </w:t>
      </w:r>
      <w:r w:rsidR="007D22A6" w:rsidRPr="002F6360">
        <w:t>divided</w:t>
      </w:r>
      <w:r w:rsidR="005C5157" w:rsidRPr="002F6360">
        <w:t xml:space="preserve"> by 365 days multiplied by 55 t</w:t>
      </w:r>
      <w:r w:rsidR="005C5157" w:rsidRPr="00A276A8">
        <w:rPr>
          <w:lang w:val="en-US"/>
        </w:rPr>
        <w:t>CO</w:t>
      </w:r>
      <w:r w:rsidR="005C5157" w:rsidRPr="00A276A8">
        <w:rPr>
          <w:vertAlign w:val="subscript"/>
          <w:lang w:val="en-US"/>
        </w:rPr>
        <w:t>2</w:t>
      </w:r>
      <w:r w:rsidR="007D22A6" w:rsidRPr="002F6360">
        <w:t>. Starting from 2027, the annual downward adjustment is increased by 5 t</w:t>
      </w:r>
      <w:r w:rsidR="007D22A6" w:rsidRPr="00A276A8">
        <w:rPr>
          <w:lang w:val="en-US"/>
        </w:rPr>
        <w:t>CO</w:t>
      </w:r>
      <w:r w:rsidR="007D22A6" w:rsidRPr="00A276A8">
        <w:rPr>
          <w:vertAlign w:val="subscript"/>
          <w:lang w:val="en-US"/>
        </w:rPr>
        <w:t>2</w:t>
      </w:r>
      <w:r w:rsidR="000864CE" w:rsidRPr="002F6360">
        <w:t xml:space="preserve"> </w:t>
      </w:r>
      <w:r w:rsidR="007D22A6" w:rsidRPr="002F6360">
        <w:t>on 1 January of each year</w:t>
      </w:r>
      <w:r w:rsidR="00FD0962" w:rsidRPr="002F6360">
        <w:t>,</w:t>
      </w:r>
      <w:r w:rsidR="007D22A6" w:rsidRPr="002F6360">
        <w:t xml:space="preserve"> resulting in a value of 56.26 </w:t>
      </w:r>
      <w:r w:rsidR="00FD0962" w:rsidRPr="002F6360">
        <w:t>t</w:t>
      </w:r>
      <w:r w:rsidR="00FD0962" w:rsidRPr="00A276A8">
        <w:rPr>
          <w:lang w:val="en-US"/>
        </w:rPr>
        <w:t>CO</w:t>
      </w:r>
      <w:r w:rsidR="00FD0962" w:rsidRPr="00A276A8">
        <w:rPr>
          <w:vertAlign w:val="subscript"/>
          <w:lang w:val="en-US"/>
        </w:rPr>
        <w:t>2</w:t>
      </w:r>
      <w:r w:rsidR="00FD0962" w:rsidRPr="00A276A8">
        <w:rPr>
          <w:lang w:val="en-US"/>
        </w:rPr>
        <w:t xml:space="preserve"> </w:t>
      </w:r>
      <w:r w:rsidR="007D22A6" w:rsidRPr="002F6360">
        <w:t>for 2027</w:t>
      </w:r>
      <w:r w:rsidR="003146D3" w:rsidRPr="002F6360">
        <w:t xml:space="preserve">, 61.26 </w:t>
      </w:r>
      <w:r w:rsidR="00FD0962" w:rsidRPr="002F6360">
        <w:t>t</w:t>
      </w:r>
      <w:r w:rsidR="00FD0962" w:rsidRPr="00A276A8">
        <w:rPr>
          <w:lang w:val="en-US"/>
        </w:rPr>
        <w:t>CO</w:t>
      </w:r>
      <w:r w:rsidR="00FD0962" w:rsidRPr="00A276A8">
        <w:rPr>
          <w:vertAlign w:val="subscript"/>
          <w:lang w:val="en-US"/>
        </w:rPr>
        <w:t>2</w:t>
      </w:r>
      <w:r w:rsidR="00FD0962" w:rsidRPr="002F6360">
        <w:t xml:space="preserve"> </w:t>
      </w:r>
      <w:r w:rsidR="003146D3" w:rsidRPr="002F6360">
        <w:t>for 2028, and so forth).</w:t>
      </w:r>
    </w:p>
  </w:footnote>
  <w:footnote w:id="17">
    <w:p w14:paraId="3C4DE230" w14:textId="2FB7C738" w:rsidR="009C33A8" w:rsidRDefault="009C33A8" w:rsidP="00B72B00">
      <w:pPr>
        <w:pStyle w:val="FootnoteText"/>
        <w:numPr>
          <w:ilvl w:val="0"/>
          <w:numId w:val="0"/>
        </w:numPr>
        <w:ind w:left="227" w:hanging="227"/>
      </w:pPr>
      <w:r>
        <w:rPr>
          <w:rStyle w:val="FootnoteReference"/>
        </w:rPr>
        <w:footnoteRef/>
      </w:r>
      <w:r w:rsidR="00426CAE">
        <w:tab/>
      </w:r>
      <w:r w:rsidRPr="009B2FDA">
        <w:t>The extent to which the policy frameworks in place are sufficient to enable the achievement of the policies/targets may be considered in determining their relevance for the BAU scenario</w:t>
      </w:r>
      <w:r w:rsidR="00FF62B0" w:rsidRPr="009B2FDA">
        <w:t>.</w:t>
      </w:r>
    </w:p>
  </w:footnote>
  <w:footnote w:id="18">
    <w:p w14:paraId="4803F3A4" w14:textId="77777777" w:rsidR="005D1489" w:rsidRPr="0069640C" w:rsidRDefault="005D1489" w:rsidP="005D1489">
      <w:pPr>
        <w:pStyle w:val="FootnoteText"/>
        <w:numPr>
          <w:ilvl w:val="0"/>
          <w:numId w:val="0"/>
        </w:numPr>
        <w:ind w:left="227" w:hanging="227"/>
      </w:pPr>
      <w:r w:rsidRPr="0069640C">
        <w:rPr>
          <w:rStyle w:val="FootnoteReference"/>
        </w:rPr>
        <w:footnoteRef/>
      </w:r>
      <w:r w:rsidRPr="0069640C">
        <w:tab/>
        <w:t>The conservative default emission factors proposed under this sub-section is an interim solution, since the revision of the CDM methodologies “ACM0002: Grid-connected electricity generation from renewable sources”, “AMS-I.D.: Grid-connected renewable electricity generation”, and “Methodological Tool: Emission factor for an electricity system” are yet to be finalized. This mechanism methodology will be revised accordingly to include the calculation of baseline emissions and project emissions from electricity generated and consumed once the revision of ACM0002, AMS-I.D. and the “Methodological Tool: Emission factor for an electricity system” is concluded and the respective standard(s) are adopted by the Supervisory Body.</w:t>
      </w:r>
    </w:p>
  </w:footnote>
  <w:footnote w:id="19">
    <w:p w14:paraId="0B9982EE" w14:textId="216C474D" w:rsidR="0006339C" w:rsidRPr="002B666E" w:rsidRDefault="0006339C" w:rsidP="001F6858">
      <w:pPr>
        <w:pStyle w:val="FootnoteText"/>
        <w:numPr>
          <w:ilvl w:val="0"/>
          <w:numId w:val="0"/>
        </w:numPr>
        <w:ind w:left="227" w:hanging="227"/>
      </w:pPr>
      <w:r w:rsidRPr="0069640C">
        <w:rPr>
          <w:rStyle w:val="FootnoteReference"/>
        </w:rPr>
        <w:footnoteRef/>
      </w:r>
      <w:r w:rsidRPr="0069640C">
        <w:tab/>
        <w:t xml:space="preserve">The conservative default </w:t>
      </w:r>
      <w:r w:rsidR="00A96277" w:rsidRPr="0069640C">
        <w:t>factor to account for transmission and distribution losses from the electric grid</w:t>
      </w:r>
      <w:r w:rsidRPr="0069640C">
        <w:t xml:space="preserve"> proposed under this sub-section is an interim solution, since the revision of the CDM methodologies “ACM0002: Grid-connected electricity generation from renewable sources,” “AMS-I.D.: Grid-connected renewable electricity generation,” and “Methodological Tool: Emission factor for an electricity system,” are yet to be finalized. </w:t>
      </w:r>
      <w:r w:rsidR="005711BD" w:rsidRPr="0069640C">
        <w:t>This mechanism methodology will be revised accordingly to include the calculation of baseline emissions and project emissions from electricity generated and consumed</w:t>
      </w:r>
      <w:r w:rsidR="00D97018" w:rsidRPr="0069640C">
        <w:t xml:space="preserve"> (</w:t>
      </w:r>
      <w:r w:rsidR="001F6858" w:rsidRPr="0069640C">
        <w:t xml:space="preserve">including how to determine the factor to account for transmission and distribution losses from the electric grid) </w:t>
      </w:r>
      <w:r w:rsidRPr="0069640C">
        <w:t>once the revision of ACM0002, AMS-I.D. and the “Methodological Tool: Emission factor for an electricity system” is concluded and the respective standard(s) are adopted by the Supervisory Body.</w:t>
      </w:r>
    </w:p>
  </w:footnote>
  <w:footnote w:id="20">
    <w:p w14:paraId="7EF96588" w14:textId="7A41581A" w:rsidR="004334D2" w:rsidRDefault="004334D2" w:rsidP="00247E9F">
      <w:pPr>
        <w:pStyle w:val="FootnoteText"/>
        <w:numPr>
          <w:ilvl w:val="0"/>
          <w:numId w:val="6"/>
        </w:numPr>
      </w:pPr>
      <w:r>
        <w:rPr>
          <w:rStyle w:val="FootnoteReference"/>
        </w:rPr>
        <w:footnoteRef/>
      </w:r>
      <w:r>
        <w:tab/>
        <w:t>The rationale for the proposed default factor, including the detailed calculation, is provided in Appendix</w:t>
      </w:r>
      <w:r w:rsidR="00B13910">
        <w:t> </w:t>
      </w:r>
      <w:r w:rsidR="005507D3">
        <w:t>1</w:t>
      </w:r>
      <w:r w:rsidR="0067255A">
        <w:t>.</w:t>
      </w:r>
    </w:p>
  </w:footnote>
  <w:footnote w:id="21">
    <w:p w14:paraId="48AD3FAC" w14:textId="0B828C2B" w:rsidR="00CA39F7" w:rsidRPr="00544372" w:rsidRDefault="00CA39F7">
      <w:pPr>
        <w:pStyle w:val="FootnoteText"/>
        <w:rPr>
          <w:highlight w:val="yellow"/>
        </w:rPr>
      </w:pPr>
      <w:r w:rsidRPr="00136C49">
        <w:rPr>
          <w:rStyle w:val="FootnoteReference"/>
        </w:rPr>
        <w:footnoteRef/>
      </w:r>
      <w:r w:rsidRPr="00136C49">
        <w:t xml:space="preserve"> </w:t>
      </w:r>
      <w:r w:rsidRPr="00136C49">
        <w:tab/>
        <w:t>When full or partial impact of the activity is covered under mandatory domestic mitigation scheme and counted towards the achievement of targets and obligations under mandatory domestic mitigation scheme</w:t>
      </w:r>
      <w:r w:rsidR="00645F9C" w:rsidRPr="00136C49">
        <w:t>,</w:t>
      </w:r>
      <w:r w:rsidRPr="00136C49">
        <w:t xml:space="preserve"> the relevant share of the impact shall be deducted by the activity participants from the amount requested for issuance</w:t>
      </w:r>
      <w:r w:rsidR="00645F9C" w:rsidRPr="00136C49">
        <w:t>.</w:t>
      </w:r>
    </w:p>
  </w:footnote>
  <w:footnote w:id="22">
    <w:p w14:paraId="57AF5F1B" w14:textId="53396460" w:rsidR="004334D2" w:rsidRPr="0067255A" w:rsidRDefault="004334D2" w:rsidP="00247E9F">
      <w:pPr>
        <w:pStyle w:val="FootnoteText"/>
        <w:numPr>
          <w:ilvl w:val="0"/>
          <w:numId w:val="6"/>
        </w:numPr>
        <w:jc w:val="left"/>
      </w:pPr>
      <w:r>
        <w:rPr>
          <w:rStyle w:val="FootnoteReference"/>
        </w:rPr>
        <w:footnoteRef/>
      </w:r>
      <w:r>
        <w:tab/>
        <w:t>Approved small-scale CDM methodology ‘AMS-III.BA: Recovery and recycling of materials from E</w:t>
      </w:r>
      <w:r w:rsidR="009A21E7">
        <w:noBreakHyphen/>
      </w:r>
      <w:r>
        <w:t>waste’,</w:t>
      </w:r>
      <w:r w:rsidR="00953077" w:rsidRPr="00953077">
        <w:rPr>
          <w:lang w:val="en-US"/>
        </w:rPr>
        <w:t xml:space="preserve"> </w:t>
      </w:r>
      <w:r w:rsidR="00953077">
        <w:rPr>
          <w:lang w:val="en-US"/>
        </w:rPr>
        <w:t>available at</w:t>
      </w:r>
      <w:r w:rsidR="00EA3BE0">
        <w:rPr>
          <w:lang w:val="en-US"/>
        </w:rPr>
        <w:t>:</w:t>
      </w:r>
      <w:r w:rsidR="00EA3BE0">
        <w:rPr>
          <w:lang w:val="en-US"/>
        </w:rPr>
        <w:br/>
      </w:r>
      <w:hyperlink r:id="rId5" w:history="1">
        <w:r w:rsidR="00EA3BE0" w:rsidRPr="00932A1C">
          <w:rPr>
            <w:rStyle w:val="Hyperlink"/>
          </w:rPr>
          <w:t>https://cdm.unfccc.int/UserManagement/FileStorage/30BQNA7GEM4ZCPWI895FHDXRLJTSK6</w:t>
        </w:r>
      </w:hyperlink>
      <w:r w:rsidR="0067255A" w:rsidRPr="0067255A">
        <w:t>.</w:t>
      </w:r>
    </w:p>
  </w:footnote>
  <w:footnote w:id="23">
    <w:p w14:paraId="7DE06DE4" w14:textId="0572B326" w:rsidR="004334D2" w:rsidRDefault="004334D2" w:rsidP="00247E9F">
      <w:pPr>
        <w:pStyle w:val="FootnoteText"/>
        <w:numPr>
          <w:ilvl w:val="0"/>
          <w:numId w:val="6"/>
        </w:numPr>
      </w:pPr>
      <w:r>
        <w:rPr>
          <w:rStyle w:val="FootnoteReference"/>
        </w:rPr>
        <w:footnoteRef/>
      </w:r>
      <w:r>
        <w:tab/>
      </w:r>
      <w:r w:rsidR="00FE6411">
        <w:t xml:space="preserve">See </w:t>
      </w:r>
      <w:hyperlink r:id="rId6" w:history="1">
        <w:r w:rsidR="00FE6411" w:rsidRPr="00E415E9">
          <w:rPr>
            <w:rStyle w:val="Hyperlink"/>
          </w:rPr>
          <w:t>https://www.youmats.com/en/plumbing/pipe-and-fittings/hdpe-pipes-and-fittings/hdpe-pipes/hdpe-pipe-pn-10-bar-pe-80-od-315-mm-black-color-alwasail-194/</w:t>
        </w:r>
      </w:hyperlink>
      <w:r w:rsidR="0067255A" w:rsidRPr="0067255A">
        <w:t>.</w:t>
      </w:r>
    </w:p>
  </w:footnote>
  <w:footnote w:id="24">
    <w:p w14:paraId="25E4B0ED" w14:textId="5004600B" w:rsidR="004334D2" w:rsidRDefault="004334D2" w:rsidP="00247E9F">
      <w:pPr>
        <w:pStyle w:val="FootnoteText"/>
        <w:numPr>
          <w:ilvl w:val="0"/>
          <w:numId w:val="6"/>
        </w:numPr>
      </w:pPr>
      <w:r>
        <w:rPr>
          <w:rStyle w:val="FootnoteReference"/>
        </w:rPr>
        <w:footnoteRef/>
      </w:r>
      <w:r>
        <w:tab/>
      </w:r>
      <w:r w:rsidR="00FE6411">
        <w:t xml:space="preserve">See </w:t>
      </w:r>
      <w:hyperlink r:id="rId7" w:history="1">
        <w:r>
          <w:rPr>
            <w:rStyle w:val="Hyperlink"/>
          </w:rPr>
          <w:t>Life cycle greenhouse gas emissions and energy use of polylactic acid, bio-derived polyethylene, and fossil-derived polyethylene</w:t>
        </w:r>
      </w:hyperlink>
      <w:r>
        <w:t xml:space="preserve"> (page 14)</w:t>
      </w:r>
      <w:r w:rsidR="0067255A">
        <w:t>.</w:t>
      </w:r>
    </w:p>
  </w:footnote>
  <w:footnote w:id="25">
    <w:p w14:paraId="5164398E" w14:textId="5E21470C" w:rsidR="004334D2" w:rsidRDefault="004334D2" w:rsidP="00247E9F">
      <w:pPr>
        <w:pStyle w:val="FootnoteText"/>
        <w:numPr>
          <w:ilvl w:val="0"/>
          <w:numId w:val="6"/>
        </w:numPr>
      </w:pPr>
      <w:r>
        <w:rPr>
          <w:rStyle w:val="FootnoteReference"/>
        </w:rPr>
        <w:footnoteRef/>
      </w:r>
      <w:r>
        <w:tab/>
      </w:r>
      <w:r w:rsidR="00903DA6">
        <w:t xml:space="preserve">See </w:t>
      </w:r>
      <w:hyperlink r:id="rId8" w:history="1">
        <w:r w:rsidR="00903DA6" w:rsidRPr="00F22861">
          <w:rPr>
            <w:rStyle w:val="Hyperlink"/>
          </w:rPr>
          <w:t>https://steelheadcomposites.com/sites/default/files/2024-01/CNG-Brochure.pdf</w:t>
        </w:r>
      </w:hyperlink>
      <w:r w:rsidR="0067255A">
        <w:t>.</w:t>
      </w:r>
    </w:p>
  </w:footnote>
  <w:footnote w:id="26">
    <w:p w14:paraId="0D00E50A" w14:textId="2569DFCC" w:rsidR="004334D2" w:rsidRDefault="004334D2" w:rsidP="00247E9F">
      <w:pPr>
        <w:pStyle w:val="FootnoteText"/>
        <w:numPr>
          <w:ilvl w:val="0"/>
          <w:numId w:val="6"/>
        </w:numPr>
        <w:jc w:val="left"/>
      </w:pPr>
      <w:r>
        <w:rPr>
          <w:rStyle w:val="FootnoteReference"/>
        </w:rPr>
        <w:footnoteRef/>
      </w:r>
      <w:r>
        <w:tab/>
      </w:r>
      <w:r w:rsidR="00903DA6">
        <w:t>See</w:t>
      </w:r>
      <w:r>
        <w:t xml:space="preserve"> </w:t>
      </w:r>
      <w:hyperlink r:id="rId9" w:history="1">
        <w:r w:rsidRPr="00E254F7">
          <w:rPr>
            <w:rStyle w:val="Hyperlink"/>
          </w:rPr>
          <w:t>https://www.sciencedirect.com/science/article/pii/S1526612523000944?ref=pdf_download&amp;fr=RR-7&amp;rr=976f1ff31c261db8</w:t>
        </w:r>
      </w:hyperlink>
      <w:r>
        <w:t>, accessed on 11 August 2025</w:t>
      </w:r>
      <w:r w:rsidR="0067255A">
        <w:t>.</w:t>
      </w:r>
    </w:p>
  </w:footnote>
  <w:footnote w:id="27">
    <w:p w14:paraId="765F6C0C" w14:textId="3D13C3C7" w:rsidR="004334D2" w:rsidRDefault="004334D2" w:rsidP="00247E9F">
      <w:pPr>
        <w:pStyle w:val="FootnoteText"/>
        <w:numPr>
          <w:ilvl w:val="0"/>
          <w:numId w:val="6"/>
        </w:numPr>
      </w:pPr>
      <w:r>
        <w:rPr>
          <w:rStyle w:val="FootnoteReference"/>
        </w:rPr>
        <w:footnoteRef/>
      </w:r>
      <w:r>
        <w:tab/>
      </w:r>
      <w:r w:rsidR="00903DA6">
        <w:t>See</w:t>
      </w:r>
      <w:r>
        <w:t xml:space="preserve"> </w:t>
      </w:r>
      <w:hyperlink r:id="rId10" w:history="1">
        <w:r w:rsidRPr="00E254F7">
          <w:rPr>
            <w:rStyle w:val="Hyperlink"/>
          </w:rPr>
          <w:t>https://glassfibreeurope.eu/life-cycle-assessment-of-continuous-filament-glass-fibre-products-2/</w:t>
        </w:r>
      </w:hyperlink>
      <w:r>
        <w:t>, accessed on 11 August 2025</w:t>
      </w:r>
      <w:r w:rsidR="0067255A">
        <w:t>.</w:t>
      </w:r>
    </w:p>
  </w:footnote>
  <w:footnote w:id="28">
    <w:p w14:paraId="45C10A23" w14:textId="69E0EDDC" w:rsidR="004334D2" w:rsidRDefault="004334D2" w:rsidP="00247E9F">
      <w:pPr>
        <w:pStyle w:val="FootnoteText"/>
        <w:numPr>
          <w:ilvl w:val="0"/>
          <w:numId w:val="6"/>
        </w:numPr>
      </w:pPr>
      <w:r>
        <w:rPr>
          <w:rStyle w:val="FootnoteReference"/>
        </w:rPr>
        <w:footnoteRef/>
      </w:r>
      <w:r>
        <w:rPr>
          <w:lang w:val="en-US"/>
        </w:rPr>
        <w:tab/>
      </w:r>
      <w:r w:rsidRPr="003924BD">
        <w:t>International Council on Clean Transportation (ICCT). The life-cycle greenhouse gas emissions of European heavy-duty vehicles and fuels. 2023.</w:t>
      </w:r>
      <w:r>
        <w:t xml:space="preserve"> White paper. A</w:t>
      </w:r>
      <w:r>
        <w:rPr>
          <w:lang w:val="en-US"/>
        </w:rPr>
        <w:t>vailable at &lt;</w:t>
      </w:r>
      <w:hyperlink r:id="rId11" w:history="1">
        <w:r w:rsidRPr="00B46D5E">
          <w:rPr>
            <w:rStyle w:val="Hyperlink"/>
            <w:lang w:val="en-US"/>
          </w:rPr>
          <w:t>https://theicct.org/wp-content/uploads/2023/02/Lifecycle-assessment-trucks-and-buses-emissions-Europe.pdf</w:t>
        </w:r>
      </w:hyperlink>
      <w:r>
        <w:rPr>
          <w:lang w:val="en-US"/>
        </w:rPr>
        <w:t>&gt;, accessed on 10 August 2025</w:t>
      </w:r>
      <w:r w:rsidR="0067255A">
        <w:rPr>
          <w:lang w:val="en-US"/>
        </w:rPr>
        <w:t>.</w:t>
      </w:r>
    </w:p>
  </w:footnote>
  <w:footnote w:id="29">
    <w:p w14:paraId="19AEAB45" w14:textId="7D1ED39C" w:rsidR="004334D2" w:rsidRPr="00814EEB" w:rsidRDefault="004334D2" w:rsidP="00814EEB">
      <w:pPr>
        <w:pStyle w:val="FootnoteText"/>
        <w:keepLines w:val="0"/>
        <w:numPr>
          <w:ilvl w:val="0"/>
          <w:numId w:val="6"/>
        </w:numPr>
        <w:jc w:val="left"/>
        <w:rPr>
          <w:lang w:val="en-US"/>
        </w:rPr>
      </w:pPr>
      <w:r>
        <w:rPr>
          <w:rStyle w:val="FootnoteReference"/>
        </w:rPr>
        <w:footnoteRef/>
      </w:r>
      <w:r>
        <w:tab/>
      </w:r>
      <w:r w:rsidR="00903DA6">
        <w:rPr>
          <w:lang w:val="en-US"/>
        </w:rPr>
        <w:t>See</w:t>
      </w:r>
      <w:r w:rsidR="00814EEB">
        <w:rPr>
          <w:lang w:val="en-US"/>
        </w:rPr>
        <w:t xml:space="preserve"> </w:t>
      </w:r>
      <w:hyperlink r:id="rId12" w:history="1">
        <w:r w:rsidR="00D711CF" w:rsidRPr="00932A1C">
          <w:rPr>
            <w:rStyle w:val="Hyperlink"/>
            <w:lang w:val="en-US"/>
          </w:rPr>
          <w:t>https://www.netl.doe.gov/projects/files/LifeCycleAnalysisofNaturalGasExtractionandPowerGenerationUS2020EmissionsProfile_121724.pdf</w:t>
        </w:r>
      </w:hyperlink>
      <w:r>
        <w:rPr>
          <w:lang w:val="en-US"/>
        </w:rPr>
        <w:t>, accessed on 20 August 2025.</w:t>
      </w:r>
    </w:p>
  </w:footnote>
  <w:footnote w:id="30">
    <w:p w14:paraId="5CED45A4" w14:textId="1C46CB91" w:rsidR="004334D2" w:rsidRDefault="004334D2" w:rsidP="00903DA6">
      <w:pPr>
        <w:pStyle w:val="FootnoteText"/>
        <w:numPr>
          <w:ilvl w:val="0"/>
          <w:numId w:val="6"/>
        </w:numPr>
        <w:jc w:val="left"/>
      </w:pPr>
      <w:r>
        <w:rPr>
          <w:rStyle w:val="FootnoteReference"/>
        </w:rPr>
        <w:footnoteRef/>
      </w:r>
      <w:r>
        <w:rPr>
          <w:lang w:val="en-US"/>
        </w:rPr>
        <w:tab/>
      </w:r>
      <w:r w:rsidR="00903DA6">
        <w:rPr>
          <w:lang w:val="en-US"/>
        </w:rPr>
        <w:t xml:space="preserve">See </w:t>
      </w:r>
      <w:hyperlink r:id="rId13" w:history="1">
        <w:r w:rsidR="00903DA6" w:rsidRPr="00F22861">
          <w:rPr>
            <w:rStyle w:val="Hyperlink"/>
          </w:rPr>
          <w:t>https://www.cat.com/en_US/products/new/power-systems/electric-power/gas-generator-sets/15969826.html</w:t>
        </w:r>
      </w:hyperlink>
      <w:r w:rsidR="0067255A">
        <w:t>.</w:t>
      </w:r>
    </w:p>
  </w:footnote>
  <w:footnote w:id="31">
    <w:p w14:paraId="15957AAC" w14:textId="709A2A39" w:rsidR="004334D2" w:rsidRDefault="004334D2" w:rsidP="00247E9F">
      <w:pPr>
        <w:pStyle w:val="FootnoteText"/>
        <w:numPr>
          <w:ilvl w:val="0"/>
          <w:numId w:val="6"/>
        </w:numPr>
        <w:jc w:val="left"/>
      </w:pPr>
      <w:r>
        <w:rPr>
          <w:rStyle w:val="FootnoteReference"/>
        </w:rPr>
        <w:footnoteRef/>
      </w:r>
      <w:r>
        <w:tab/>
      </w:r>
      <w:r w:rsidR="00903DA6">
        <w:t>See</w:t>
      </w:r>
      <w:r>
        <w:t xml:space="preserve"> </w:t>
      </w:r>
      <w:hyperlink r:id="rId14" w:history="1">
        <w:r w:rsidRPr="008C36FC">
          <w:rPr>
            <w:rStyle w:val="Hyperlink"/>
          </w:rPr>
          <w:t>https://cdn0.scrvt.com/2828ebc457efab95be01dd36047e3b52/8fde0b1cea96b7c1/22e104ceb3e7/Vitomax-HS-Technical-Data.PDF?utm_source=chatgpt.com</w:t>
        </w:r>
      </w:hyperlink>
      <w:r>
        <w:t xml:space="preserve">, accessed on 20 August 2025. Refer to the </w:t>
      </w:r>
      <w:r w:rsidRPr="008C36FC">
        <w:t>dry weight of boiler size G for 10 bar (page 9 of the catalogue)</w:t>
      </w:r>
      <w:r w:rsidR="0067255A">
        <w:t>.</w:t>
      </w:r>
    </w:p>
  </w:footnote>
  <w:footnote w:id="32">
    <w:p w14:paraId="228FE703" w14:textId="305E3A33" w:rsidR="004334D2" w:rsidRDefault="004334D2" w:rsidP="00247E9F">
      <w:pPr>
        <w:pStyle w:val="FootnoteText"/>
        <w:numPr>
          <w:ilvl w:val="0"/>
          <w:numId w:val="6"/>
        </w:numPr>
        <w:jc w:val="left"/>
      </w:pPr>
      <w:r>
        <w:rPr>
          <w:rStyle w:val="FootnoteReference"/>
        </w:rPr>
        <w:footnoteRef/>
      </w:r>
      <w:r>
        <w:tab/>
      </w:r>
      <w:r w:rsidR="00903DA6">
        <w:rPr>
          <w:lang w:val="en-US"/>
        </w:rPr>
        <w:t>See</w:t>
      </w:r>
      <w:r>
        <w:rPr>
          <w:lang w:val="en-US"/>
        </w:rPr>
        <w:t xml:space="preserve"> </w:t>
      </w:r>
      <w:hyperlink r:id="rId15" w:history="1">
        <w:r w:rsidRPr="00E254F7">
          <w:rPr>
            <w:rStyle w:val="Hyperlink"/>
            <w:lang w:val="en-US"/>
          </w:rPr>
          <w:t>https://www.netl.doe.gov/projects/files/LifeCycleAnalysisofNaturalGasExtractionandPowerGenerationUS2020EmissionsProfile_121724.pdf</w:t>
        </w:r>
      </w:hyperlink>
      <w:r>
        <w:rPr>
          <w:lang w:val="en-US"/>
        </w:rPr>
        <w:t>, accessed on 20 August 2025.</w:t>
      </w:r>
    </w:p>
  </w:footnote>
  <w:footnote w:id="33">
    <w:p w14:paraId="059E1F5B" w14:textId="176B621F" w:rsidR="004334D2" w:rsidRDefault="004334D2" w:rsidP="00247E9F">
      <w:pPr>
        <w:pStyle w:val="FootnoteText"/>
        <w:numPr>
          <w:ilvl w:val="0"/>
          <w:numId w:val="6"/>
        </w:numPr>
        <w:jc w:val="left"/>
      </w:pPr>
      <w:r>
        <w:rPr>
          <w:rStyle w:val="FootnoteReference"/>
        </w:rPr>
        <w:footnoteRef/>
      </w:r>
      <w:r>
        <w:rPr>
          <w:lang w:val="en-US"/>
        </w:rPr>
        <w:tab/>
      </w:r>
      <w:r w:rsidRPr="00E06D0C">
        <w:rPr>
          <w:lang w:val="en-US"/>
        </w:rPr>
        <w:t>United Nations Econom</w:t>
      </w:r>
      <w:r w:rsidRPr="00D711CF">
        <w:t>ic Commission for Europe; Life Cycle Assessment of Electricity Generation Options; Geneva, 2021; Available</w:t>
      </w:r>
      <w:r w:rsidRPr="00E66678">
        <w:rPr>
          <w:lang w:val="en-US"/>
        </w:rPr>
        <w:t xml:space="preserve"> at </w:t>
      </w:r>
      <w:hyperlink r:id="rId16" w:history="1">
        <w:r w:rsidRPr="009D786B">
          <w:rPr>
            <w:rStyle w:val="Hyperlink"/>
            <w:lang w:val="en-US"/>
          </w:rPr>
          <w:t>https://unece.org/sed/documents/2021/10/reports/life-cycle-assessment-electricity-generation-options</w:t>
        </w:r>
      </w:hyperlink>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F5A0" w14:textId="79A52CBF" w:rsidR="008011CA" w:rsidRPr="005307EB" w:rsidRDefault="000E1724" w:rsidP="005307EB">
    <w:pPr>
      <w:pStyle w:val="SDMTiHead"/>
      <w:pBdr>
        <w:bottom w:val="single" w:sz="24" w:space="10" w:color="auto"/>
      </w:pBdr>
      <w:tabs>
        <w:tab w:val="clear" w:pos="4320"/>
        <w:tab w:val="clear" w:pos="8640"/>
      </w:tabs>
      <w:spacing w:after="240"/>
      <w:ind w:left="0" w:firstLine="0"/>
      <w:rPr>
        <w:lang w:val="de-DE"/>
      </w:rPr>
    </w:pPr>
    <w:r>
      <w:rPr>
        <w:lang w:val="de-DE"/>
      </w:rPr>
      <w:t xml:space="preserve">article 6.4 </w:t>
    </w:r>
    <w:r w:rsidR="008011CA">
      <w:rPr>
        <w:lang w:val="de-DE"/>
      </w:rPr>
      <w:t>Mechanism</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A5984" w14:textId="77777777" w:rsidR="008011CA" w:rsidRDefault="008011CA"/>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1DAA5" w14:textId="22B0B674" w:rsidR="008011CA" w:rsidRPr="001A7997" w:rsidRDefault="008011CA" w:rsidP="00454CEC">
    <w:pPr>
      <w:pStyle w:val="SDMHeader"/>
    </w:pPr>
    <w:r w:rsidRPr="00454CEC">
      <w:fldChar w:fldCharType="begin"/>
    </w:r>
    <w:r w:rsidRPr="001A7997">
      <w:instrText xml:space="preserve"> REF  SDMDocRef \* Upper \h  \* MERGEFORMAT </w:instrText>
    </w:r>
    <w:r w:rsidRPr="00454CEC">
      <w:fldChar w:fldCharType="separate"/>
    </w:r>
    <w:sdt>
      <w:sdtPr>
        <w:alias w:val="SDMDocRef"/>
        <w:tag w:val="SDMDocRef"/>
        <w:id w:val="467872404"/>
        <w:lock w:val="sdtLocked"/>
        <w:placeholder>
          <w:docPart w:val="81674C74A4814F2F8A282673C47F12EA"/>
        </w:placeholder>
      </w:sdtPr>
      <w:sdtContent>
        <w:r w:rsidR="00302468">
          <w:t>A6.4-AMM-001</w:t>
        </w:r>
      </w:sdtContent>
    </w:sdt>
    <w:r w:rsidRPr="00454CEC">
      <w:fldChar w:fldCharType="end"/>
    </w:r>
    <w:r w:rsidRPr="001A7997">
      <w:tab/>
    </w:r>
    <w:r w:rsidRPr="00454CEC">
      <w:fldChar w:fldCharType="begin"/>
    </w:r>
    <w:r w:rsidRPr="001A7997">
      <w:instrText xml:space="preserve"> REF  SDMConfidentialMark \* Upper \h  \* MERGEFORMAT </w:instrText>
    </w:r>
    <w:r w:rsidRPr="00454CEC">
      <w:fldChar w:fldCharType="separate"/>
    </w:r>
    <w:sdt>
      <w:sdtPr>
        <w:alias w:val="SDMConfidentialMark"/>
        <w:tag w:val="SDMConfidentialMark"/>
        <w:id w:val="-1121838493"/>
        <w:lock w:val="sdtLocked"/>
        <w:placeholder>
          <w:docPart w:val="A87C1F91FAED45E7B27320FEDB8005B4"/>
        </w:placeholder>
        <w:dropDownList>
          <w:listItem w:displayText="Confidential" w:value="Confidential"/>
          <w:listItem w:displayText=" " w:value="  "/>
        </w:dropDownList>
      </w:sdtPr>
      <w:sdtContent>
        <w:r w:rsidR="00302468">
          <w:t xml:space="preserve"> </w:t>
        </w:r>
      </w:sdtContent>
    </w:sdt>
    <w:r w:rsidRPr="00454CEC">
      <w:fldChar w:fldCharType="end"/>
    </w:r>
  </w:p>
  <w:p w14:paraId="4D9DAC9B" w14:textId="02F12847" w:rsidR="008011CA" w:rsidRPr="004639DA" w:rsidRDefault="008011CA" w:rsidP="004639DA">
    <w:pPr>
      <w:pStyle w:val="SDMHeader"/>
    </w:pPr>
    <w:r w:rsidRPr="004639DA">
      <w:fldChar w:fldCharType="begin"/>
    </w:r>
    <w:r w:rsidRPr="004639DA">
      <w:instrText xml:space="preserve"> REF  SDMTitle1 \h  \* MERGEFORMAT </w:instrText>
    </w:r>
    <w:r w:rsidRPr="004639DA">
      <w:fldChar w:fldCharType="separate"/>
    </w:r>
    <w:sdt>
      <w:sdtPr>
        <w:alias w:val="SDMTitle1"/>
        <w:tag w:val="SDMTitle1"/>
        <w:id w:val="-899281129"/>
        <w:lock w:val="sdtLocked"/>
        <w:placeholder>
          <w:docPart w:val="8EDACB43AA9F4343AD31F29EEC12A8D3"/>
        </w:placeholder>
      </w:sdtPr>
      <w:sdtContent>
        <w:sdt>
          <w:sdtPr>
            <w:alias w:val="SDMDocType"/>
            <w:tag w:val="SDMDocType"/>
            <w:id w:val="827243918"/>
            <w:lock w:val="sdtContentLocked"/>
            <w:placeholder>
              <w:docPart w:val="67948CD731014A4EBB9F05E7ADBEB811"/>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302468">
              <w:t xml:space="preserve">Mechanism </w:t>
            </w:r>
            <w:r w:rsidR="00302468" w:rsidRPr="0022484F">
              <w:t>Methodology</w:t>
            </w:r>
          </w:sdtContent>
        </w:sdt>
      </w:sdtContent>
    </w:sdt>
    <w:r w:rsidRPr="004639DA">
      <w:fldChar w:fldCharType="end"/>
    </w:r>
    <w:r w:rsidRPr="004639DA">
      <w:t xml:space="preserve">: </w:t>
    </w:r>
    <w:r w:rsidRPr="004639DA">
      <w:fldChar w:fldCharType="begin"/>
    </w:r>
    <w:r w:rsidRPr="004639DA">
      <w:instrText xml:space="preserve"> REF  SDMTitle2 \h  \* MERGEFORMAT </w:instrText>
    </w:r>
    <w:r w:rsidRPr="004639DA">
      <w:fldChar w:fldCharType="separate"/>
    </w:r>
    <w:sdt>
      <w:sdtPr>
        <w:alias w:val="SDMTitle2"/>
        <w:tag w:val="SDMTitle2"/>
        <w:id w:val="-600103096"/>
        <w:lock w:val="sdtLocked"/>
        <w:placeholder>
          <w:docPart w:val="8EF28E9250784A69AB7427EF32F2B2D8"/>
        </w:placeholder>
      </w:sdtPr>
      <w:sdtEndPr>
        <w:rPr>
          <w:lang w:val="de-DE"/>
        </w:rPr>
      </w:sdtEndPr>
      <w:sdtContent>
        <w:r w:rsidR="00302468" w:rsidRPr="00302468">
          <w:t xml:space="preserve">Flaring or </w:t>
        </w:r>
        <w:r w:rsidR="00302468">
          <w:t>use of landfill gas</w:t>
        </w:r>
      </w:sdtContent>
    </w:sdt>
    <w:r w:rsidRPr="004639DA">
      <w:fldChar w:fldCharType="end"/>
    </w:r>
  </w:p>
  <w:p w14:paraId="34F386C9" w14:textId="56143D63" w:rsidR="008011CA" w:rsidRDefault="008011CA" w:rsidP="00454CEC">
    <w:pPr>
      <w:pStyle w:val="SDMHeader"/>
    </w:pPr>
    <w:r w:rsidRPr="00454CEC">
      <w:fldChar w:fldCharType="begin"/>
    </w:r>
    <w:r w:rsidRPr="00454CEC">
      <w:instrText xml:space="preserve"> REF  SDMDocVerLab \h  \* MERGEFORMAT </w:instrText>
    </w:r>
    <w:r w:rsidRPr="00454CEC">
      <w:fldChar w:fldCharType="separate"/>
    </w:r>
    <w:sdt>
      <w:sdtPr>
        <w:alias w:val="SDMDocVersionLabel"/>
        <w:tag w:val="SDMDocVersionLabel"/>
        <w:id w:val="37329520"/>
        <w:lock w:val="sdtLocked"/>
        <w:placeholder>
          <w:docPart w:val="7DA063DD16A347BDB9DF8920848732D9"/>
        </w:placeholder>
      </w:sdtPr>
      <w:sdtContent>
        <w:r w:rsidR="00302468" w:rsidRPr="00152FB5">
          <w:t>Version</w:t>
        </w:r>
        <w:r w:rsidR="00302468">
          <w:t xml:space="preserve"> </w:t>
        </w:r>
      </w:sdtContent>
    </w:sdt>
    <w:r w:rsidRPr="00454CEC">
      <w:fldChar w:fldCharType="end"/>
    </w:r>
    <w:r w:rsidRPr="00454CEC">
      <w:fldChar w:fldCharType="begin"/>
    </w:r>
    <w:r w:rsidRPr="00454CEC">
      <w:instrText xml:space="preserve"> REF  SDMDocVer \h  \* MERGEFORMAT </w:instrText>
    </w:r>
    <w:r w:rsidRPr="00454CEC">
      <w:fldChar w:fldCharType="separate"/>
    </w:r>
    <w:r w:rsidR="00302468">
      <w:t>01.0</w:t>
    </w:r>
    <w:r w:rsidRPr="00454CEC">
      <w:fldChar w:fldCharType="end"/>
    </w:r>
  </w:p>
  <w:p w14:paraId="7D869AA4" w14:textId="1871BFE0" w:rsidR="008011CA" w:rsidRPr="00454CEC" w:rsidRDefault="008011CA" w:rsidP="00454CEC">
    <w:pPr>
      <w:pStyle w:val="SDMHeader"/>
    </w:pPr>
    <w:r>
      <w:fldChar w:fldCharType="begin"/>
    </w:r>
    <w:r>
      <w:instrText xml:space="preserve"> REF SDMSectoralScopeLab \h </w:instrText>
    </w:r>
    <w:r>
      <w:fldChar w:fldCharType="separate"/>
    </w:r>
    <w:sdt>
      <w:sdtPr>
        <w:alias w:val="SDMSectoralScopeLabel"/>
        <w:tag w:val="SDMSectoralScopeLabel"/>
        <w:id w:val="-1255282110"/>
        <w:placeholder>
          <w:docPart w:val="99C6C991C029490B817A296C6DA050EB"/>
        </w:placeholder>
      </w:sdtPr>
      <w:sdtContent>
        <w:r w:rsidR="00302468">
          <w:t xml:space="preserve">Sectoral scope(s): </w:t>
        </w:r>
      </w:sdtContent>
    </w:sdt>
    <w:r>
      <w:fldChar w:fldCharType="end"/>
    </w:r>
    <w:r>
      <w:fldChar w:fldCharType="begin"/>
    </w:r>
    <w:r>
      <w:instrText xml:space="preserve"> REF SDMSectoralScope \h </w:instrText>
    </w:r>
    <w:r>
      <w:fldChar w:fldCharType="separate"/>
    </w:r>
    <w:sdt>
      <w:sdtPr>
        <w:alias w:val="SDMSectoralScope"/>
        <w:tag w:val="SDMSectoralScope"/>
        <w:id w:val="384772534"/>
        <w:placeholder>
          <w:docPart w:val="8C99AF900A9C48EF9142F7A36620C6E4"/>
        </w:placeholder>
      </w:sdtPr>
      <w:sdtContent>
        <w:r w:rsidR="00302468">
          <w:t>01 and 13</w:t>
        </w:r>
      </w:sdtContent>
    </w:sdt>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550D" w14:textId="77777777" w:rsidR="008011CA" w:rsidRPr="00B5677C" w:rsidRDefault="008011CA" w:rsidP="00B567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CB21B" w14:textId="092F7779" w:rsidR="004334D2" w:rsidRDefault="004334D2">
    <w:pPr>
      <w:numPr>
        <w:ilvl w:val="5"/>
        <w:numId w:val="0"/>
      </w:numPr>
    </w:pPr>
    <w:r>
      <w:rPr>
        <w:noProof/>
      </w:rPr>
      <mc:AlternateContent>
        <mc:Choice Requires="wps">
          <w:drawing>
            <wp:anchor distT="0" distB="0" distL="114300" distR="114300" simplePos="0" relativeHeight="251660288" behindDoc="1" locked="0" layoutInCell="0" allowOverlap="1" wp14:anchorId="7C0DB4B4" wp14:editId="499D839C">
              <wp:simplePos x="0" y="0"/>
              <wp:positionH relativeFrom="margin">
                <wp:align>center</wp:align>
              </wp:positionH>
              <wp:positionV relativeFrom="margin">
                <wp:align>center</wp:align>
              </wp:positionV>
              <wp:extent cx="1676400" cy="571500"/>
              <wp:effectExtent l="0" t="0" r="0" b="0"/>
              <wp:wrapNone/>
              <wp:docPr id="11539586" name="WordArt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76400" cy="571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CCB15" w14:textId="77777777" w:rsidR="004334D2" w:rsidRDefault="004334D2" w:rsidP="00E06D0C">
                          <w:pPr>
                            <w:jc w:val="center"/>
                            <w:rPr>
                              <w:rFonts w:cs="Arial"/>
                              <w:color w:val="C0C0C0"/>
                              <w:sz w:val="53"/>
                              <w:szCs w:val="53"/>
                              <w:lang w:val="en-US"/>
                              <w14:textFill>
                                <w14:solidFill>
                                  <w14:srgbClr w14:val="C0C0C0">
                                    <w14:alpha w14:val="50000"/>
                                  </w14:srgbClr>
                                </w14:solidFill>
                              </w14:textFill>
                            </w:rPr>
                          </w:pPr>
                          <w:r>
                            <w:rPr>
                              <w:rFonts w:cs="Arial"/>
                              <w:color w:val="C0C0C0"/>
                              <w:sz w:val="53"/>
                              <w:szCs w:val="53"/>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C0DB4B4" id="_x0000_t202" coordsize="21600,21600" o:spt="202" path="m,l,21600r21600,l21600,xe">
              <v:stroke joinstyle="miter"/>
              <v:path gradientshapeok="t" o:connecttype="rect"/>
            </v:shapetype>
            <v:shape id="WordArt 68" o:spid="_x0000_s1026" type="#_x0000_t202" style="position:absolute;left:0;text-align:left;margin-left:0;margin-top:0;width:132pt;height:45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" o:allowincell="f" filled="f" stroked="f">
              <v:stroke joinstyle="round"/>
              <o:lock v:ext="edit" aspectratio="t" verticies="t" shapetype="t"/>
              <v:textbox>
                <w:txbxContent>
                  <w:p w14:paraId="376CCB15" w14:textId="77777777" w:rsidR="004334D2" w:rsidRDefault="004334D2" w:rsidP="00E06D0C">
                    <w:pPr>
                      <w:jc w:val="center"/>
                      <w:rPr>
                        <w:rFonts w:cs="Arial"/>
                        <w:color w:val="C0C0C0"/>
                        <w:sz w:val="53"/>
                        <w:szCs w:val="53"/>
                        <w:lang w:val="en-US"/>
                        <w14:textFill>
                          <w14:solidFill>
                            <w14:srgbClr w14:val="C0C0C0">
                              <w14:alpha w14:val="50000"/>
                            </w14:srgbClr>
                          </w14:solidFill>
                        </w14:textFill>
                      </w:rPr>
                    </w:pPr>
                    <w:r>
                      <w:rPr>
                        <w:rFonts w:cs="Arial"/>
                        <w:color w:val="C0C0C0"/>
                        <w:sz w:val="53"/>
                        <w:szCs w:val="53"/>
                        <w:lang w:val="en-US"/>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390D" w14:textId="0BEF2A98" w:rsidR="006F1E79" w:rsidRPr="00257FD8" w:rsidRDefault="006F1E79" w:rsidP="002C74F2">
    <w:pPr>
      <w:pStyle w:val="SDMHeader"/>
    </w:pPr>
    <w:r w:rsidRPr="00257FD8">
      <w:fldChar w:fldCharType="begin"/>
    </w:r>
    <w:r w:rsidRPr="00257FD8">
      <w:instrText xml:space="preserve"> REF  SDMDocRef \* Upper \h  \* MERGEFORMAT </w:instrText>
    </w:r>
    <w:r w:rsidRPr="00257FD8">
      <w:fldChar w:fldCharType="separate"/>
    </w:r>
    <w:sdt>
      <w:sdtPr>
        <w:alias w:val="SDMDocRef"/>
        <w:tag w:val="SDMDocRef"/>
        <w:id w:val="987371421"/>
        <w:lock w:val="sdtLocked"/>
        <w:placeholder>
          <w:docPart w:val="2245304C602A4013AD970581FDE5B9BA"/>
        </w:placeholder>
      </w:sdtPr>
      <w:sdtContent>
        <w:r w:rsidR="00302468">
          <w:t>A6.4-AMM-001</w:t>
        </w:r>
      </w:sdtContent>
    </w:sdt>
    <w:r w:rsidRPr="00257FD8">
      <w:fldChar w:fldCharType="end"/>
    </w:r>
    <w:r w:rsidRPr="00257FD8">
      <w:tab/>
    </w:r>
    <w:r w:rsidRPr="00257FD8">
      <w:fldChar w:fldCharType="begin"/>
    </w:r>
    <w:r w:rsidRPr="00257FD8">
      <w:instrText xml:space="preserve"> REF  SDMConfidentialMark \* Upper \h  \* MERGEFORMAT </w:instrText>
    </w:r>
    <w:r w:rsidRPr="00257FD8">
      <w:fldChar w:fldCharType="separate"/>
    </w:r>
    <w:sdt>
      <w:sdtPr>
        <w:alias w:val="SDMConfidentialMark"/>
        <w:tag w:val="SDMConfidentialMark"/>
        <w:id w:val="125444783"/>
        <w:lock w:val="sdtLocked"/>
        <w:placeholder>
          <w:docPart w:val="15672F0FB3684B0E8FB904248AC16AD3"/>
        </w:placeholder>
        <w:dropDownList>
          <w:listItem w:displayText="Confidential" w:value="Confidential"/>
          <w:listItem w:displayText=" " w:value="  "/>
        </w:dropDownList>
      </w:sdtPr>
      <w:sdtContent>
        <w:r w:rsidR="00302468">
          <w:t xml:space="preserve"> </w:t>
        </w:r>
      </w:sdtContent>
    </w:sdt>
    <w:r w:rsidRPr="00257FD8">
      <w:fldChar w:fldCharType="end"/>
    </w:r>
  </w:p>
  <w:p w14:paraId="68BA7AAB" w14:textId="794694AD" w:rsidR="006F1E79" w:rsidRPr="00257FD8" w:rsidRDefault="006F1E79" w:rsidP="002C74F2">
    <w:pPr>
      <w:pStyle w:val="SDMHeader"/>
    </w:pPr>
    <w:r w:rsidRPr="00257FD8">
      <w:fldChar w:fldCharType="begin"/>
    </w:r>
    <w:r w:rsidRPr="00257FD8">
      <w:instrText xml:space="preserve"> REF  SDMTitle1 \h  \* MERGEFORMAT </w:instrText>
    </w:r>
    <w:r w:rsidRPr="00257FD8">
      <w:fldChar w:fldCharType="separate"/>
    </w:r>
    <w:sdt>
      <w:sdtPr>
        <w:alias w:val="SDMTitle1"/>
        <w:tag w:val="SDMTitle1"/>
        <w:id w:val="-68813571"/>
        <w:lock w:val="sdtLocked"/>
        <w:placeholder>
          <w:docPart w:val="CDBA9E250049418788130B586EA8E1D3"/>
        </w:placeholder>
      </w:sdtPr>
      <w:sdtContent>
        <w:sdt>
          <w:sdtPr>
            <w:alias w:val="SDMDocType"/>
            <w:tag w:val="SDMDocType"/>
            <w:id w:val="-338700929"/>
            <w:lock w:val="sdtContentLocked"/>
            <w:placeholder>
              <w:docPart w:val="96D290DD758C47048C5E3BD7F8E95BB8"/>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302468">
              <w:t xml:space="preserve">Mechanism </w:t>
            </w:r>
            <w:r w:rsidR="00302468" w:rsidRPr="0022484F">
              <w:t>Methodology</w:t>
            </w:r>
          </w:sdtContent>
        </w:sdt>
      </w:sdtContent>
    </w:sdt>
    <w:r w:rsidRPr="00257FD8">
      <w:fldChar w:fldCharType="end"/>
    </w:r>
    <w:r w:rsidRPr="00257FD8">
      <w:t xml:space="preserve">: </w:t>
    </w:r>
    <w:r w:rsidRPr="00257FD8">
      <w:fldChar w:fldCharType="begin"/>
    </w:r>
    <w:r w:rsidRPr="00257FD8">
      <w:instrText xml:space="preserve"> REF  SDMTitle2 \h  \* MERGEFORMAT </w:instrText>
    </w:r>
    <w:r w:rsidRPr="00257FD8">
      <w:fldChar w:fldCharType="separate"/>
    </w:r>
    <w:sdt>
      <w:sdtPr>
        <w:alias w:val="SDMTitle2"/>
        <w:tag w:val="SDMTitle2"/>
        <w:id w:val="-257752621"/>
        <w:lock w:val="sdtLocked"/>
        <w:placeholder>
          <w:docPart w:val="DCBBD265982E493C8F1AFD9EB8B0DC51"/>
        </w:placeholder>
      </w:sdtPr>
      <w:sdtEndPr>
        <w:rPr>
          <w:lang w:val="de-DE"/>
        </w:rPr>
      </w:sdtEndPr>
      <w:sdtContent>
        <w:r w:rsidR="00302468" w:rsidRPr="00302468">
          <w:t xml:space="preserve">Flaring or </w:t>
        </w:r>
        <w:r w:rsidR="00302468">
          <w:t>use of</w:t>
        </w:r>
        <w:r w:rsidR="00302468" w:rsidRPr="00302468">
          <w:rPr>
            <w:lang w:val="en-US"/>
          </w:rPr>
          <w:t xml:space="preserve"> </w:t>
        </w:r>
        <w:r w:rsidR="00302468">
          <w:t>landfill gas</w:t>
        </w:r>
      </w:sdtContent>
    </w:sdt>
    <w:r w:rsidRPr="00257FD8">
      <w:fldChar w:fldCharType="end"/>
    </w:r>
  </w:p>
  <w:p w14:paraId="5500CEE2" w14:textId="44BB2246" w:rsidR="006F1E79" w:rsidRPr="00257FD8" w:rsidRDefault="006F1E79" w:rsidP="002C74F2">
    <w:pPr>
      <w:pStyle w:val="SDMHeader"/>
    </w:pPr>
    <w:r w:rsidRPr="00257FD8">
      <w:fldChar w:fldCharType="begin"/>
    </w:r>
    <w:r w:rsidRPr="00257FD8">
      <w:instrText xml:space="preserve"> REF  SDMDocVerLab \h  \* MERGEFORMAT </w:instrText>
    </w:r>
    <w:r w:rsidRPr="00257FD8">
      <w:fldChar w:fldCharType="separate"/>
    </w:r>
    <w:sdt>
      <w:sdtPr>
        <w:alias w:val="SDMDocVersionLabel"/>
        <w:tag w:val="SDMDocVersionLabel"/>
        <w:id w:val="932868858"/>
        <w:lock w:val="sdtLocked"/>
        <w:placeholder>
          <w:docPart w:val="26D1C753CDA0443A8A3406353C08E60C"/>
        </w:placeholder>
      </w:sdtPr>
      <w:sdtContent>
        <w:r w:rsidR="00302468" w:rsidRPr="00152FB5">
          <w:t>Version</w:t>
        </w:r>
        <w:r w:rsidR="00302468">
          <w:t xml:space="preserve"> </w:t>
        </w:r>
      </w:sdtContent>
    </w:sdt>
    <w:r w:rsidRPr="00257FD8">
      <w:fldChar w:fldCharType="end"/>
    </w:r>
    <w:r w:rsidRPr="00257FD8">
      <w:fldChar w:fldCharType="begin"/>
    </w:r>
    <w:r w:rsidRPr="00257FD8">
      <w:instrText xml:space="preserve"> REF  SDMDocVer \h  \* MERGEFORMAT </w:instrText>
    </w:r>
    <w:r w:rsidRPr="00257FD8">
      <w:fldChar w:fldCharType="separate"/>
    </w:r>
    <w:r w:rsidR="00302468">
      <w:t>01.0</w:t>
    </w:r>
    <w:r w:rsidRPr="00257FD8">
      <w:fldChar w:fldCharType="end"/>
    </w:r>
  </w:p>
  <w:p w14:paraId="1B0D88FF" w14:textId="569E008D" w:rsidR="006F1E79" w:rsidRPr="00257FD8" w:rsidRDefault="006F1E79" w:rsidP="002C74F2">
    <w:pPr>
      <w:pStyle w:val="SDMHeader"/>
    </w:pPr>
    <w:r w:rsidRPr="00257FD8">
      <w:fldChar w:fldCharType="begin"/>
    </w:r>
    <w:r w:rsidRPr="00257FD8">
      <w:instrText xml:space="preserve"> REF SDMSectoralScopeLab \h  \* MERGEFORMAT </w:instrText>
    </w:r>
    <w:r w:rsidRPr="00257FD8">
      <w:fldChar w:fldCharType="separate"/>
    </w:r>
    <w:sdt>
      <w:sdtPr>
        <w:alias w:val="SDMSectoralScopeLabel"/>
        <w:tag w:val="SDMSectoralScopeLabel"/>
        <w:id w:val="48895339"/>
        <w:placeholder>
          <w:docPart w:val="3E79C0478D3A4CFDABED0C5C33AE1C77"/>
        </w:placeholder>
      </w:sdtPr>
      <w:sdtContent>
        <w:r w:rsidR="00302468">
          <w:t xml:space="preserve">Sectoral scope(s): </w:t>
        </w:r>
      </w:sdtContent>
    </w:sdt>
    <w:r w:rsidRPr="00257FD8">
      <w:fldChar w:fldCharType="end"/>
    </w:r>
    <w:r w:rsidRPr="00257FD8">
      <w:fldChar w:fldCharType="begin"/>
    </w:r>
    <w:r w:rsidRPr="00257FD8">
      <w:instrText xml:space="preserve"> REF SDMSectoralScope \h  \* MERGEFORMAT </w:instrText>
    </w:r>
    <w:r w:rsidRPr="00257FD8">
      <w:fldChar w:fldCharType="separate"/>
    </w:r>
    <w:sdt>
      <w:sdtPr>
        <w:alias w:val="SDMSectoralScope"/>
        <w:tag w:val="SDMSectoralScope"/>
        <w:id w:val="-450168178"/>
        <w:placeholder>
          <w:docPart w:val="27365F19CF3349E5989ACDF980212F16"/>
        </w:placeholder>
      </w:sdtPr>
      <w:sdtContent>
        <w:r w:rsidR="00302468">
          <w:t>01 and 13</w:t>
        </w:r>
      </w:sdtContent>
    </w:sdt>
    <w:r w:rsidRPr="00257FD8">
      <w:fldChar w:fldCharType="end"/>
    </w:r>
  </w:p>
  <w:p w14:paraId="177FC442" w14:textId="2F9F56C9" w:rsidR="00CF141D" w:rsidRPr="006F1E79" w:rsidRDefault="00CF141D" w:rsidP="006F1E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9C96D" w14:textId="77777777" w:rsidR="004334D2" w:rsidRPr="00B5677C" w:rsidRDefault="004334D2" w:rsidP="003944B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25209" w14:textId="314B345D" w:rsidR="006F1E79" w:rsidRPr="00257FD8" w:rsidRDefault="006F1E79" w:rsidP="002C74F2">
    <w:pPr>
      <w:pStyle w:val="SDMHeader"/>
    </w:pPr>
    <w:r w:rsidRPr="00257FD8">
      <w:fldChar w:fldCharType="begin"/>
    </w:r>
    <w:r w:rsidRPr="00257FD8">
      <w:instrText xml:space="preserve"> REF  SDMDocRef \* Upper \h  \* MERGEFORMAT </w:instrText>
    </w:r>
    <w:r w:rsidRPr="00257FD8">
      <w:fldChar w:fldCharType="separate"/>
    </w:r>
    <w:sdt>
      <w:sdtPr>
        <w:alias w:val="SDMDocRef"/>
        <w:tag w:val="SDMDocRef"/>
        <w:id w:val="-322054983"/>
        <w:lock w:val="sdtLocked"/>
        <w:placeholder>
          <w:docPart w:val="B5395ABDC23B4252BD4E0465E0B735B4"/>
        </w:placeholder>
      </w:sdtPr>
      <w:sdtContent>
        <w:r w:rsidR="00302468">
          <w:t>A6.4-AMM-001</w:t>
        </w:r>
      </w:sdtContent>
    </w:sdt>
    <w:r w:rsidRPr="00257FD8">
      <w:fldChar w:fldCharType="end"/>
    </w:r>
    <w:r w:rsidRPr="00257FD8">
      <w:tab/>
    </w:r>
    <w:r w:rsidRPr="00257FD8">
      <w:fldChar w:fldCharType="begin"/>
    </w:r>
    <w:r w:rsidRPr="00257FD8">
      <w:instrText xml:space="preserve"> REF  SDMConfidentialMark \* Upper \h  \* MERGEFORMAT </w:instrText>
    </w:r>
    <w:r w:rsidRPr="00257FD8">
      <w:fldChar w:fldCharType="separate"/>
    </w:r>
    <w:sdt>
      <w:sdtPr>
        <w:alias w:val="SDMConfidentialMark"/>
        <w:tag w:val="SDMConfidentialMark"/>
        <w:id w:val="361555152"/>
        <w:lock w:val="sdtLocked"/>
        <w:placeholder>
          <w:docPart w:val="8138E8CCE36E405D8400B4670C245540"/>
        </w:placeholder>
        <w:dropDownList>
          <w:listItem w:displayText="Confidential" w:value="Confidential"/>
          <w:listItem w:displayText=" " w:value="  "/>
        </w:dropDownList>
      </w:sdtPr>
      <w:sdtContent>
        <w:r w:rsidR="00302468">
          <w:t xml:space="preserve"> </w:t>
        </w:r>
      </w:sdtContent>
    </w:sdt>
    <w:r w:rsidRPr="00257FD8">
      <w:fldChar w:fldCharType="end"/>
    </w:r>
  </w:p>
  <w:p w14:paraId="6BD2099F" w14:textId="13FC1655" w:rsidR="006F1E79" w:rsidRPr="00257FD8" w:rsidRDefault="006F1E79" w:rsidP="002C74F2">
    <w:pPr>
      <w:pStyle w:val="SDMHeader"/>
    </w:pPr>
    <w:r w:rsidRPr="00257FD8">
      <w:fldChar w:fldCharType="begin"/>
    </w:r>
    <w:r w:rsidRPr="00257FD8">
      <w:instrText xml:space="preserve"> REF  SDMTitle1 \h  \* MERGEFORMAT </w:instrText>
    </w:r>
    <w:r w:rsidRPr="00257FD8">
      <w:fldChar w:fldCharType="separate"/>
    </w:r>
    <w:sdt>
      <w:sdtPr>
        <w:alias w:val="SDMTitle1"/>
        <w:tag w:val="SDMTitle1"/>
        <w:id w:val="-1859183046"/>
        <w:lock w:val="sdtLocked"/>
        <w:placeholder>
          <w:docPart w:val="C7174DE700544100B2DD855B355C9CB4"/>
        </w:placeholder>
      </w:sdtPr>
      <w:sdtContent>
        <w:sdt>
          <w:sdtPr>
            <w:alias w:val="SDMDocType"/>
            <w:tag w:val="SDMDocType"/>
            <w:id w:val="-226537065"/>
            <w:lock w:val="sdtContentLocked"/>
            <w:placeholder>
              <w:docPart w:val="BAC279821CA249468518131A79D8DA64"/>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302468">
              <w:t xml:space="preserve">Mechanism </w:t>
            </w:r>
            <w:r w:rsidR="00302468" w:rsidRPr="0022484F">
              <w:t>Methodology</w:t>
            </w:r>
          </w:sdtContent>
        </w:sdt>
      </w:sdtContent>
    </w:sdt>
    <w:r w:rsidRPr="00257FD8">
      <w:fldChar w:fldCharType="end"/>
    </w:r>
    <w:r w:rsidRPr="00257FD8">
      <w:t xml:space="preserve">: </w:t>
    </w:r>
    <w:r w:rsidRPr="00257FD8">
      <w:fldChar w:fldCharType="begin"/>
    </w:r>
    <w:r w:rsidRPr="00257FD8">
      <w:instrText xml:space="preserve"> REF  SDMTitle2 \h  \* MERGEFORMAT </w:instrText>
    </w:r>
    <w:r w:rsidRPr="00257FD8">
      <w:fldChar w:fldCharType="separate"/>
    </w:r>
    <w:sdt>
      <w:sdtPr>
        <w:alias w:val="SDMTitle2"/>
        <w:tag w:val="SDMTitle2"/>
        <w:id w:val="1337883450"/>
        <w:lock w:val="sdtLocked"/>
        <w:placeholder>
          <w:docPart w:val="DD2203224B454A25A4E57F5AAF604D9E"/>
        </w:placeholder>
      </w:sdtPr>
      <w:sdtEndPr>
        <w:rPr>
          <w:lang w:val="de-DE"/>
        </w:rPr>
      </w:sdtEndPr>
      <w:sdtContent>
        <w:r w:rsidR="00302468" w:rsidRPr="00302468">
          <w:t xml:space="preserve">Flaring or </w:t>
        </w:r>
        <w:r w:rsidR="00302468">
          <w:t>use of</w:t>
        </w:r>
        <w:r w:rsidR="00302468" w:rsidRPr="00302468">
          <w:rPr>
            <w:lang w:val="en-US"/>
          </w:rPr>
          <w:t xml:space="preserve"> </w:t>
        </w:r>
        <w:r w:rsidR="00302468">
          <w:t>landfill gas</w:t>
        </w:r>
      </w:sdtContent>
    </w:sdt>
    <w:r w:rsidRPr="00257FD8">
      <w:fldChar w:fldCharType="end"/>
    </w:r>
  </w:p>
  <w:p w14:paraId="73C7F73E" w14:textId="7F2C39AF" w:rsidR="006F1E79" w:rsidRPr="00257FD8" w:rsidRDefault="006F1E79" w:rsidP="002C74F2">
    <w:pPr>
      <w:pStyle w:val="SDMHeader"/>
    </w:pPr>
    <w:r w:rsidRPr="00257FD8">
      <w:fldChar w:fldCharType="begin"/>
    </w:r>
    <w:r w:rsidRPr="00257FD8">
      <w:instrText xml:space="preserve"> REF  SDMDocVerLab \h  \* MERGEFORMAT </w:instrText>
    </w:r>
    <w:r w:rsidRPr="00257FD8">
      <w:fldChar w:fldCharType="separate"/>
    </w:r>
    <w:sdt>
      <w:sdtPr>
        <w:alias w:val="SDMDocVersionLabel"/>
        <w:tag w:val="SDMDocVersionLabel"/>
        <w:id w:val="-1308083608"/>
        <w:lock w:val="sdtLocked"/>
        <w:placeholder>
          <w:docPart w:val="E96B210430C2426DABF216C2D4FB6766"/>
        </w:placeholder>
      </w:sdtPr>
      <w:sdtContent>
        <w:r w:rsidR="00302468" w:rsidRPr="00152FB5">
          <w:t>Version</w:t>
        </w:r>
        <w:r w:rsidR="00302468">
          <w:t xml:space="preserve"> </w:t>
        </w:r>
      </w:sdtContent>
    </w:sdt>
    <w:r w:rsidRPr="00257FD8">
      <w:fldChar w:fldCharType="end"/>
    </w:r>
    <w:r w:rsidRPr="00257FD8">
      <w:fldChar w:fldCharType="begin"/>
    </w:r>
    <w:r w:rsidRPr="00257FD8">
      <w:instrText xml:space="preserve"> REF  SDMDocVer \h  \* MERGEFORMAT </w:instrText>
    </w:r>
    <w:r w:rsidRPr="00257FD8">
      <w:fldChar w:fldCharType="separate"/>
    </w:r>
    <w:r w:rsidR="00302468">
      <w:t>01.0</w:t>
    </w:r>
    <w:r w:rsidRPr="00257FD8">
      <w:fldChar w:fldCharType="end"/>
    </w:r>
  </w:p>
  <w:p w14:paraId="596507AC" w14:textId="3DDCCEC3" w:rsidR="006F1E79" w:rsidRPr="00257FD8" w:rsidRDefault="006F1E79" w:rsidP="006F1E79">
    <w:pPr>
      <w:pStyle w:val="SDMHeader"/>
    </w:pPr>
    <w:r w:rsidRPr="00257FD8">
      <w:fldChar w:fldCharType="begin"/>
    </w:r>
    <w:r w:rsidRPr="00257FD8">
      <w:instrText xml:space="preserve"> REF SDMSectoralScopeLab \h  \* MERGEFORMAT </w:instrText>
    </w:r>
    <w:r w:rsidRPr="00257FD8">
      <w:fldChar w:fldCharType="separate"/>
    </w:r>
    <w:sdt>
      <w:sdtPr>
        <w:alias w:val="SDMSectoralScopeLabel"/>
        <w:tag w:val="SDMSectoralScopeLabel"/>
        <w:id w:val="1193038354"/>
        <w:placeholder>
          <w:docPart w:val="25D1F9D9E8C6458E8C99ABC9896B5528"/>
        </w:placeholder>
      </w:sdtPr>
      <w:sdtContent>
        <w:r w:rsidR="00302468">
          <w:t xml:space="preserve">Sectoral scope(s): </w:t>
        </w:r>
      </w:sdtContent>
    </w:sdt>
    <w:r w:rsidRPr="00257FD8">
      <w:fldChar w:fldCharType="end"/>
    </w:r>
    <w:r w:rsidRPr="00257FD8">
      <w:fldChar w:fldCharType="begin"/>
    </w:r>
    <w:r w:rsidRPr="00257FD8">
      <w:instrText xml:space="preserve"> REF SDMSectoralScope \h  \* MERGEFORMAT </w:instrText>
    </w:r>
    <w:r w:rsidRPr="00257FD8">
      <w:fldChar w:fldCharType="separate"/>
    </w:r>
    <w:sdt>
      <w:sdtPr>
        <w:alias w:val="SDMSectoralScope"/>
        <w:tag w:val="SDMSectoralScope"/>
        <w:id w:val="173625820"/>
        <w:placeholder>
          <w:docPart w:val="11768F9306D14B0EA2811BFBF216F683"/>
        </w:placeholder>
      </w:sdtPr>
      <w:sdtContent>
        <w:r w:rsidR="00302468">
          <w:t>01 and 13</w:t>
        </w:r>
      </w:sdtContent>
    </w:sdt>
    <w:r w:rsidRPr="00257FD8">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49ED" w14:textId="77777777" w:rsidR="004321E1" w:rsidRDefault="004334D2">
    <w:pPr>
      <w:pStyle w:val="Header"/>
    </w:pPr>
    <w:r>
      <w:rPr>
        <w:noProof/>
      </w:rPr>
      <mc:AlternateContent>
        <mc:Choice Requires="wps">
          <w:drawing>
            <wp:anchor distT="0" distB="0" distL="114300" distR="114300" simplePos="0" relativeHeight="251657216" behindDoc="1" locked="0" layoutInCell="0" allowOverlap="1" wp14:anchorId="7C0DB4B4" wp14:editId="499D839C">
              <wp:simplePos x="0" y="0"/>
              <wp:positionH relativeFrom="margin">
                <wp:align>center</wp:align>
              </wp:positionH>
              <wp:positionV relativeFrom="margin">
                <wp:align>center</wp:align>
              </wp:positionV>
              <wp:extent cx="1676400" cy="571500"/>
              <wp:effectExtent l="0" t="0" r="0" b="0"/>
              <wp:wrapNone/>
              <wp:docPr id="321348615" name="WordArt 6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1676400" cy="571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E5E68B" w14:textId="77777777" w:rsidR="004334D2" w:rsidRDefault="004334D2" w:rsidP="00E06D0C">
                          <w:pPr>
                            <w:jc w:val="center"/>
                            <w:rPr>
                              <w:rFonts w:cs="Arial"/>
                              <w:color w:val="C0C0C0"/>
                              <w:sz w:val="53"/>
                              <w:szCs w:val="53"/>
                              <w:lang w:val="en-US"/>
                              <w14:textFill>
                                <w14:solidFill>
                                  <w14:srgbClr w14:val="C0C0C0">
                                    <w14:alpha w14:val="50000"/>
                                  </w14:srgbClr>
                                </w14:solidFill>
                              </w14:textFill>
                            </w:rPr>
                          </w:pPr>
                          <w:r>
                            <w:rPr>
                              <w:rFonts w:cs="Arial"/>
                              <w:color w:val="C0C0C0"/>
                              <w:sz w:val="53"/>
                              <w:szCs w:val="53"/>
                              <w:lang w:val="en-US"/>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C0DB4B4" id="_x0000_t202" coordsize="21600,21600" o:spt="202" path="m,l,21600r21600,l21600,xe">
              <v:stroke joinstyle="miter"/>
              <v:path gradientshapeok="t" o:connecttype="rect"/>
            </v:shapetype>
            <v:shape id="_x0000_s1027" type="#_x0000_t202" style="position:absolute;left:0;text-align:left;margin-left:0;margin-top:0;width:132pt;height:4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" o:allowincell="f" filled="f" stroked="f">
              <v:stroke joinstyle="round"/>
              <o:lock v:ext="edit" aspectratio="t" verticies="t" shapetype="t"/>
              <v:textbox>
                <w:txbxContent>
                  <w:p w14:paraId="10E5E68B" w14:textId="77777777" w:rsidR="004334D2" w:rsidRDefault="004334D2" w:rsidP="00E06D0C">
                    <w:pPr>
                      <w:jc w:val="center"/>
                      <w:rPr>
                        <w:rFonts w:cs="Arial"/>
                        <w:color w:val="C0C0C0"/>
                        <w:sz w:val="53"/>
                        <w:szCs w:val="53"/>
                        <w:lang w:val="en-US"/>
                        <w14:textFill>
                          <w14:solidFill>
                            <w14:srgbClr w14:val="C0C0C0">
                              <w14:alpha w14:val="50000"/>
                            </w14:srgbClr>
                          </w14:solidFill>
                        </w14:textFill>
                      </w:rPr>
                    </w:pPr>
                    <w:r>
                      <w:rPr>
                        <w:rFonts w:cs="Arial"/>
                        <w:color w:val="C0C0C0"/>
                        <w:sz w:val="53"/>
                        <w:szCs w:val="53"/>
                        <w:lang w:val="en-US"/>
                        <w14:textFill>
                          <w14:solidFill>
                            <w14:srgbClr w14:val="C0C0C0">
                              <w14:alpha w14:val="50000"/>
                            </w14:srgbClr>
                          </w14:solidFill>
                        </w14:textFill>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881A" w14:textId="12E5863F" w:rsidR="00CF141D" w:rsidRPr="00257FD8" w:rsidRDefault="00CF141D" w:rsidP="00CF141D">
    <w:pPr>
      <w:pStyle w:val="SDMHeader"/>
    </w:pPr>
    <w:r w:rsidRPr="00257FD8">
      <w:fldChar w:fldCharType="begin"/>
    </w:r>
    <w:r w:rsidRPr="00257FD8">
      <w:instrText xml:space="preserve"> REF  SDMDocRef \* Upper \h  \* MERGEFORMAT </w:instrText>
    </w:r>
    <w:r w:rsidRPr="00257FD8">
      <w:fldChar w:fldCharType="separate"/>
    </w:r>
    <w:sdt>
      <w:sdtPr>
        <w:alias w:val="SDMDocRef"/>
        <w:tag w:val="SDMDocRef"/>
        <w:id w:val="306519957"/>
        <w:lock w:val="sdtLocked"/>
        <w:placeholder>
          <w:docPart w:val="DE2F1AB5209C4421B8BE0597A39D0AA5"/>
        </w:placeholder>
      </w:sdtPr>
      <w:sdtContent>
        <w:r w:rsidR="00302468">
          <w:t>A6.4-AMM-001</w:t>
        </w:r>
      </w:sdtContent>
    </w:sdt>
    <w:r w:rsidRPr="00257FD8">
      <w:fldChar w:fldCharType="end"/>
    </w:r>
    <w:r w:rsidRPr="00257FD8">
      <w:tab/>
    </w:r>
    <w:r w:rsidRPr="00257FD8">
      <w:fldChar w:fldCharType="begin"/>
    </w:r>
    <w:r w:rsidRPr="00257FD8">
      <w:instrText xml:space="preserve"> REF  SDMConfidentialMark \* Upper \h  \* MERGEFORMAT </w:instrText>
    </w:r>
    <w:r w:rsidRPr="00257FD8">
      <w:fldChar w:fldCharType="separate"/>
    </w:r>
    <w:sdt>
      <w:sdtPr>
        <w:alias w:val="SDMConfidentialMark"/>
        <w:tag w:val="SDMConfidentialMark"/>
        <w:id w:val="-1235388087"/>
        <w:lock w:val="sdtLocked"/>
        <w:placeholder>
          <w:docPart w:val="44770E4691EB43C6BF504932E59DA18D"/>
        </w:placeholder>
        <w:dropDownList>
          <w:listItem w:displayText="Confidential" w:value="Confidential"/>
          <w:listItem w:displayText=" " w:value="  "/>
        </w:dropDownList>
      </w:sdtPr>
      <w:sdtContent>
        <w:r w:rsidR="00302468">
          <w:t xml:space="preserve"> </w:t>
        </w:r>
      </w:sdtContent>
    </w:sdt>
    <w:r w:rsidRPr="00257FD8">
      <w:fldChar w:fldCharType="end"/>
    </w:r>
  </w:p>
  <w:p w14:paraId="238718C0" w14:textId="1F3C2DAE" w:rsidR="00CF141D" w:rsidRPr="00257FD8" w:rsidRDefault="00CF141D" w:rsidP="00CF141D">
    <w:pPr>
      <w:pStyle w:val="SDMHeader"/>
    </w:pPr>
    <w:r w:rsidRPr="00257FD8">
      <w:fldChar w:fldCharType="begin"/>
    </w:r>
    <w:r w:rsidRPr="00257FD8">
      <w:instrText xml:space="preserve"> REF  SDMTitle1 \h  \* MERGEFORMAT </w:instrText>
    </w:r>
    <w:r w:rsidRPr="00257FD8">
      <w:fldChar w:fldCharType="separate"/>
    </w:r>
    <w:sdt>
      <w:sdtPr>
        <w:alias w:val="SDMTitle1"/>
        <w:tag w:val="SDMTitle1"/>
        <w:id w:val="-1663699665"/>
        <w:lock w:val="sdtLocked"/>
        <w:placeholder>
          <w:docPart w:val="F0AB015E7B884C3783A519A5C759DC2A"/>
        </w:placeholder>
      </w:sdtPr>
      <w:sdtContent>
        <w:sdt>
          <w:sdtPr>
            <w:alias w:val="SDMDocType"/>
            <w:tag w:val="SDMDocType"/>
            <w:id w:val="-1962258724"/>
            <w:lock w:val="sdtContentLocked"/>
            <w:placeholder>
              <w:docPart w:val="3FF4169EE5E549F9AC2E8BC7599530E5"/>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302468">
              <w:t xml:space="preserve">Mechanism </w:t>
            </w:r>
            <w:r w:rsidR="00302468" w:rsidRPr="0022484F">
              <w:t>Methodology</w:t>
            </w:r>
          </w:sdtContent>
        </w:sdt>
      </w:sdtContent>
    </w:sdt>
    <w:r w:rsidRPr="00257FD8">
      <w:fldChar w:fldCharType="end"/>
    </w:r>
    <w:r w:rsidRPr="00257FD8">
      <w:t xml:space="preserve">: </w:t>
    </w:r>
    <w:r w:rsidRPr="00257FD8">
      <w:fldChar w:fldCharType="begin"/>
    </w:r>
    <w:r w:rsidRPr="00257FD8">
      <w:instrText xml:space="preserve"> REF  SDMTitle2 \h  \* MERGEFORMAT </w:instrText>
    </w:r>
    <w:r w:rsidRPr="00257FD8">
      <w:fldChar w:fldCharType="separate"/>
    </w:r>
    <w:sdt>
      <w:sdtPr>
        <w:alias w:val="SDMTitle2"/>
        <w:tag w:val="SDMTitle2"/>
        <w:id w:val="-1493165497"/>
        <w:lock w:val="sdtLocked"/>
        <w:placeholder>
          <w:docPart w:val="C690422570A94C23BA32C16C8B668977"/>
        </w:placeholder>
      </w:sdtPr>
      <w:sdtEndPr>
        <w:rPr>
          <w:lang w:val="de-DE"/>
        </w:rPr>
      </w:sdtEndPr>
      <w:sdtContent>
        <w:r w:rsidR="00302468" w:rsidRPr="00302468">
          <w:t xml:space="preserve">Flaring or </w:t>
        </w:r>
        <w:r w:rsidR="00302468">
          <w:t>use of</w:t>
        </w:r>
        <w:r w:rsidR="00302468" w:rsidRPr="00302468">
          <w:rPr>
            <w:lang w:val="en-US"/>
          </w:rPr>
          <w:t xml:space="preserve"> </w:t>
        </w:r>
        <w:r w:rsidR="00302468">
          <w:t>landfill gas</w:t>
        </w:r>
      </w:sdtContent>
    </w:sdt>
    <w:r w:rsidRPr="00257FD8">
      <w:fldChar w:fldCharType="end"/>
    </w:r>
  </w:p>
  <w:p w14:paraId="10CD4649" w14:textId="1EBA0883" w:rsidR="00CF141D" w:rsidRPr="00257FD8" w:rsidRDefault="00CF141D" w:rsidP="00CF141D">
    <w:pPr>
      <w:pStyle w:val="SDMHeader"/>
    </w:pPr>
    <w:r w:rsidRPr="00257FD8">
      <w:fldChar w:fldCharType="begin"/>
    </w:r>
    <w:r w:rsidRPr="00257FD8">
      <w:instrText xml:space="preserve"> REF  SDMDocVerLab \h  \* MERGEFORMAT </w:instrText>
    </w:r>
    <w:r w:rsidRPr="00257FD8">
      <w:fldChar w:fldCharType="separate"/>
    </w:r>
    <w:sdt>
      <w:sdtPr>
        <w:alias w:val="SDMDocVersionLabel"/>
        <w:tag w:val="SDMDocVersionLabel"/>
        <w:id w:val="-1591546487"/>
        <w:lock w:val="sdtLocked"/>
        <w:placeholder>
          <w:docPart w:val="2BF933870A704C1FA8FD2708280A78A2"/>
        </w:placeholder>
      </w:sdtPr>
      <w:sdtContent>
        <w:r w:rsidR="00302468" w:rsidRPr="00152FB5">
          <w:t>Version</w:t>
        </w:r>
        <w:r w:rsidR="00302468">
          <w:t xml:space="preserve"> </w:t>
        </w:r>
      </w:sdtContent>
    </w:sdt>
    <w:r w:rsidRPr="00257FD8">
      <w:fldChar w:fldCharType="end"/>
    </w:r>
    <w:r w:rsidRPr="00257FD8">
      <w:fldChar w:fldCharType="begin"/>
    </w:r>
    <w:r w:rsidRPr="00257FD8">
      <w:instrText xml:space="preserve"> REF  SDMDocVer \h  \* MERGEFORMAT </w:instrText>
    </w:r>
    <w:r w:rsidRPr="00257FD8">
      <w:fldChar w:fldCharType="separate"/>
    </w:r>
    <w:r w:rsidR="00302468">
      <w:t>01.0</w:t>
    </w:r>
    <w:r w:rsidRPr="00257FD8">
      <w:fldChar w:fldCharType="end"/>
    </w:r>
  </w:p>
  <w:p w14:paraId="4C04F9AD" w14:textId="4EFEE7E9" w:rsidR="004321E1" w:rsidRDefault="00CF141D" w:rsidP="00CF141D">
    <w:pPr>
      <w:pStyle w:val="SDMHeader"/>
    </w:pPr>
    <w:r w:rsidRPr="00257FD8">
      <w:fldChar w:fldCharType="begin"/>
    </w:r>
    <w:r w:rsidRPr="00257FD8">
      <w:instrText xml:space="preserve"> REF SDMSectoralScopeLab \h </w:instrText>
    </w:r>
    <w:r w:rsidR="00257FD8" w:rsidRPr="00257FD8">
      <w:instrText xml:space="preserve"> \* MERGEFORMAT </w:instrText>
    </w:r>
    <w:r w:rsidRPr="00257FD8">
      <w:fldChar w:fldCharType="separate"/>
    </w:r>
    <w:sdt>
      <w:sdtPr>
        <w:alias w:val="SDMSectoralScopeLabel"/>
        <w:tag w:val="SDMSectoralScopeLabel"/>
        <w:id w:val="-244342641"/>
        <w:placeholder>
          <w:docPart w:val="EA2CA3F239B648EDBD6CA899019D9B77"/>
        </w:placeholder>
      </w:sdtPr>
      <w:sdtContent>
        <w:r w:rsidR="00302468">
          <w:t xml:space="preserve">Sectoral scope(s): </w:t>
        </w:r>
      </w:sdtContent>
    </w:sdt>
    <w:r w:rsidRPr="00257FD8">
      <w:fldChar w:fldCharType="end"/>
    </w:r>
    <w:r w:rsidRPr="00257FD8">
      <w:fldChar w:fldCharType="begin"/>
    </w:r>
    <w:r w:rsidRPr="00257FD8">
      <w:instrText xml:space="preserve"> REF SDMSectoralScope \h </w:instrText>
    </w:r>
    <w:r w:rsidR="00257FD8" w:rsidRPr="00257FD8">
      <w:instrText xml:space="preserve"> \* MERGEFORMAT </w:instrText>
    </w:r>
    <w:r w:rsidRPr="00257FD8">
      <w:fldChar w:fldCharType="separate"/>
    </w:r>
    <w:sdt>
      <w:sdtPr>
        <w:alias w:val="SDMSectoralScope"/>
        <w:tag w:val="SDMSectoralScope"/>
        <w:id w:val="-2069484844"/>
        <w:placeholder>
          <w:docPart w:val="83AE9B1AB2864811BF04238ABEAC3F53"/>
        </w:placeholder>
      </w:sdtPr>
      <w:sdtContent>
        <w:r w:rsidR="00302468">
          <w:t>01 and 13</w:t>
        </w:r>
      </w:sdtContent>
    </w:sdt>
    <w:r w:rsidRPr="00257FD8">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FBB6C" w14:textId="77777777" w:rsidR="004321E1" w:rsidRDefault="004321E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B25A" w14:textId="0F0DAEC1" w:rsidR="00CF141D" w:rsidRPr="00CE336D" w:rsidRDefault="00CF141D" w:rsidP="00CF141D">
    <w:pPr>
      <w:pStyle w:val="SDMHeader"/>
    </w:pPr>
    <w:r w:rsidRPr="00CE336D">
      <w:fldChar w:fldCharType="begin"/>
    </w:r>
    <w:r w:rsidRPr="00CE336D">
      <w:instrText xml:space="preserve"> REF  SDMDocRef \* Upper \h  \* MERGEFORMAT </w:instrText>
    </w:r>
    <w:r w:rsidRPr="00CE336D">
      <w:fldChar w:fldCharType="separate"/>
    </w:r>
    <w:sdt>
      <w:sdtPr>
        <w:alias w:val="SDMDocRef"/>
        <w:tag w:val="SDMDocRef"/>
        <w:id w:val="244621778"/>
        <w:lock w:val="sdtLocked"/>
        <w:placeholder>
          <w:docPart w:val="40665F6940BA4213AC3CB247A1BC7268"/>
        </w:placeholder>
      </w:sdtPr>
      <w:sdtContent>
        <w:r w:rsidR="00302468">
          <w:t>A6.4-AMM-001</w:t>
        </w:r>
      </w:sdtContent>
    </w:sdt>
    <w:r w:rsidRPr="00CE336D">
      <w:fldChar w:fldCharType="end"/>
    </w:r>
    <w:r w:rsidRPr="00CE336D">
      <w:tab/>
    </w:r>
    <w:r w:rsidRPr="00CE336D">
      <w:fldChar w:fldCharType="begin"/>
    </w:r>
    <w:r w:rsidRPr="00CE336D">
      <w:instrText xml:space="preserve"> REF  SDMConfidentialMark \* Upper \h  \* MERGEFORMAT </w:instrText>
    </w:r>
    <w:r w:rsidRPr="00CE336D">
      <w:fldChar w:fldCharType="separate"/>
    </w:r>
    <w:sdt>
      <w:sdtPr>
        <w:alias w:val="SDMConfidentialMark"/>
        <w:tag w:val="SDMConfidentialMark"/>
        <w:id w:val="1499929470"/>
        <w:lock w:val="sdtLocked"/>
        <w:placeholder>
          <w:docPart w:val="0122CC92F27845C2BF976442530E5E34"/>
        </w:placeholder>
        <w:dropDownList>
          <w:listItem w:displayText="Confidential" w:value="Confidential"/>
          <w:listItem w:displayText=" " w:value="  "/>
        </w:dropDownList>
      </w:sdtPr>
      <w:sdtContent>
        <w:r w:rsidR="00302468">
          <w:t xml:space="preserve"> </w:t>
        </w:r>
      </w:sdtContent>
    </w:sdt>
    <w:r w:rsidRPr="00CE336D">
      <w:fldChar w:fldCharType="end"/>
    </w:r>
  </w:p>
  <w:p w14:paraId="16D0E14B" w14:textId="3BFE7F64" w:rsidR="00CF141D" w:rsidRPr="00CE336D" w:rsidRDefault="00CF141D" w:rsidP="00CF141D">
    <w:pPr>
      <w:pStyle w:val="SDMHeader"/>
    </w:pPr>
    <w:r w:rsidRPr="00CE336D">
      <w:fldChar w:fldCharType="begin"/>
    </w:r>
    <w:r w:rsidRPr="00CE336D">
      <w:instrText xml:space="preserve"> REF  SDMTitle1 \h  \* MERGEFORMAT </w:instrText>
    </w:r>
    <w:r w:rsidRPr="00CE336D">
      <w:fldChar w:fldCharType="separate"/>
    </w:r>
    <w:sdt>
      <w:sdtPr>
        <w:alias w:val="SDMTitle1"/>
        <w:tag w:val="SDMTitle1"/>
        <w:id w:val="-699168438"/>
        <w:lock w:val="sdtLocked"/>
        <w:placeholder>
          <w:docPart w:val="D9E73AD14C034A80898617C52086267E"/>
        </w:placeholder>
      </w:sdtPr>
      <w:sdtContent>
        <w:sdt>
          <w:sdtPr>
            <w:alias w:val="SDMDocType"/>
            <w:tag w:val="SDMDocType"/>
            <w:id w:val="748080609"/>
            <w:lock w:val="sdtContentLocked"/>
            <w:placeholder>
              <w:docPart w:val="6DF20B8ED8214A5E992409B2213B8BF2"/>
            </w:placeholder>
            <w:dropDownList>
              <w:listItem w:displayText="Standard" w:value="Standard"/>
              <w:listItem w:displayText="Guideline" w:value="Guideline"/>
              <w:listItem w:displayText="Procedure" w:value="Procedure"/>
              <w:listItem w:displayText="Information note" w:value="Information note"/>
              <w:listItem w:displayText="Methodology" w:value="Methodology"/>
              <w:listItem w:displayText="Methodological tool" w:value="Methodological tool"/>
              <w:listItem w:displayText="Meeting report" w:value="Meeting report"/>
            </w:dropDownList>
          </w:sdtPr>
          <w:sdtContent>
            <w:r w:rsidR="00302468">
              <w:t xml:space="preserve">Mechanism </w:t>
            </w:r>
            <w:r w:rsidR="00302468" w:rsidRPr="0022484F">
              <w:t>Methodology</w:t>
            </w:r>
          </w:sdtContent>
        </w:sdt>
      </w:sdtContent>
    </w:sdt>
    <w:r w:rsidRPr="00CE336D">
      <w:fldChar w:fldCharType="end"/>
    </w:r>
    <w:r w:rsidRPr="00CE336D">
      <w:t xml:space="preserve">: </w:t>
    </w:r>
    <w:r w:rsidRPr="00CE336D">
      <w:fldChar w:fldCharType="begin"/>
    </w:r>
    <w:r w:rsidRPr="00CE336D">
      <w:instrText xml:space="preserve"> REF  SDMTitle2 \h  \* MERGEFORMAT </w:instrText>
    </w:r>
    <w:r w:rsidRPr="00CE336D">
      <w:fldChar w:fldCharType="separate"/>
    </w:r>
    <w:sdt>
      <w:sdtPr>
        <w:alias w:val="SDMTitle2"/>
        <w:tag w:val="SDMTitle2"/>
        <w:id w:val="-695992230"/>
        <w:lock w:val="sdtLocked"/>
        <w:placeholder>
          <w:docPart w:val="173A830821014E009F380085C0C7CC31"/>
        </w:placeholder>
      </w:sdtPr>
      <w:sdtEndPr>
        <w:rPr>
          <w:lang w:val="de-DE"/>
        </w:rPr>
      </w:sdtEndPr>
      <w:sdtContent>
        <w:r w:rsidR="00302468" w:rsidRPr="00302468">
          <w:t xml:space="preserve">Flaring or </w:t>
        </w:r>
        <w:r w:rsidR="00302468">
          <w:t>use of</w:t>
        </w:r>
        <w:r w:rsidR="00302468" w:rsidRPr="00302468">
          <w:rPr>
            <w:lang w:val="en-US"/>
          </w:rPr>
          <w:t xml:space="preserve"> </w:t>
        </w:r>
        <w:r w:rsidR="00302468">
          <w:t>landfill gas</w:t>
        </w:r>
      </w:sdtContent>
    </w:sdt>
    <w:r w:rsidRPr="00CE336D">
      <w:fldChar w:fldCharType="end"/>
    </w:r>
  </w:p>
  <w:p w14:paraId="665FAF5F" w14:textId="4521EA79" w:rsidR="00CF141D" w:rsidRPr="00CE336D" w:rsidRDefault="00CF141D" w:rsidP="00CF141D">
    <w:pPr>
      <w:pStyle w:val="SDMHeader"/>
    </w:pPr>
    <w:r w:rsidRPr="00CE336D">
      <w:fldChar w:fldCharType="begin"/>
    </w:r>
    <w:r w:rsidRPr="00CE336D">
      <w:instrText xml:space="preserve"> REF  SDMDocVerLab \h  \* MERGEFORMAT </w:instrText>
    </w:r>
    <w:r w:rsidRPr="00CE336D">
      <w:fldChar w:fldCharType="separate"/>
    </w:r>
    <w:sdt>
      <w:sdtPr>
        <w:alias w:val="SDMDocVersionLabel"/>
        <w:tag w:val="SDMDocVersionLabel"/>
        <w:id w:val="-473836992"/>
        <w:lock w:val="sdtLocked"/>
        <w:placeholder>
          <w:docPart w:val="E963F5C5AE414725A15D75EF37A6ABC0"/>
        </w:placeholder>
      </w:sdtPr>
      <w:sdtContent>
        <w:r w:rsidR="00302468" w:rsidRPr="00152FB5">
          <w:t>Version</w:t>
        </w:r>
        <w:r w:rsidR="00302468">
          <w:t xml:space="preserve"> </w:t>
        </w:r>
      </w:sdtContent>
    </w:sdt>
    <w:r w:rsidRPr="00CE336D">
      <w:fldChar w:fldCharType="end"/>
    </w:r>
    <w:r w:rsidRPr="00CE336D">
      <w:fldChar w:fldCharType="begin"/>
    </w:r>
    <w:r w:rsidRPr="00CE336D">
      <w:instrText xml:space="preserve"> REF  SDMDocVer \h  \* MERGEFORMAT </w:instrText>
    </w:r>
    <w:r w:rsidRPr="00CE336D">
      <w:fldChar w:fldCharType="separate"/>
    </w:r>
    <w:r w:rsidR="00302468">
      <w:t>01.0</w:t>
    </w:r>
    <w:r w:rsidRPr="00CE336D">
      <w:fldChar w:fldCharType="end"/>
    </w:r>
  </w:p>
  <w:p w14:paraId="7FD7AC88" w14:textId="0E97ADA4" w:rsidR="00CF141D" w:rsidRPr="00CE336D" w:rsidRDefault="00CF141D" w:rsidP="00CF141D">
    <w:pPr>
      <w:pStyle w:val="SDMHeader"/>
    </w:pPr>
    <w:r w:rsidRPr="00CE336D">
      <w:fldChar w:fldCharType="begin"/>
    </w:r>
    <w:r w:rsidRPr="00CE336D">
      <w:instrText xml:space="preserve"> REF SDMSectoralScopeLab \h </w:instrText>
    </w:r>
    <w:r w:rsidR="00CE336D" w:rsidRPr="00CE336D">
      <w:instrText xml:space="preserve"> \* MERGEFORMAT </w:instrText>
    </w:r>
    <w:r w:rsidRPr="00CE336D">
      <w:fldChar w:fldCharType="separate"/>
    </w:r>
    <w:sdt>
      <w:sdtPr>
        <w:alias w:val="SDMSectoralScopeLabel"/>
        <w:tag w:val="SDMSectoralScopeLabel"/>
        <w:id w:val="1806352551"/>
        <w:placeholder>
          <w:docPart w:val="69BFD10F782D4BD0AD9866C87D0C94F0"/>
        </w:placeholder>
      </w:sdtPr>
      <w:sdtContent>
        <w:r w:rsidR="00302468">
          <w:t xml:space="preserve">Sectoral scope(s): </w:t>
        </w:r>
      </w:sdtContent>
    </w:sdt>
    <w:r w:rsidRPr="00CE336D">
      <w:fldChar w:fldCharType="end"/>
    </w:r>
    <w:r w:rsidRPr="00CE336D">
      <w:fldChar w:fldCharType="begin"/>
    </w:r>
    <w:r w:rsidRPr="00CE336D">
      <w:instrText xml:space="preserve"> REF SDMSectoralScope \h </w:instrText>
    </w:r>
    <w:r w:rsidR="00CE336D" w:rsidRPr="00CE336D">
      <w:instrText xml:space="preserve"> \* MERGEFORMAT </w:instrText>
    </w:r>
    <w:r w:rsidRPr="00CE336D">
      <w:fldChar w:fldCharType="separate"/>
    </w:r>
    <w:sdt>
      <w:sdtPr>
        <w:alias w:val="SDMSectoralScope"/>
        <w:tag w:val="SDMSectoralScope"/>
        <w:id w:val="-742337892"/>
        <w:placeholder>
          <w:docPart w:val="5C98AEA6643540378656BEAB3E219314"/>
        </w:placeholder>
      </w:sdtPr>
      <w:sdtContent>
        <w:r w:rsidR="00302468">
          <w:t>01 and 13</w:t>
        </w:r>
      </w:sdtContent>
    </w:sdt>
    <w:r w:rsidRPr="00CE336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4B3"/>
    <w:multiLevelType w:val="multilevel"/>
    <w:tmpl w:val="F3D6E6FA"/>
    <w:name w:val="Reg2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 w15:restartNumberingAfterBreak="0">
    <w:nsid w:val="01DF7C84"/>
    <w:multiLevelType w:val="multilevel"/>
    <w:tmpl w:val="F64666FC"/>
    <w:name w:val="Reg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 w15:restartNumberingAfterBreak="0">
    <w:nsid w:val="027C7871"/>
    <w:multiLevelType w:val="hybridMultilevel"/>
    <w:tmpl w:val="B0CC304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32125D4"/>
    <w:multiLevelType w:val="hybridMultilevel"/>
    <w:tmpl w:val="8FDA221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39E6503"/>
    <w:multiLevelType w:val="hybridMultilevel"/>
    <w:tmpl w:val="353236F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7417693"/>
    <w:multiLevelType w:val="multilevel"/>
    <w:tmpl w:val="648A687A"/>
    <w:lvl w:ilvl="0">
      <w:start w:val="1"/>
      <w:numFmt w:val="none"/>
      <w:pStyle w:val="SDMTableBoxParaNumbered"/>
      <w:lvlText w:val="%1"/>
      <w:lvlJc w:val="left"/>
      <w:pPr>
        <w:tabs>
          <w:tab w:val="num" w:pos="0"/>
        </w:tabs>
        <w:ind w:left="0" w:firstLine="0"/>
      </w:pPr>
      <w:rPr>
        <w:rFonts w:hint="default"/>
      </w:rPr>
    </w:lvl>
    <w:lvl w:ilvl="1">
      <w:start w:val="1"/>
      <w:numFmt w:val="decimal"/>
      <w:lvlText w:val="%2."/>
      <w:lvlJc w:val="left"/>
      <w:pPr>
        <w:tabs>
          <w:tab w:val="num" w:pos="397"/>
        </w:tabs>
        <w:ind w:left="397" w:hanging="397"/>
      </w:pPr>
      <w:rPr>
        <w:rFonts w:hint="default"/>
      </w:rPr>
    </w:lvl>
    <w:lvl w:ilvl="2">
      <w:start w:val="1"/>
      <w:numFmt w:val="lowerLetter"/>
      <w:lvlText w:val="(%3)"/>
      <w:lvlJc w:val="left"/>
      <w:pPr>
        <w:tabs>
          <w:tab w:val="num" w:pos="851"/>
        </w:tabs>
        <w:ind w:left="851" w:hanging="454"/>
      </w:pPr>
      <w:rPr>
        <w:rFonts w:hint="default"/>
      </w:rPr>
    </w:lvl>
    <w:lvl w:ilvl="3">
      <w:start w:val="1"/>
      <w:numFmt w:val="lowerRoman"/>
      <w:lvlText w:val="(%4)"/>
      <w:lvlJc w:val="left"/>
      <w:pPr>
        <w:tabs>
          <w:tab w:val="num" w:pos="1304"/>
        </w:tabs>
        <w:ind w:left="1304" w:hanging="453"/>
      </w:pPr>
      <w:rPr>
        <w:rFonts w:hint="default"/>
      </w:rPr>
    </w:lvl>
    <w:lvl w:ilvl="4">
      <w:start w:val="1"/>
      <w:numFmt w:val="lowerLetter"/>
      <w:lvlText w:val="%5."/>
      <w:lvlJc w:val="left"/>
      <w:pPr>
        <w:tabs>
          <w:tab w:val="num" w:pos="1644"/>
        </w:tabs>
        <w:ind w:left="1644" w:hanging="340"/>
      </w:pPr>
      <w:rPr>
        <w:rFonts w:hint="default"/>
      </w:rPr>
    </w:lvl>
    <w:lvl w:ilvl="5">
      <w:start w:val="1"/>
      <w:numFmt w:val="lowerRoman"/>
      <w:lvlText w:val="%6."/>
      <w:lvlJc w:val="left"/>
      <w:pPr>
        <w:tabs>
          <w:tab w:val="num" w:pos="1956"/>
        </w:tabs>
        <w:ind w:left="1956" w:hanging="312"/>
      </w:pPr>
      <w:rPr>
        <w:rFonts w:hint="default"/>
      </w:rPr>
    </w:lvl>
    <w:lvl w:ilvl="6">
      <w:start w:val="1"/>
      <w:numFmt w:val="none"/>
      <w:lvlText w:val="%7"/>
      <w:lvlJc w:val="left"/>
      <w:pPr>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ind w:left="0" w:firstLine="0"/>
      </w:pPr>
      <w:rPr>
        <w:rFonts w:hint="default"/>
      </w:rPr>
    </w:lvl>
  </w:abstractNum>
  <w:abstractNum w:abstractNumId="6" w15:restartNumberingAfterBreak="0">
    <w:nsid w:val="0AAC1DEE"/>
    <w:multiLevelType w:val="multilevel"/>
    <w:tmpl w:val="EBF238F8"/>
    <w:name w:val="Reg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7" w15:restartNumberingAfterBreak="0">
    <w:nsid w:val="0AB21255"/>
    <w:multiLevelType w:val="multilevel"/>
    <w:tmpl w:val="1AE2C256"/>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A42F3C"/>
    <w:multiLevelType w:val="hybridMultilevel"/>
    <w:tmpl w:val="7C9A9D5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FB12BA1"/>
    <w:multiLevelType w:val="multilevel"/>
    <w:tmpl w:val="45C27C68"/>
    <w:lvl w:ilvl="0">
      <w:start w:val="1"/>
      <w:numFmt w:val="none"/>
      <w:pStyle w:val="FootnoteText"/>
      <w:suff w:val="nothing"/>
      <w:lvlText w:val=""/>
      <w:lvlJc w:val="left"/>
      <w:pPr>
        <w:ind w:left="227" w:hanging="227"/>
      </w:pPr>
      <w:rPr>
        <w:rFonts w:hint="default"/>
      </w:rPr>
    </w:lvl>
    <w:lvl w:ilvl="1">
      <w:start w:val="1"/>
      <w:numFmt w:val="lowerLetter"/>
      <w:lvlText w:val="(%2)"/>
      <w:lvlJc w:val="left"/>
      <w:pPr>
        <w:ind w:left="624" w:hanging="397"/>
      </w:pPr>
      <w:rPr>
        <w:rFonts w:hint="default"/>
      </w:rPr>
    </w:lvl>
    <w:lvl w:ilvl="2">
      <w:start w:val="1"/>
      <w:numFmt w:val="lowerRoman"/>
      <w:lvlText w:val="(%3)"/>
      <w:lvlJc w:val="left"/>
      <w:pPr>
        <w:ind w:left="1021" w:hanging="397"/>
      </w:pPr>
      <w:rPr>
        <w:rFonts w:hint="default"/>
      </w:rPr>
    </w:lvl>
    <w:lvl w:ilvl="3">
      <w:start w:val="1"/>
      <w:numFmt w:val="lowerLetter"/>
      <w:lvlText w:val="%4."/>
      <w:lvlJc w:val="left"/>
      <w:pPr>
        <w:ind w:left="1418" w:hanging="397"/>
      </w:pPr>
      <w:rPr>
        <w:rFonts w:hint="default"/>
      </w:rPr>
    </w:lvl>
    <w:lvl w:ilvl="4">
      <w:start w:val="1"/>
      <w:numFmt w:val="lowerRoman"/>
      <w:lvlText w:val="%5."/>
      <w:lvlJc w:val="left"/>
      <w:pPr>
        <w:ind w:left="1814" w:hanging="396"/>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FD52077"/>
    <w:multiLevelType w:val="multilevel"/>
    <w:tmpl w:val="A28EC812"/>
    <w:styleLink w:val="SDMMethEquationNrList"/>
    <w:lvl w:ilvl="0">
      <w:start w:val="1"/>
      <w:numFmt w:val="decimal"/>
      <w:pStyle w:val="SDMMethEquationNr"/>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04C663C"/>
    <w:multiLevelType w:val="multilevel"/>
    <w:tmpl w:val="A52CF9A2"/>
    <w:styleLink w:val="CurrentList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10BF2A88"/>
    <w:multiLevelType w:val="multilevel"/>
    <w:tmpl w:val="87F2B1A4"/>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13" w15:restartNumberingAfterBreak="0">
    <w:nsid w:val="14233F79"/>
    <w:multiLevelType w:val="multilevel"/>
    <w:tmpl w:val="C60EC370"/>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4" w15:restartNumberingAfterBreak="0">
    <w:nsid w:val="145420C1"/>
    <w:multiLevelType w:val="multilevel"/>
    <w:tmpl w:val="A17458AC"/>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46F115B"/>
    <w:multiLevelType w:val="hybridMultilevel"/>
    <w:tmpl w:val="A4BEB9FC"/>
    <w:lvl w:ilvl="0" w:tplc="04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155523F4"/>
    <w:multiLevelType w:val="multilevel"/>
    <w:tmpl w:val="A6C8D0E2"/>
    <w:name w:val="Reg30"/>
    <w:lvl w:ilvl="0">
      <w:start w:val="1"/>
      <w:numFmt w:val="upperRoman"/>
      <w:suff w:val="space"/>
      <w:lvlText w:val="%1. "/>
      <w:lvlJc w:val="center"/>
      <w:pPr>
        <w:ind w:left="0" w:firstLine="0"/>
      </w:pPr>
      <w:rPr>
        <w:rFonts w:ascii="Times New Roman" w:hAnsi="Times New Roman" w:hint="default"/>
        <w:b/>
        <w:i w:val="0"/>
        <w:sz w:val="22"/>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7" w15:restartNumberingAfterBreak="0">
    <w:nsid w:val="15B44D7C"/>
    <w:multiLevelType w:val="multilevel"/>
    <w:tmpl w:val="A28EC812"/>
    <w:styleLink w:val="SDMMethEquationNumberingList"/>
    <w:lvl w:ilvl="0">
      <w:start w:val="1"/>
      <w:numFmt w:val="decimal"/>
      <w:suff w:val="nothing"/>
      <w:lvlText w:val="Equation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15C257B8"/>
    <w:multiLevelType w:val="hybridMultilevel"/>
    <w:tmpl w:val="B5B2EA7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15EB1E20"/>
    <w:multiLevelType w:val="multilevel"/>
    <w:tmpl w:val="4F9ED6BC"/>
    <w:styleLink w:val="SDMCovNoteHeadList"/>
    <w:lvl w:ilvl="0">
      <w:start w:val="1"/>
      <w:numFmt w:val="decimal"/>
      <w:pStyle w:val="SDMCovNoteHead1"/>
      <w:lvlText w:val="%1."/>
      <w:lvlJc w:val="left"/>
      <w:pPr>
        <w:tabs>
          <w:tab w:val="num" w:pos="709"/>
        </w:tabs>
        <w:ind w:left="709" w:hanging="709"/>
      </w:pPr>
      <w:rPr>
        <w:rFonts w:hint="default"/>
      </w:rPr>
    </w:lvl>
    <w:lvl w:ilvl="1">
      <w:start w:val="1"/>
      <w:numFmt w:val="decimal"/>
      <w:pStyle w:val="SDMCovNoteHead2"/>
      <w:lvlText w:val="%1.%2."/>
      <w:lvlJc w:val="left"/>
      <w:pPr>
        <w:tabs>
          <w:tab w:val="num" w:pos="709"/>
        </w:tabs>
        <w:ind w:left="794" w:hanging="794"/>
      </w:pPr>
      <w:rPr>
        <w:rFonts w:hint="default"/>
      </w:rPr>
    </w:lvl>
    <w:lvl w:ilvl="2">
      <w:start w:val="1"/>
      <w:numFmt w:val="decimal"/>
      <w:pStyle w:val="SDMCovNoteHead3"/>
      <w:lvlText w:val="%1.%2.%3."/>
      <w:lvlJc w:val="left"/>
      <w:pPr>
        <w:tabs>
          <w:tab w:val="num" w:pos="709"/>
        </w:tabs>
        <w:ind w:left="1191" w:hanging="119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62C4AFF"/>
    <w:multiLevelType w:val="multilevel"/>
    <w:tmpl w:val="4F9ED6BC"/>
    <w:numStyleLink w:val="SDMCovNoteHeadList"/>
  </w:abstractNum>
  <w:abstractNum w:abstractNumId="21" w15:restartNumberingAfterBreak="0">
    <w:nsid w:val="16404ED9"/>
    <w:multiLevelType w:val="multilevel"/>
    <w:tmpl w:val="5EDE06C6"/>
    <w:numStyleLink w:val="SDMTableBoxFigureFootnoteFullPageList"/>
  </w:abstractNum>
  <w:abstractNum w:abstractNumId="22" w15:restartNumberingAfterBreak="0">
    <w:nsid w:val="1728147F"/>
    <w:multiLevelType w:val="multilevel"/>
    <w:tmpl w:val="7B8621E0"/>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3" w15:restartNumberingAfterBreak="0">
    <w:nsid w:val="18C15861"/>
    <w:multiLevelType w:val="multilevel"/>
    <w:tmpl w:val="5EDE06C6"/>
    <w:styleLink w:val="SDMTableBoxFigureFootnoteFullPageList"/>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709"/>
        </w:tabs>
        <w:ind w:left="1418" w:hanging="709"/>
      </w:pPr>
      <w:rPr>
        <w:rFonts w:hint="default"/>
      </w:rPr>
    </w:lvl>
    <w:lvl w:ilvl="2">
      <w:start w:val="1"/>
      <w:numFmt w:val="lowerRoman"/>
      <w:lvlText w:val="(%3)"/>
      <w:lvlJc w:val="left"/>
      <w:pPr>
        <w:tabs>
          <w:tab w:val="num" w:pos="709"/>
        </w:tabs>
        <w:ind w:left="1985" w:hanging="567"/>
      </w:pPr>
      <w:rPr>
        <w:rFonts w:hint="default"/>
      </w:rPr>
    </w:lvl>
    <w:lvl w:ilvl="3">
      <w:start w:val="1"/>
      <w:numFmt w:val="lowerLetter"/>
      <w:lvlText w:val="%4."/>
      <w:lvlJc w:val="left"/>
      <w:pPr>
        <w:tabs>
          <w:tab w:val="num" w:pos="709"/>
        </w:tabs>
        <w:ind w:left="2722" w:hanging="596"/>
      </w:pPr>
      <w:rPr>
        <w:rFonts w:hint="default"/>
      </w:rPr>
    </w:lvl>
    <w:lvl w:ilvl="4">
      <w:start w:val="1"/>
      <w:numFmt w:val="lowerRoman"/>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24" w15:restartNumberingAfterBreak="0">
    <w:nsid w:val="1A6C4888"/>
    <w:multiLevelType w:val="hybridMultilevel"/>
    <w:tmpl w:val="8382A26A"/>
    <w:lvl w:ilvl="0" w:tplc="0240A3C8">
      <w:start w:val="1"/>
      <w:numFmt w:val="lowerLetter"/>
      <w:pStyle w:val="RegHead1"/>
      <w:lvlText w:val="%1"/>
      <w:lvlJc w:val="left"/>
      <w:pPr>
        <w:tabs>
          <w:tab w:val="num" w:pos="360"/>
        </w:tabs>
        <w:ind w:left="113" w:hanging="113"/>
      </w:pPr>
      <w:rPr>
        <w:rFonts w:hint="default"/>
        <w:sz w:val="16"/>
        <w:vertAlign w:val="superscript"/>
      </w:rPr>
    </w:lvl>
    <w:lvl w:ilvl="1" w:tplc="04090019">
      <w:start w:val="1"/>
      <w:numFmt w:val="lowerLetter"/>
      <w:lvlText w:val="%2."/>
      <w:lvlJc w:val="left"/>
      <w:pPr>
        <w:tabs>
          <w:tab w:val="num" w:pos="1440"/>
        </w:tabs>
        <w:ind w:left="1440" w:hanging="360"/>
      </w:pPr>
    </w:lvl>
    <w:lvl w:ilvl="2" w:tplc="0409001B">
      <w:start w:val="1"/>
      <w:numFmt w:val="lowerRoman"/>
      <w:pStyle w:val="RegPara"/>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AAD0ED6"/>
    <w:multiLevelType w:val="hybridMultilevel"/>
    <w:tmpl w:val="4C860FF6"/>
    <w:lvl w:ilvl="0" w:tplc="FFFFFFFF">
      <w:numFmt w:val="bullet"/>
      <w:lvlText w:val="-"/>
      <w:lvlJc w:val="left"/>
      <w:pPr>
        <w:ind w:left="720" w:hanging="360"/>
      </w:pPr>
      <w:rPr>
        <w:rFonts w:ascii="Arial" w:eastAsia="Times New Roman" w:hAnsi="Arial" w:cs="Arial" w:hint="default"/>
      </w:rPr>
    </w:lvl>
    <w:lvl w:ilvl="1" w:tplc="04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1AFF55CC"/>
    <w:multiLevelType w:val="multilevel"/>
    <w:tmpl w:val="A22614FA"/>
    <w:name w:val="Reg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27" w15:restartNumberingAfterBreak="0">
    <w:nsid w:val="1B897AAA"/>
    <w:multiLevelType w:val="multilevel"/>
    <w:tmpl w:val="FD2ACF66"/>
    <w:name w:val="Reg2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8" w15:restartNumberingAfterBreak="0">
    <w:nsid w:val="1BB5186F"/>
    <w:multiLevelType w:val="multilevel"/>
    <w:tmpl w:val="D324AD30"/>
    <w:styleLink w:val="SDMAppHeadList"/>
    <w:lvl w:ilvl="0">
      <w:start w:val="1"/>
      <w:numFmt w:val="none"/>
      <w:pStyle w:val="SDMAppTitle"/>
      <w:lvlText w:val="Appendix."/>
      <w:lvlJc w:val="left"/>
      <w:pPr>
        <w:ind w:left="2126" w:hanging="2126"/>
      </w:pPr>
      <w:rPr>
        <w:rFonts w:hint="default"/>
      </w:rPr>
    </w:lvl>
    <w:lvl w:ilvl="1">
      <w:start w:val="1"/>
      <w:numFmt w:val="decimal"/>
      <w:pStyle w:val="SDMApp1"/>
      <w:lvlText w:val="%2."/>
      <w:lvlJc w:val="left"/>
      <w:pPr>
        <w:tabs>
          <w:tab w:val="num" w:pos="709"/>
        </w:tabs>
        <w:ind w:left="680" w:hanging="680"/>
      </w:pPr>
      <w:rPr>
        <w:rFonts w:hint="default"/>
      </w:rPr>
    </w:lvl>
    <w:lvl w:ilvl="2">
      <w:start w:val="1"/>
      <w:numFmt w:val="decimal"/>
      <w:pStyle w:val="SDMApp2"/>
      <w:lvlText w:val="%2.%3."/>
      <w:lvlJc w:val="left"/>
      <w:pPr>
        <w:tabs>
          <w:tab w:val="num" w:pos="709"/>
        </w:tabs>
        <w:ind w:left="851" w:hanging="851"/>
      </w:pPr>
      <w:rPr>
        <w:rFonts w:hint="default"/>
      </w:rPr>
    </w:lvl>
    <w:lvl w:ilvl="3">
      <w:start w:val="1"/>
      <w:numFmt w:val="decimal"/>
      <w:pStyle w:val="SDMApp3"/>
      <w:lvlText w:val="%2.%3.%4."/>
      <w:lvlJc w:val="left"/>
      <w:pPr>
        <w:tabs>
          <w:tab w:val="num" w:pos="709"/>
        </w:tabs>
        <w:ind w:left="1191" w:hanging="1191"/>
      </w:pPr>
      <w:rPr>
        <w:rFonts w:hint="default"/>
      </w:rPr>
    </w:lvl>
    <w:lvl w:ilvl="4">
      <w:start w:val="1"/>
      <w:numFmt w:val="decimal"/>
      <w:pStyle w:val="SDMApp4"/>
      <w:lvlText w:val="%2.%3.%4.%5."/>
      <w:lvlJc w:val="left"/>
      <w:pPr>
        <w:tabs>
          <w:tab w:val="num" w:pos="1418"/>
        </w:tabs>
        <w:ind w:left="1588" w:hanging="1588"/>
      </w:pPr>
      <w:rPr>
        <w:rFonts w:hint="default"/>
      </w:rPr>
    </w:lvl>
    <w:lvl w:ilvl="5">
      <w:start w:val="1"/>
      <w:numFmt w:val="decimal"/>
      <w:pStyle w:val="SDMApp5"/>
      <w:lvlText w:val="%2.%3.%4.%5.%6."/>
      <w:lvlJc w:val="left"/>
      <w:pPr>
        <w:ind w:left="1985" w:hanging="1985"/>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1BC515BF"/>
    <w:multiLevelType w:val="multilevel"/>
    <w:tmpl w:val="02D64298"/>
    <w:name w:val="Reg3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0" w15:restartNumberingAfterBreak="0">
    <w:nsid w:val="1BD1561A"/>
    <w:multiLevelType w:val="hybridMultilevel"/>
    <w:tmpl w:val="E48A4460"/>
    <w:styleLink w:val="SDMTableBoxParaNumberedList"/>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1364769"/>
    <w:multiLevelType w:val="multilevel"/>
    <w:tmpl w:val="C172A2B4"/>
    <w:name w:val="Reg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2" w15:restartNumberingAfterBreak="0">
    <w:nsid w:val="26566C45"/>
    <w:multiLevelType w:val="multilevel"/>
    <w:tmpl w:val="5EDE06C6"/>
    <w:lvl w:ilvl="0">
      <w:numFmt w:val="decimal"/>
      <w:pStyle w:val="SDMTableBoxFigureFootnote"/>
      <w:lvlText w:val=""/>
      <w:lvlJc w:val="left"/>
    </w:lvl>
    <w:lvl w:ilvl="1">
      <w:numFmt w:val="decimal"/>
      <w:pStyle w:val="SDMTableBoxFigureFootnoteSL1"/>
      <w:lvlText w:val=""/>
      <w:lvlJc w:val="left"/>
    </w:lvl>
    <w:lvl w:ilvl="2">
      <w:numFmt w:val="decimal"/>
      <w:pStyle w:val="SDMTableBoxFigureFootnoteSL2"/>
      <w:lvlText w:val=""/>
      <w:lvlJc w:val="left"/>
    </w:lvl>
    <w:lvl w:ilvl="3">
      <w:numFmt w:val="decimal"/>
      <w:pStyle w:val="SDMTableBoxFigureFootnoteSL3"/>
      <w:lvlText w:val=""/>
      <w:lvlJc w:val="left"/>
    </w:lvl>
    <w:lvl w:ilvl="4">
      <w:numFmt w:val="decimal"/>
      <w:pStyle w:val="SDMTableBoxFigureFootnoteSL4"/>
      <w:lvlText w:val=""/>
      <w:lvlJc w:val="left"/>
    </w:lvl>
    <w:lvl w:ilvl="5">
      <w:numFmt w:val="decimal"/>
      <w:pStyle w:val="SDMTableBoxFigureFootnoteSL5"/>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B464845"/>
    <w:multiLevelType w:val="hybridMultilevel"/>
    <w:tmpl w:val="86AC0EB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2D2D57E9"/>
    <w:multiLevelType w:val="hybridMultilevel"/>
    <w:tmpl w:val="B5E6D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D6E1A00"/>
    <w:multiLevelType w:val="multilevel"/>
    <w:tmpl w:val="568476D8"/>
    <w:name w:val="Reg"/>
    <w:lvl w:ilvl="0">
      <w:start w:val="1"/>
      <w:numFmt w:val="upperRoman"/>
      <w:suff w:val="space"/>
      <w:lvlText w:val="%1. "/>
      <w:lvlJc w:val="right"/>
      <w:pPr>
        <w:ind w:left="0" w:firstLine="0"/>
      </w:pPr>
    </w:lvl>
    <w:lvl w:ilvl="1">
      <w:start w:val="1"/>
      <w:numFmt w:val="upperLetter"/>
      <w:suff w:val="space"/>
      <w:lvlText w:val="%2. "/>
      <w:lvlJc w:val="left"/>
      <w:pPr>
        <w:ind w:left="0" w:firstLine="0"/>
      </w:pPr>
      <w:rPr>
        <w:b/>
        <w:u w:val="none"/>
      </w:rPr>
    </w:lvl>
    <w:lvl w:ilvl="2">
      <w:start w:val="1"/>
      <w:numFmt w:val="decimal"/>
      <w:lvlRestart w:val="0"/>
      <w:lvlText w:val="%3."/>
      <w:lvlJc w:val="left"/>
      <w:pPr>
        <w:tabs>
          <w:tab w:val="num" w:pos="720"/>
        </w:tabs>
        <w:ind w:left="0" w:firstLine="0"/>
      </w:pPr>
      <w:rPr>
        <w:b w:val="0"/>
      </w:rPr>
    </w:lvl>
    <w:lvl w:ilvl="3">
      <w:start w:val="1"/>
      <w:numFmt w:val="lowerLetter"/>
      <w:lvlText w:val="(%4)"/>
      <w:lvlJc w:val="left"/>
      <w:pPr>
        <w:tabs>
          <w:tab w:val="num" w:pos="1440"/>
        </w:tabs>
        <w:ind w:left="0" w:firstLine="720"/>
      </w:pPr>
      <w:rPr>
        <w:b w:val="0"/>
      </w:rPr>
    </w:lvl>
    <w:lvl w:ilvl="4">
      <w:start w:val="1"/>
      <w:numFmt w:val="lowerRoman"/>
      <w:lvlText w:val="(%5)"/>
      <w:lvlJc w:val="right"/>
      <w:pPr>
        <w:tabs>
          <w:tab w:val="num" w:pos="2160"/>
        </w:tabs>
        <w:ind w:left="2160" w:hanging="573"/>
      </w:pPr>
    </w:lvl>
    <w:lvl w:ilvl="5">
      <w:start w:val="1"/>
      <w:numFmt w:val="lowerLetter"/>
      <w:lvlText w:val=""/>
      <w:lvlJc w:val="left"/>
      <w:pPr>
        <w:tabs>
          <w:tab w:val="num" w:pos="2880"/>
        </w:tabs>
        <w:ind w:left="2880" w:hanging="720"/>
      </w:pPr>
      <w:rPr>
        <w:rFonts w:ascii="Symbol" w:hAnsi="Symbol" w:hint="default"/>
      </w:rPr>
    </w:lvl>
    <w:lvl w:ilvl="6">
      <w:start w:val="1"/>
      <w:numFmt w:val="none"/>
      <w:lvlText w:val="[%3.%7"/>
      <w:lvlJc w:val="left"/>
      <w:pPr>
        <w:tabs>
          <w:tab w:val="num" w:pos="720"/>
        </w:tabs>
        <w:ind w:left="0" w:firstLine="0"/>
      </w:pPr>
    </w:lvl>
    <w:lvl w:ilvl="7">
      <w:start w:val="1"/>
      <w:numFmt w:val="none"/>
      <w:lvlText w:val="[(%4)%8"/>
      <w:lvlJc w:val="left"/>
      <w:pPr>
        <w:tabs>
          <w:tab w:val="num" w:pos="1440"/>
        </w:tabs>
        <w:ind w:left="0" w:firstLine="720"/>
      </w:pPr>
    </w:lvl>
    <w:lvl w:ilvl="8">
      <w:start w:val="1"/>
      <w:numFmt w:val="none"/>
      <w:lvlText w:val="[(%5)%9"/>
      <w:lvlJc w:val="right"/>
      <w:pPr>
        <w:tabs>
          <w:tab w:val="num" w:pos="2160"/>
        </w:tabs>
        <w:ind w:left="0" w:firstLine="1587"/>
      </w:pPr>
    </w:lvl>
  </w:abstractNum>
  <w:abstractNum w:abstractNumId="36" w15:restartNumberingAfterBreak="0">
    <w:nsid w:val="2FA03A21"/>
    <w:multiLevelType w:val="multilevel"/>
    <w:tmpl w:val="40EAA4EC"/>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7" w15:restartNumberingAfterBreak="0">
    <w:nsid w:val="307B1BD9"/>
    <w:multiLevelType w:val="multilevel"/>
    <w:tmpl w:val="075A6334"/>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38" w15:restartNumberingAfterBreak="0">
    <w:nsid w:val="318031D1"/>
    <w:multiLevelType w:val="multilevel"/>
    <w:tmpl w:val="E2A427E0"/>
    <w:name w:val="Toc13"/>
    <w:lvl w:ilvl="0">
      <w:start w:val="1"/>
      <w:numFmt w:val="upperRoman"/>
      <w:suff w:val="space"/>
      <w:lvlText w:val="%1. "/>
      <w:lvlJc w:val="center"/>
      <w:pPr>
        <w:ind w:left="0" w:firstLine="0"/>
      </w:pPr>
      <w:rPr>
        <w:sz w:val="22"/>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
      <w:lvlJc w:val="left"/>
      <w:pPr>
        <w:tabs>
          <w:tab w:val="num" w:pos="720"/>
        </w:tabs>
        <w:ind w:left="0" w:firstLine="0"/>
      </w:pPr>
      <w:rPr>
        <w:b w:val="0"/>
        <w:sz w:val="22"/>
      </w:rPr>
    </w:lvl>
    <w:lvl w:ilvl="4">
      <w:start w:val="1"/>
      <w:numFmt w:val="lowerLetter"/>
      <w:lvlText w:val="(%5)"/>
      <w:lvlJc w:val="left"/>
      <w:pPr>
        <w:tabs>
          <w:tab w:val="num" w:pos="1440"/>
        </w:tabs>
        <w:ind w:left="0" w:firstLine="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0" w:firstLine="0"/>
      </w:pPr>
    </w:lvl>
    <w:lvl w:ilvl="8">
      <w:start w:val="1"/>
      <w:numFmt w:val="none"/>
      <w:lvlText w:val="[(%5)%9"/>
      <w:lvlJc w:val="left"/>
      <w:pPr>
        <w:tabs>
          <w:tab w:val="num" w:pos="1440"/>
        </w:tabs>
        <w:ind w:left="0" w:firstLine="720"/>
      </w:pPr>
    </w:lvl>
  </w:abstractNum>
  <w:abstractNum w:abstractNumId="39" w15:restartNumberingAfterBreak="0">
    <w:nsid w:val="31A3680B"/>
    <w:multiLevelType w:val="multilevel"/>
    <w:tmpl w:val="DEEC8B6A"/>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40" w15:restartNumberingAfterBreak="0">
    <w:nsid w:val="35553B70"/>
    <w:multiLevelType w:val="hybridMultilevel"/>
    <w:tmpl w:val="643CD2B4"/>
    <w:lvl w:ilvl="0" w:tplc="66B0D986">
      <w:start w:val="1"/>
      <w:numFmt w:val="bullet"/>
      <w:pStyle w:val="Bulletedtex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6854508"/>
    <w:multiLevelType w:val="multilevel"/>
    <w:tmpl w:val="C18A5072"/>
    <w:lvl w:ilvl="0">
      <w:start w:val="1"/>
      <w:numFmt w:val="none"/>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2" w15:restartNumberingAfterBreak="0">
    <w:nsid w:val="36924865"/>
    <w:multiLevelType w:val="multilevel"/>
    <w:tmpl w:val="AE6881FE"/>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3" w15:restartNumberingAfterBreak="0">
    <w:nsid w:val="3C792321"/>
    <w:multiLevelType w:val="multilevel"/>
    <w:tmpl w:val="54D600CE"/>
    <w:name w:val="Reg2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4" w15:restartNumberingAfterBreak="0">
    <w:nsid w:val="3CFD042E"/>
    <w:multiLevelType w:val="multilevel"/>
    <w:tmpl w:val="C694A2DA"/>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3D842958"/>
    <w:multiLevelType w:val="hybridMultilevel"/>
    <w:tmpl w:val="B830AFFA"/>
    <w:lvl w:ilvl="0" w:tplc="C25E2E4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DC16119"/>
    <w:multiLevelType w:val="multilevel"/>
    <w:tmpl w:val="BCBAC81C"/>
    <w:name w:val="Reg1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7" w15:restartNumberingAfterBreak="0">
    <w:nsid w:val="3DFC2F8B"/>
    <w:multiLevelType w:val="hybridMultilevel"/>
    <w:tmpl w:val="ECCC06FE"/>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FDA42F1"/>
    <w:multiLevelType w:val="multilevel"/>
    <w:tmpl w:val="AE709A9A"/>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9" w15:restartNumberingAfterBreak="0">
    <w:nsid w:val="428120B6"/>
    <w:multiLevelType w:val="multilevel"/>
    <w:tmpl w:val="23DC3AAA"/>
    <w:name w:val="Reg32"/>
    <w:lvl w:ilvl="0">
      <w:start w:val="1"/>
      <w:numFmt w:val="upperRoman"/>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0" w15:restartNumberingAfterBreak="0">
    <w:nsid w:val="45896A99"/>
    <w:multiLevelType w:val="hybridMultilevel"/>
    <w:tmpl w:val="8CD4491C"/>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45E052B9"/>
    <w:multiLevelType w:val="multilevel"/>
    <w:tmpl w:val="BAB8CCD8"/>
    <w:name w:val="Dec"/>
    <w:lvl w:ilvl="0">
      <w:start w:val="1"/>
      <w:numFmt w:val="upperRoman"/>
      <w:suff w:val="space"/>
      <w:lvlText w:val="%1. "/>
      <w:lvlJc w:val="right"/>
      <w:pPr>
        <w:ind w:left="0" w:firstLine="0"/>
      </w:pPr>
      <w:rPr>
        <w:rFonts w:hint="default"/>
        <w:sz w:val="24"/>
        <w:szCs w:val="24"/>
      </w:rPr>
    </w:lvl>
    <w:lvl w:ilvl="1">
      <w:start w:val="1"/>
      <w:numFmt w:val="decimal"/>
      <w:suff w:val="space"/>
      <w:lvlText w:val="%2. "/>
      <w:lvlJc w:val="left"/>
      <w:pPr>
        <w:ind w:left="0" w:firstLine="0"/>
      </w:pPr>
      <w:rPr>
        <w:rFonts w:hint="default"/>
        <w:u w:val="none"/>
      </w:rPr>
    </w:lvl>
    <w:lvl w:ilvl="2">
      <w:start w:val="1"/>
      <w:numFmt w:val="lowerLetter"/>
      <w:lvlText w:val="(%3)"/>
      <w:lvlJc w:val="left"/>
      <w:pPr>
        <w:tabs>
          <w:tab w:val="num" w:pos="360"/>
        </w:tabs>
        <w:ind w:left="0" w:firstLine="0"/>
      </w:pPr>
      <w:rPr>
        <w:rFonts w:hint="default"/>
        <w:b w:val="0"/>
        <w:i w:val="0"/>
        <w:u w:val="none"/>
      </w:rPr>
    </w:lvl>
    <w:lvl w:ilvl="3">
      <w:start w:val="1"/>
      <w:numFmt w:val="lowerRoman"/>
      <w:lvlText w:val="(%4)"/>
      <w:lvlJc w:val="right"/>
      <w:pPr>
        <w:tabs>
          <w:tab w:val="num" w:pos="1440"/>
        </w:tabs>
        <w:ind w:left="1440" w:hanging="533"/>
      </w:pPr>
      <w:rPr>
        <w:rFonts w:ascii="Times New Roman" w:hAnsi="Times New Roman" w:hint="default"/>
        <w:b w:val="0"/>
      </w:rPr>
    </w:lvl>
    <w:lvl w:ilvl="4">
      <w:start w:val="1"/>
      <w:numFmt w:val="decimal"/>
      <w:lvlRestart w:val="0"/>
      <w:lvlText w:val="%5."/>
      <w:lvlJc w:val="left"/>
      <w:pPr>
        <w:tabs>
          <w:tab w:val="num" w:pos="720"/>
        </w:tabs>
        <w:ind w:left="0" w:firstLine="0"/>
      </w:pPr>
      <w:rPr>
        <w:rFonts w:ascii="Times New Roman" w:hAnsi="Times New Roman" w:hint="default"/>
      </w:rPr>
    </w:lvl>
    <w:lvl w:ilvl="5">
      <w:start w:val="1"/>
      <w:numFmt w:val="lowerLetter"/>
      <w:lvlText w:val="(%6)"/>
      <w:lvlJc w:val="left"/>
      <w:pPr>
        <w:tabs>
          <w:tab w:val="num" w:pos="1440"/>
        </w:tabs>
        <w:ind w:left="0" w:firstLine="720"/>
      </w:pPr>
      <w:rPr>
        <w:rFonts w:hint="default"/>
      </w:rPr>
    </w:lvl>
    <w:lvl w:ilvl="6">
      <w:start w:val="1"/>
      <w:numFmt w:val="decimal"/>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Letter"/>
      <w:lvlText w:val=""/>
      <w:lvlJc w:val="left"/>
      <w:pPr>
        <w:tabs>
          <w:tab w:val="num" w:pos="2880"/>
        </w:tabs>
        <w:ind w:left="2880" w:hanging="720"/>
      </w:pPr>
      <w:rPr>
        <w:rFonts w:ascii="Symbol" w:hAnsi="Symbol" w:hint="default"/>
      </w:rPr>
    </w:lvl>
  </w:abstractNum>
  <w:abstractNum w:abstractNumId="52" w15:restartNumberingAfterBreak="0">
    <w:nsid w:val="4AC52DB2"/>
    <w:multiLevelType w:val="multilevel"/>
    <w:tmpl w:val="C694A2DA"/>
    <w:name w:val="Reg1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53" w15:restartNumberingAfterBreak="0">
    <w:nsid w:val="4B55483B"/>
    <w:multiLevelType w:val="multilevel"/>
    <w:tmpl w:val="BBA2A6C6"/>
    <w:name w:val="Reg1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4" w15:restartNumberingAfterBreak="0">
    <w:nsid w:val="4DF0353F"/>
    <w:multiLevelType w:val="multilevel"/>
    <w:tmpl w:val="7C72A55E"/>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5" w15:restartNumberingAfterBreak="0">
    <w:nsid w:val="50A46154"/>
    <w:multiLevelType w:val="multilevel"/>
    <w:tmpl w:val="C18A5072"/>
    <w:styleLink w:val="SDMDocInfoTextBullets"/>
    <w:lvl w:ilvl="0">
      <w:start w:val="1"/>
      <w:numFmt w:val="none"/>
      <w:pStyle w:val="SDMDocInfoText"/>
      <w:suff w:val="nothing"/>
      <w:lvlText w:val=""/>
      <w:lvlJc w:val="left"/>
      <w:pPr>
        <w:ind w:left="0" w:firstLine="0"/>
      </w:pPr>
      <w:rPr>
        <w:rFonts w:hint="default"/>
      </w:rPr>
    </w:lvl>
    <w:lvl w:ilvl="1">
      <w:start w:val="1"/>
      <w:numFmt w:val="bullet"/>
      <w:lvlText w:val=""/>
      <w:lvlJc w:val="left"/>
      <w:pPr>
        <w:ind w:left="397" w:hanging="227"/>
      </w:pPr>
      <w:rPr>
        <w:rFonts w:ascii="Symbol" w:hAnsi="Symbol" w:hint="default"/>
      </w:rPr>
    </w:lvl>
    <w:lvl w:ilvl="2">
      <w:start w:val="1"/>
      <w:numFmt w:val="lowerLetter"/>
      <w:lvlText w:val="(%3)"/>
      <w:lvlJc w:val="left"/>
      <w:pPr>
        <w:ind w:left="737" w:hanging="340"/>
      </w:pPr>
      <w:rPr>
        <w:rFonts w:hint="default"/>
      </w:rPr>
    </w:lvl>
    <w:lvl w:ilvl="3">
      <w:start w:val="1"/>
      <w:numFmt w:val="lowerRoman"/>
      <w:lvlText w:val="(%4)"/>
      <w:lvlJc w:val="left"/>
      <w:pPr>
        <w:tabs>
          <w:tab w:val="num" w:pos="737"/>
        </w:tabs>
        <w:ind w:left="1049" w:hanging="312"/>
      </w:pPr>
      <w:rPr>
        <w:rFonts w:hint="default"/>
      </w:rPr>
    </w:lvl>
    <w:lvl w:ilvl="4">
      <w:start w:val="1"/>
      <w:numFmt w:val="lowerLetter"/>
      <w:lvlText w:val="%5."/>
      <w:lvlJc w:val="left"/>
      <w:pPr>
        <w:tabs>
          <w:tab w:val="num" w:pos="1077"/>
        </w:tabs>
        <w:ind w:left="1332" w:hanging="283"/>
      </w:pPr>
      <w:rPr>
        <w:rFonts w:hint="default"/>
      </w:rPr>
    </w:lvl>
    <w:lvl w:ilvl="5">
      <w:start w:val="1"/>
      <w:numFmt w:val="lowerRoman"/>
      <w:lvlText w:val="%6."/>
      <w:lvlJc w:val="left"/>
      <w:pPr>
        <w:tabs>
          <w:tab w:val="num" w:pos="1361"/>
        </w:tabs>
        <w:ind w:left="1559" w:hanging="22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6" w15:restartNumberingAfterBreak="0">
    <w:nsid w:val="524561C4"/>
    <w:multiLevelType w:val="multilevel"/>
    <w:tmpl w:val="A26A24AE"/>
    <w:name w:val="Reg1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7" w15:restartNumberingAfterBreak="0">
    <w:nsid w:val="560D7A4F"/>
    <w:multiLevelType w:val="hybridMultilevel"/>
    <w:tmpl w:val="0180DB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72E4DA5"/>
    <w:multiLevelType w:val="hybridMultilevel"/>
    <w:tmpl w:val="00BC8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5D507D19"/>
    <w:multiLevelType w:val="hybridMultilevel"/>
    <w:tmpl w:val="08388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65057A"/>
    <w:multiLevelType w:val="multilevel"/>
    <w:tmpl w:val="50041812"/>
    <w:name w:val="Reg1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1" w15:restartNumberingAfterBreak="0">
    <w:nsid w:val="639E5E02"/>
    <w:multiLevelType w:val="multilevel"/>
    <w:tmpl w:val="E9BEC3F6"/>
    <w:name w:val="Reg1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3.%8"/>
      <w:lvlJc w:val="left"/>
      <w:pPr>
        <w:tabs>
          <w:tab w:val="num" w:pos="720"/>
        </w:tabs>
        <w:ind w:left="720" w:hanging="720"/>
      </w:pPr>
    </w:lvl>
    <w:lvl w:ilvl="8">
      <w:start w:val="1"/>
      <w:numFmt w:val="none"/>
      <w:lvlText w:val="[(%5)%9"/>
      <w:lvlJc w:val="left"/>
      <w:pPr>
        <w:tabs>
          <w:tab w:val="num" w:pos="1440"/>
        </w:tabs>
        <w:ind w:left="1440" w:hanging="720"/>
      </w:pPr>
    </w:lvl>
  </w:abstractNum>
  <w:abstractNum w:abstractNumId="62" w15:restartNumberingAfterBreak="0">
    <w:nsid w:val="64D345AC"/>
    <w:multiLevelType w:val="multilevel"/>
    <w:tmpl w:val="12C0BDFA"/>
    <w:name w:val="Reg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3" w15:restartNumberingAfterBreak="0">
    <w:nsid w:val="67160872"/>
    <w:multiLevelType w:val="hybridMultilevel"/>
    <w:tmpl w:val="556ED4A6"/>
    <w:styleLink w:val="SDMFootnoteList"/>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8EC61F4"/>
    <w:multiLevelType w:val="hybridMultilevel"/>
    <w:tmpl w:val="7DDAB674"/>
    <w:lvl w:ilvl="0" w:tplc="B43E4BE4">
      <w:start w:val="1"/>
      <w:numFmt w:val="bullet"/>
      <w:pStyle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6B392DA7"/>
    <w:multiLevelType w:val="multilevel"/>
    <w:tmpl w:val="5EDE06C6"/>
    <w:styleLink w:val="CurrentList3"/>
    <w:lvl w:ilvl="0">
      <w:start w:val="1"/>
      <w:numFmt w:val="decimal"/>
      <w:pStyle w:val="SDMPara"/>
      <w:lvlText w:val="%1."/>
      <w:lvlJc w:val="left"/>
      <w:pPr>
        <w:tabs>
          <w:tab w:val="num" w:pos="709"/>
        </w:tabs>
        <w:ind w:left="709" w:hanging="709"/>
      </w:pPr>
      <w:rPr>
        <w:rFonts w:hint="default"/>
      </w:rPr>
    </w:lvl>
    <w:lvl w:ilvl="1">
      <w:start w:val="1"/>
      <w:numFmt w:val="lowerLetter"/>
      <w:pStyle w:val="SDMSubPara1"/>
      <w:lvlText w:val="(%2)"/>
      <w:lvlJc w:val="left"/>
      <w:pPr>
        <w:tabs>
          <w:tab w:val="num" w:pos="709"/>
        </w:tabs>
        <w:ind w:left="1418" w:hanging="709"/>
      </w:pPr>
      <w:rPr>
        <w:rFonts w:hint="default"/>
      </w:rPr>
    </w:lvl>
    <w:lvl w:ilvl="2">
      <w:start w:val="1"/>
      <w:numFmt w:val="lowerRoman"/>
      <w:pStyle w:val="SDMSubPara2"/>
      <w:lvlText w:val="(%3)"/>
      <w:lvlJc w:val="left"/>
      <w:pPr>
        <w:tabs>
          <w:tab w:val="num" w:pos="709"/>
        </w:tabs>
        <w:ind w:left="1985" w:hanging="567"/>
      </w:pPr>
      <w:rPr>
        <w:rFonts w:hint="default"/>
      </w:rPr>
    </w:lvl>
    <w:lvl w:ilvl="3">
      <w:start w:val="1"/>
      <w:numFmt w:val="lowerLetter"/>
      <w:pStyle w:val="SDMSubPara3"/>
      <w:lvlText w:val="%4."/>
      <w:lvlJc w:val="left"/>
      <w:pPr>
        <w:tabs>
          <w:tab w:val="num" w:pos="709"/>
        </w:tabs>
        <w:ind w:left="2722" w:hanging="596"/>
      </w:pPr>
      <w:rPr>
        <w:rFonts w:hint="default"/>
      </w:rPr>
    </w:lvl>
    <w:lvl w:ilvl="4">
      <w:start w:val="1"/>
      <w:numFmt w:val="lowerRoman"/>
      <w:pStyle w:val="SDMSubPara4"/>
      <w:lvlText w:val="%5."/>
      <w:lvlJc w:val="left"/>
      <w:pPr>
        <w:tabs>
          <w:tab w:val="num" w:pos="709"/>
        </w:tabs>
        <w:ind w:left="3232" w:hanging="397"/>
      </w:pPr>
      <w:rPr>
        <w:rFonts w:hint="default"/>
      </w:rPr>
    </w:lvl>
    <w:lvl w:ilvl="5">
      <w:start w:val="1"/>
      <w:numFmt w:val="none"/>
      <w:lvlText w:val=""/>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66" w15:restartNumberingAfterBreak="0">
    <w:nsid w:val="6BAA183E"/>
    <w:multiLevelType w:val="multilevel"/>
    <w:tmpl w:val="AE40536C"/>
    <w:name w:val="Reg3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7" w15:restartNumberingAfterBreak="0">
    <w:nsid w:val="6C331F9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68" w15:restartNumberingAfterBreak="0">
    <w:nsid w:val="6E1606BE"/>
    <w:multiLevelType w:val="multilevel"/>
    <w:tmpl w:val="CC264296"/>
    <w:name w:val="Reg2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9" w15:restartNumberingAfterBreak="0">
    <w:nsid w:val="6F060572"/>
    <w:multiLevelType w:val="multilevel"/>
    <w:tmpl w:val="5B66B3FC"/>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0" w15:restartNumberingAfterBreak="0">
    <w:nsid w:val="6FF560E4"/>
    <w:multiLevelType w:val="multilevel"/>
    <w:tmpl w:val="0E4A9DFC"/>
    <w:name w:val="Reg27"/>
    <w:lvl w:ilvl="0">
      <w:start w:val="1"/>
      <w:numFmt w:val="upperRoman"/>
      <w:suff w:val="space"/>
      <w:lvlText w:val="%1."/>
      <w:lvlJc w:val="left"/>
      <w:pPr>
        <w:ind w:left="720" w:hanging="720"/>
      </w:pPr>
      <w:rPr>
        <w:rFonts w:hint="default"/>
        <w:b/>
        <w:i w:val="0"/>
        <w:sz w:val="20"/>
      </w:rPr>
    </w:lvl>
    <w:lvl w:ilvl="1">
      <w:start w:val="1"/>
      <w:numFmt w:val="upperLetter"/>
      <w:suff w:val="space"/>
      <w:lvlText w:val="%2. "/>
      <w:lvlJc w:val="left"/>
      <w:pPr>
        <w:ind w:left="0" w:firstLine="0"/>
      </w:pPr>
      <w:rPr>
        <w:rFonts w:hint="default"/>
        <w:b w:val="0"/>
        <w:i w:val="0"/>
        <w:sz w:val="22"/>
        <w:u w:val="none"/>
      </w:rPr>
    </w:lvl>
    <w:lvl w:ilvl="2">
      <w:start w:val="1"/>
      <w:numFmt w:val="decimal"/>
      <w:lvlText w:val="%3."/>
      <w:lvlJc w:val="left"/>
      <w:pPr>
        <w:tabs>
          <w:tab w:val="num" w:pos="2160"/>
        </w:tabs>
        <w:ind w:left="2160" w:hanging="720"/>
      </w:pPr>
      <w:rPr>
        <w:rFonts w:hint="default"/>
        <w:b w:val="0"/>
        <w:i w:val="0"/>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5906882"/>
    <w:multiLevelType w:val="hybridMultilevel"/>
    <w:tmpl w:val="028C0C32"/>
    <w:name w:val="Reg28"/>
    <w:lvl w:ilvl="0" w:tplc="03DEC4E8">
      <w:start w:val="1"/>
      <w:numFmt w:val="bullet"/>
      <w:lvlText w:val=""/>
      <w:lvlJc w:val="left"/>
      <w:pPr>
        <w:tabs>
          <w:tab w:val="num" w:pos="720"/>
        </w:tabs>
        <w:ind w:left="720" w:hanging="360"/>
      </w:pPr>
      <w:rPr>
        <w:rFonts w:ascii="Symbol" w:hAnsi="Symbol" w:hint="default"/>
      </w:rPr>
    </w:lvl>
    <w:lvl w:ilvl="1" w:tplc="8AA43FB0" w:tentative="1">
      <w:start w:val="1"/>
      <w:numFmt w:val="bullet"/>
      <w:lvlText w:val="o"/>
      <w:lvlJc w:val="left"/>
      <w:pPr>
        <w:tabs>
          <w:tab w:val="num" w:pos="1440"/>
        </w:tabs>
        <w:ind w:left="1440" w:hanging="360"/>
      </w:pPr>
      <w:rPr>
        <w:rFonts w:ascii="Courier New" w:hAnsi="Courier New" w:hint="default"/>
      </w:rPr>
    </w:lvl>
    <w:lvl w:ilvl="2" w:tplc="C86089E4" w:tentative="1">
      <w:start w:val="1"/>
      <w:numFmt w:val="bullet"/>
      <w:lvlText w:val=""/>
      <w:lvlJc w:val="left"/>
      <w:pPr>
        <w:tabs>
          <w:tab w:val="num" w:pos="2160"/>
        </w:tabs>
        <w:ind w:left="2160" w:hanging="360"/>
      </w:pPr>
      <w:rPr>
        <w:rFonts w:ascii="Wingdings" w:hAnsi="Wingdings" w:hint="default"/>
      </w:rPr>
    </w:lvl>
    <w:lvl w:ilvl="3" w:tplc="684CA72E" w:tentative="1">
      <w:start w:val="1"/>
      <w:numFmt w:val="bullet"/>
      <w:lvlText w:val=""/>
      <w:lvlJc w:val="left"/>
      <w:pPr>
        <w:tabs>
          <w:tab w:val="num" w:pos="2880"/>
        </w:tabs>
        <w:ind w:left="2880" w:hanging="360"/>
      </w:pPr>
      <w:rPr>
        <w:rFonts w:ascii="Symbol" w:hAnsi="Symbol" w:hint="default"/>
      </w:rPr>
    </w:lvl>
    <w:lvl w:ilvl="4" w:tplc="06A09FC6">
      <w:start w:val="1"/>
      <w:numFmt w:val="bullet"/>
      <w:lvlText w:val="o"/>
      <w:lvlJc w:val="left"/>
      <w:pPr>
        <w:tabs>
          <w:tab w:val="num" w:pos="3600"/>
        </w:tabs>
        <w:ind w:left="3600" w:hanging="360"/>
      </w:pPr>
      <w:rPr>
        <w:rFonts w:ascii="Courier New" w:hAnsi="Courier New" w:hint="default"/>
      </w:rPr>
    </w:lvl>
    <w:lvl w:ilvl="5" w:tplc="FDB82654" w:tentative="1">
      <w:start w:val="1"/>
      <w:numFmt w:val="bullet"/>
      <w:lvlText w:val=""/>
      <w:lvlJc w:val="left"/>
      <w:pPr>
        <w:tabs>
          <w:tab w:val="num" w:pos="4320"/>
        </w:tabs>
        <w:ind w:left="4320" w:hanging="360"/>
      </w:pPr>
      <w:rPr>
        <w:rFonts w:ascii="Wingdings" w:hAnsi="Wingdings" w:hint="default"/>
      </w:rPr>
    </w:lvl>
    <w:lvl w:ilvl="6" w:tplc="AAC861AE" w:tentative="1">
      <w:start w:val="1"/>
      <w:numFmt w:val="bullet"/>
      <w:lvlText w:val=""/>
      <w:lvlJc w:val="left"/>
      <w:pPr>
        <w:tabs>
          <w:tab w:val="num" w:pos="5040"/>
        </w:tabs>
        <w:ind w:left="5040" w:hanging="360"/>
      </w:pPr>
      <w:rPr>
        <w:rFonts w:ascii="Symbol" w:hAnsi="Symbol" w:hint="default"/>
      </w:rPr>
    </w:lvl>
    <w:lvl w:ilvl="7" w:tplc="ABC41C8E" w:tentative="1">
      <w:start w:val="1"/>
      <w:numFmt w:val="bullet"/>
      <w:lvlText w:val="o"/>
      <w:lvlJc w:val="left"/>
      <w:pPr>
        <w:tabs>
          <w:tab w:val="num" w:pos="5760"/>
        </w:tabs>
        <w:ind w:left="5760" w:hanging="360"/>
      </w:pPr>
      <w:rPr>
        <w:rFonts w:ascii="Courier New" w:hAnsi="Courier New" w:hint="default"/>
      </w:rPr>
    </w:lvl>
    <w:lvl w:ilvl="8" w:tplc="FDC41136"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7BF3D54"/>
    <w:multiLevelType w:val="multilevel"/>
    <w:tmpl w:val="81E46A44"/>
    <w:styleLink w:val="SDMHeadList"/>
    <w:lvl w:ilvl="0">
      <w:start w:val="1"/>
      <w:numFmt w:val="decimal"/>
      <w:pStyle w:val="SDMHead1"/>
      <w:lvlText w:val="%1."/>
      <w:lvlJc w:val="left"/>
      <w:pPr>
        <w:tabs>
          <w:tab w:val="num" w:pos="709"/>
        </w:tabs>
        <w:ind w:left="709" w:hanging="709"/>
      </w:pPr>
      <w:rPr>
        <w:rFonts w:hint="default"/>
      </w:rPr>
    </w:lvl>
    <w:lvl w:ilvl="1">
      <w:start w:val="1"/>
      <w:numFmt w:val="decimal"/>
      <w:pStyle w:val="SDMHead2"/>
      <w:lvlText w:val="%1.%2."/>
      <w:lvlJc w:val="left"/>
      <w:pPr>
        <w:tabs>
          <w:tab w:val="num" w:pos="709"/>
        </w:tabs>
        <w:ind w:left="709" w:hanging="709"/>
      </w:pPr>
      <w:rPr>
        <w:rFonts w:hint="default"/>
      </w:rPr>
    </w:lvl>
    <w:lvl w:ilvl="2">
      <w:start w:val="1"/>
      <w:numFmt w:val="decimal"/>
      <w:pStyle w:val="SDMHead3"/>
      <w:lvlText w:val="%1.%2.%3."/>
      <w:lvlJc w:val="left"/>
      <w:pPr>
        <w:tabs>
          <w:tab w:val="num" w:pos="709"/>
        </w:tabs>
        <w:ind w:left="709" w:hanging="709"/>
      </w:pPr>
      <w:rPr>
        <w:rFonts w:hint="default"/>
      </w:rPr>
    </w:lvl>
    <w:lvl w:ilvl="3">
      <w:start w:val="1"/>
      <w:numFmt w:val="decimal"/>
      <w:pStyle w:val="SDMHead4"/>
      <w:lvlText w:val="%1.%2.%3.%4."/>
      <w:lvlJc w:val="left"/>
      <w:pPr>
        <w:tabs>
          <w:tab w:val="num" w:pos="1418"/>
        </w:tabs>
        <w:ind w:left="1418" w:hanging="1418"/>
      </w:pPr>
      <w:rPr>
        <w:rFonts w:hint="default"/>
      </w:rPr>
    </w:lvl>
    <w:lvl w:ilvl="4">
      <w:start w:val="1"/>
      <w:numFmt w:val="decimal"/>
      <w:pStyle w:val="SDMHead5"/>
      <w:lvlText w:val="%1.%2.%3.%4.%5."/>
      <w:lvlJc w:val="left"/>
      <w:pPr>
        <w:tabs>
          <w:tab w:val="num" w:pos="1418"/>
        </w:tabs>
        <w:ind w:left="1418" w:hanging="1418"/>
      </w:pPr>
      <w:rPr>
        <w:rFonts w:hint="default"/>
        <w:b/>
        <w:i w:val="0"/>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3" w15:restartNumberingAfterBreak="0">
    <w:nsid w:val="7A1835A7"/>
    <w:multiLevelType w:val="hybridMultilevel"/>
    <w:tmpl w:val="5192CA4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4" w15:restartNumberingAfterBreak="0">
    <w:nsid w:val="7CBA47F7"/>
    <w:multiLevelType w:val="hybridMultilevel"/>
    <w:tmpl w:val="0A4A371A"/>
    <w:name w:val="Reg36"/>
    <w:lvl w:ilvl="0" w:tplc="FFFFFFFF">
      <w:start w:val="1"/>
      <w:numFmt w:val="lowerRoman"/>
      <w:lvlText w:val="(%1)"/>
      <w:lvlJc w:val="left"/>
      <w:pPr>
        <w:tabs>
          <w:tab w:val="num" w:pos="1440"/>
        </w:tabs>
        <w:ind w:left="887" w:hanging="167"/>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6919960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07549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589442">
    <w:abstractNumId w:val="21"/>
  </w:num>
  <w:num w:numId="4" w16cid:durableId="1485585400">
    <w:abstractNumId w:val="7"/>
    <w:lvlOverride w:ilvl="0">
      <w:lvl w:ilvl="0">
        <w:start w:val="1"/>
        <w:numFmt w:val="decimal"/>
        <w:suff w:val="nothing"/>
        <w:lvlText w:val="Equation (%1)"/>
        <w:lvlJc w:val="left"/>
        <w:pPr>
          <w:ind w:left="0" w:firstLine="0"/>
        </w:pPr>
        <w:rPr>
          <w:rFonts w:hint="default"/>
          <w:sz w:val="20"/>
          <w:szCs w:val="20"/>
        </w:rPr>
      </w:lvl>
    </w:lvlOverride>
    <w:lvlOverride w:ilvl="1">
      <w:lvl w:ilvl="1">
        <w:start w:val="1"/>
        <w:numFmt w:val="none"/>
        <w:suff w:val="nothing"/>
        <w:lvlText w:val=""/>
        <w:lvlJc w:val="left"/>
        <w:pPr>
          <w:ind w:left="0" w:firstLine="0"/>
        </w:pPr>
        <w:rPr>
          <w:rFonts w:hint="default"/>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5" w16cid:durableId="1035740078">
    <w:abstractNumId w:val="65"/>
    <w:lvlOverride w:ilvl="0">
      <w:lvl w:ilvl="0">
        <w:start w:val="1"/>
        <w:numFmt w:val="decimal"/>
        <w:pStyle w:val="SDMPara"/>
        <w:lvlText w:val="%1."/>
        <w:lvlJc w:val="left"/>
        <w:pPr>
          <w:tabs>
            <w:tab w:val="num" w:pos="709"/>
          </w:tabs>
          <w:ind w:left="709" w:hanging="709"/>
        </w:pPr>
        <w:rPr>
          <w:rFonts w:hint="default"/>
        </w:rPr>
      </w:lvl>
    </w:lvlOverride>
  </w:num>
  <w:num w:numId="6" w16cid:durableId="1188300732">
    <w:abstractNumId w:val="9"/>
    <w:lvlOverride w:ilvl="0">
      <w:lvl w:ilvl="0">
        <w:start w:val="1"/>
        <w:numFmt w:val="none"/>
        <w:pStyle w:val="FootnoteText"/>
        <w:suff w:val="nothing"/>
        <w:lvlText w:val=""/>
        <w:lvlJc w:val="left"/>
        <w:pPr>
          <w:ind w:left="227" w:hanging="227"/>
        </w:pPr>
        <w:rPr>
          <w:rFonts w:hint="default"/>
        </w:rPr>
      </w:lvl>
    </w:lvlOverride>
  </w:num>
  <w:num w:numId="7" w16cid:durableId="622156930">
    <w:abstractNumId w:val="7"/>
    <w:lvlOverride w:ilvl="0">
      <w:lvl w:ilvl="0">
        <w:start w:val="1"/>
        <w:numFmt w:val="decimal"/>
        <w:suff w:val="nothing"/>
        <w:lvlText w:val="Equation (%1)"/>
        <w:lvlJc w:val="left"/>
        <w:pPr>
          <w:ind w:left="0" w:firstLine="0"/>
        </w:pPr>
        <w:rPr>
          <w:rFonts w:hint="default"/>
          <w:sz w:val="20"/>
          <w:szCs w:val="20"/>
        </w:rPr>
      </w:lvl>
    </w:lvlOverride>
    <w:lvlOverride w:ilvl="1">
      <w:lvl w:ilvl="1">
        <w:start w:val="1"/>
        <w:numFmt w:val="none"/>
        <w:suff w:val="nothing"/>
        <w:lvlText w:val=""/>
        <w:lvlJc w:val="left"/>
        <w:pPr>
          <w:ind w:left="0" w:firstLine="0"/>
        </w:pPr>
        <w:rPr>
          <w:rFonts w:hint="default"/>
        </w:rPr>
      </w:lvl>
    </w:lvlOverride>
    <w:lvlOverride w:ilvl="2">
      <w:lvl w:ilvl="2">
        <w:start w:val="1"/>
        <w:numFmt w:val="none"/>
        <w:suff w:val="nothing"/>
        <w:lvlText w:val=""/>
        <w:lvlJc w:val="left"/>
        <w:pPr>
          <w:ind w:left="0" w:firstLine="0"/>
        </w:pPr>
        <w:rPr>
          <w:rFonts w:hint="default"/>
        </w:rPr>
      </w:lvl>
    </w:lvlOverride>
    <w:lvlOverride w:ilvl="3">
      <w:lvl w:ilvl="3">
        <w:start w:val="1"/>
        <w:numFmt w:val="none"/>
        <w:suff w:val="nothing"/>
        <w:lvlText w:val=""/>
        <w:lvlJc w:val="left"/>
        <w:pPr>
          <w:ind w:left="0" w:firstLine="0"/>
        </w:pPr>
        <w:rPr>
          <w:rFonts w:hint="default"/>
        </w:rPr>
      </w:lvl>
    </w:lvlOverride>
    <w:lvlOverride w:ilvl="4">
      <w:lvl w:ilvl="4">
        <w:start w:val="1"/>
        <w:numFmt w:val="none"/>
        <w:suff w:val="nothing"/>
        <w:lvlText w:val=""/>
        <w:lvlJc w:val="left"/>
        <w:pPr>
          <w:ind w:left="0" w:firstLine="0"/>
        </w:pPr>
        <w:rPr>
          <w:rFonts w:hint="default"/>
        </w:rPr>
      </w:lvl>
    </w:lvlOverride>
    <w:lvlOverride w:ilvl="5">
      <w:lvl w:ilvl="5">
        <w:start w:val="1"/>
        <w:numFmt w:val="none"/>
        <w:suff w:val="nothing"/>
        <w:lvlText w:val=""/>
        <w:lvlJc w:val="left"/>
        <w:pPr>
          <w:ind w:left="0" w:firstLine="0"/>
        </w:pPr>
        <w:rPr>
          <w:rFonts w:hint="default"/>
        </w:rPr>
      </w:lvl>
    </w:lvlOverride>
    <w:lvlOverride w:ilvl="6">
      <w:lvl w:ilvl="6">
        <w:start w:val="1"/>
        <w:numFmt w:val="none"/>
        <w:suff w:val="nothing"/>
        <w:lvlText w:val=""/>
        <w:lvlJc w:val="left"/>
        <w:pPr>
          <w:ind w:left="0" w:firstLine="0"/>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8" w16cid:durableId="1856461109">
    <w:abstractNumId w:val="24"/>
  </w:num>
  <w:num w:numId="9" w16cid:durableId="300816495">
    <w:abstractNumId w:val="64"/>
  </w:num>
  <w:num w:numId="10" w16cid:durableId="255409395">
    <w:abstractNumId w:val="40"/>
  </w:num>
  <w:num w:numId="11" w16cid:durableId="1625189714">
    <w:abstractNumId w:val="17"/>
  </w:num>
  <w:num w:numId="12" w16cid:durableId="1828086589">
    <w:abstractNumId w:val="45"/>
  </w:num>
  <w:num w:numId="13" w16cid:durableId="1685745565">
    <w:abstractNumId w:val="58"/>
  </w:num>
  <w:num w:numId="14" w16cid:durableId="213667225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0911520">
    <w:abstractNumId w:val="7"/>
    <w:lvlOverride w:ilvl="0">
      <w:lvl w:ilvl="0">
        <w:start w:val="1"/>
        <w:numFmt w:val="decimal"/>
        <w:suff w:val="nothing"/>
        <w:lvlText w:val="Equation (%1)"/>
        <w:lvlJc w:val="left"/>
        <w:pPr>
          <w:ind w:left="0" w:firstLine="0"/>
        </w:pPr>
        <w:rPr>
          <w:rFonts w:hint="default"/>
          <w:sz w:val="20"/>
          <w:szCs w:val="20"/>
        </w:rPr>
      </w:lvl>
    </w:lvlOverride>
  </w:num>
  <w:num w:numId="16" w16cid:durableId="189611729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092740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0309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9335646">
    <w:abstractNumId w:val="9"/>
    <w:lvlOverride w:ilvl="0">
      <w:startOverride w:val="1"/>
      <w:lvl w:ilvl="0">
        <w:start w:val="1"/>
        <w:numFmt w:val="decimal"/>
        <w:pStyle w:val="FootnoteText"/>
        <w:suff w:val="nothing"/>
        <w:lvlText w:val=""/>
        <w:lvlJc w:val="left"/>
        <w:pPr>
          <w:ind w:left="227" w:hanging="227"/>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16cid:durableId="125725117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316086">
    <w:abstractNumId w:val="25"/>
  </w:num>
  <w:num w:numId="22" w16cid:durableId="1817992911">
    <w:abstractNumId w:val="18"/>
  </w:num>
  <w:num w:numId="23" w16cid:durableId="1375808360">
    <w:abstractNumId w:val="59"/>
  </w:num>
  <w:num w:numId="24" w16cid:durableId="404959505">
    <w:abstractNumId w:val="30"/>
  </w:num>
  <w:num w:numId="25" w16cid:durableId="1477527580">
    <w:abstractNumId w:val="11"/>
  </w:num>
  <w:num w:numId="26" w16cid:durableId="900867780">
    <w:abstractNumId w:val="47"/>
  </w:num>
  <w:num w:numId="27" w16cid:durableId="64837656">
    <w:abstractNumId w:val="15"/>
  </w:num>
  <w:num w:numId="28" w16cid:durableId="965742193">
    <w:abstractNumId w:val="34"/>
  </w:num>
  <w:num w:numId="29" w16cid:durableId="1949315646">
    <w:abstractNumId w:val="33"/>
  </w:num>
  <w:num w:numId="30" w16cid:durableId="1865703323">
    <w:abstractNumId w:val="4"/>
  </w:num>
  <w:num w:numId="31" w16cid:durableId="1723291749">
    <w:abstractNumId w:val="28"/>
  </w:num>
  <w:num w:numId="32" w16cid:durableId="871499392">
    <w:abstractNumId w:val="19"/>
  </w:num>
  <w:num w:numId="33" w16cid:durableId="1087190146">
    <w:abstractNumId w:val="41"/>
  </w:num>
  <w:num w:numId="34" w16cid:durableId="344989323">
    <w:abstractNumId w:val="9"/>
  </w:num>
  <w:num w:numId="35" w16cid:durableId="2025788603">
    <w:abstractNumId w:val="10"/>
  </w:num>
  <w:num w:numId="36" w16cid:durableId="257493359">
    <w:abstractNumId w:val="23"/>
  </w:num>
  <w:num w:numId="37" w16cid:durableId="1275671383">
    <w:abstractNumId w:val="50"/>
  </w:num>
  <w:num w:numId="38" w16cid:durableId="264267139">
    <w:abstractNumId w:val="73"/>
  </w:num>
  <w:num w:numId="39" w16cid:durableId="2093695822">
    <w:abstractNumId w:val="3"/>
  </w:num>
  <w:num w:numId="40" w16cid:durableId="1320112314">
    <w:abstractNumId w:val="8"/>
  </w:num>
  <w:num w:numId="41" w16cid:durableId="1588658687">
    <w:abstractNumId w:val="67"/>
  </w:num>
  <w:num w:numId="42" w16cid:durableId="1268737072">
    <w:abstractNumId w:val="19"/>
  </w:num>
  <w:num w:numId="43" w16cid:durableId="246616059">
    <w:abstractNumId w:val="9"/>
  </w:num>
  <w:num w:numId="44" w16cid:durableId="958990403">
    <w:abstractNumId w:val="72"/>
  </w:num>
  <w:num w:numId="45" w16cid:durableId="579172966">
    <w:abstractNumId w:val="10"/>
  </w:num>
  <w:num w:numId="46" w16cid:durableId="882325802">
    <w:abstractNumId w:val="65"/>
  </w:num>
  <w:num w:numId="47" w16cid:durableId="572004940">
    <w:abstractNumId w:val="5"/>
  </w:num>
  <w:num w:numId="48" w16cid:durableId="1380856283">
    <w:abstractNumId w:val="32"/>
  </w:num>
  <w:num w:numId="49" w16cid:durableId="1266616501">
    <w:abstractNumId w:val="21"/>
  </w:num>
  <w:num w:numId="50" w16cid:durableId="1290235330">
    <w:abstractNumId w:val="2"/>
  </w:num>
  <w:num w:numId="51" w16cid:durableId="886063500">
    <w:abstractNumId w:val="57"/>
  </w:num>
  <w:num w:numId="52" w16cid:durableId="1824810079">
    <w:abstractNumId w:val="63"/>
  </w:num>
  <w:num w:numId="53" w16cid:durableId="1847554972">
    <w:abstractNumId w:val="55"/>
  </w:num>
  <w:num w:numId="54" w16cid:durableId="411859326">
    <w:abstractNumId w:val="9"/>
  </w:num>
  <w:num w:numId="55" w16cid:durableId="526144323">
    <w:abstractNumId w:val="9"/>
  </w:num>
  <w:num w:numId="56" w16cid:durableId="588848635">
    <w:abstractNumId w:val="65"/>
  </w:num>
  <w:num w:numId="57" w16cid:durableId="49425057">
    <w:abstractNumId w:val="65"/>
  </w:num>
  <w:num w:numId="58" w16cid:durableId="793250038">
    <w:abstractNumId w:val="65"/>
  </w:num>
  <w:num w:numId="59" w16cid:durableId="1936357278">
    <w:abstractNumId w:val="65"/>
  </w:num>
  <w:num w:numId="60" w16cid:durableId="439373767">
    <w:abstractNumId w:val="72"/>
  </w:num>
  <w:num w:numId="61" w16cid:durableId="1268581585">
    <w:abstractNumId w:val="7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enforcement="0"/>
  <w:defaultTabStop w:val="709"/>
  <w:hyphenationZone w:val="425"/>
  <w:drawingGridHorizontalSpacing w:val="110"/>
  <w:drawingGridVerticalSpacing w:val="299"/>
  <w:displayHorizontalDrawingGridEvery w:val="0"/>
  <w:displayVerticalDrawingGridEvery w:val="0"/>
  <w:noPunctuationKerning/>
  <w:characterSpacingControl w:val="doNotCompress"/>
  <w:hdrShapeDefaults>
    <o:shapedefaults v:ext="edit" spidmax="2050" style="mso-position-horizontal:center;mso-position-horizontal-relative:margin;mso-position-vertical:center;mso-position-vertical-relative:margin" fill="f" fillcolor="#a6a6a6" stroke="f">
      <v:fill color="#a6a6a6" on="f"/>
      <v:stroke on="f"/>
      <v:shadow color="#868686"/>
    </o:shapedefaults>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DCC"/>
    <w:rsid w:val="0000013B"/>
    <w:rsid w:val="000001EC"/>
    <w:rsid w:val="0000027C"/>
    <w:rsid w:val="0000045C"/>
    <w:rsid w:val="000004B7"/>
    <w:rsid w:val="00000515"/>
    <w:rsid w:val="0000088E"/>
    <w:rsid w:val="0000091A"/>
    <w:rsid w:val="000009BC"/>
    <w:rsid w:val="00000A01"/>
    <w:rsid w:val="00000ADB"/>
    <w:rsid w:val="00000B5E"/>
    <w:rsid w:val="00001024"/>
    <w:rsid w:val="000012E9"/>
    <w:rsid w:val="000016E4"/>
    <w:rsid w:val="000017C8"/>
    <w:rsid w:val="000017E5"/>
    <w:rsid w:val="00001889"/>
    <w:rsid w:val="00001A49"/>
    <w:rsid w:val="00001AC8"/>
    <w:rsid w:val="00001CDF"/>
    <w:rsid w:val="00001DC5"/>
    <w:rsid w:val="00001E59"/>
    <w:rsid w:val="00001FD4"/>
    <w:rsid w:val="0000227D"/>
    <w:rsid w:val="00002590"/>
    <w:rsid w:val="000027C4"/>
    <w:rsid w:val="00002823"/>
    <w:rsid w:val="00002929"/>
    <w:rsid w:val="0000292D"/>
    <w:rsid w:val="000029A8"/>
    <w:rsid w:val="00002A1E"/>
    <w:rsid w:val="00002F46"/>
    <w:rsid w:val="00002FBE"/>
    <w:rsid w:val="000030A1"/>
    <w:rsid w:val="000031D5"/>
    <w:rsid w:val="000033C6"/>
    <w:rsid w:val="00003473"/>
    <w:rsid w:val="00003582"/>
    <w:rsid w:val="000036C6"/>
    <w:rsid w:val="000039C2"/>
    <w:rsid w:val="00003DBE"/>
    <w:rsid w:val="00003F1C"/>
    <w:rsid w:val="00003F80"/>
    <w:rsid w:val="0000404D"/>
    <w:rsid w:val="00004332"/>
    <w:rsid w:val="000043F7"/>
    <w:rsid w:val="00004AD9"/>
    <w:rsid w:val="00004B33"/>
    <w:rsid w:val="00004B7A"/>
    <w:rsid w:val="00004C06"/>
    <w:rsid w:val="000051F4"/>
    <w:rsid w:val="0000544C"/>
    <w:rsid w:val="00005504"/>
    <w:rsid w:val="00005A10"/>
    <w:rsid w:val="00005B98"/>
    <w:rsid w:val="00005B99"/>
    <w:rsid w:val="00005C4C"/>
    <w:rsid w:val="00005C4D"/>
    <w:rsid w:val="00005F64"/>
    <w:rsid w:val="00006123"/>
    <w:rsid w:val="00006398"/>
    <w:rsid w:val="0000648B"/>
    <w:rsid w:val="0000665F"/>
    <w:rsid w:val="00006979"/>
    <w:rsid w:val="00006A75"/>
    <w:rsid w:val="00006A87"/>
    <w:rsid w:val="00006AB2"/>
    <w:rsid w:val="00006AC5"/>
    <w:rsid w:val="00006C0D"/>
    <w:rsid w:val="00006F4F"/>
    <w:rsid w:val="00006FC4"/>
    <w:rsid w:val="00007040"/>
    <w:rsid w:val="000072AE"/>
    <w:rsid w:val="00007308"/>
    <w:rsid w:val="000074FB"/>
    <w:rsid w:val="000079C4"/>
    <w:rsid w:val="00007AE8"/>
    <w:rsid w:val="00007B13"/>
    <w:rsid w:val="00007C0A"/>
    <w:rsid w:val="00007E4E"/>
    <w:rsid w:val="00007E9B"/>
    <w:rsid w:val="00010125"/>
    <w:rsid w:val="000102D4"/>
    <w:rsid w:val="00010300"/>
    <w:rsid w:val="000103E9"/>
    <w:rsid w:val="0001042E"/>
    <w:rsid w:val="00010464"/>
    <w:rsid w:val="0001049C"/>
    <w:rsid w:val="000104CE"/>
    <w:rsid w:val="0001073B"/>
    <w:rsid w:val="000107DC"/>
    <w:rsid w:val="0001085D"/>
    <w:rsid w:val="0001088B"/>
    <w:rsid w:val="00010910"/>
    <w:rsid w:val="00010CE4"/>
    <w:rsid w:val="00010CF1"/>
    <w:rsid w:val="00010D27"/>
    <w:rsid w:val="00010D38"/>
    <w:rsid w:val="000110EE"/>
    <w:rsid w:val="0001110F"/>
    <w:rsid w:val="0001140D"/>
    <w:rsid w:val="0001156F"/>
    <w:rsid w:val="00011573"/>
    <w:rsid w:val="0001164E"/>
    <w:rsid w:val="0001165C"/>
    <w:rsid w:val="00011ADE"/>
    <w:rsid w:val="00011B5E"/>
    <w:rsid w:val="00011BC7"/>
    <w:rsid w:val="00011E6C"/>
    <w:rsid w:val="00011F5D"/>
    <w:rsid w:val="00012275"/>
    <w:rsid w:val="0001251E"/>
    <w:rsid w:val="00012556"/>
    <w:rsid w:val="00012790"/>
    <w:rsid w:val="00012920"/>
    <w:rsid w:val="00012A91"/>
    <w:rsid w:val="00012ACF"/>
    <w:rsid w:val="00012BAB"/>
    <w:rsid w:val="00012D8D"/>
    <w:rsid w:val="00012DDB"/>
    <w:rsid w:val="00012EFA"/>
    <w:rsid w:val="00013016"/>
    <w:rsid w:val="00013330"/>
    <w:rsid w:val="0001342F"/>
    <w:rsid w:val="00013790"/>
    <w:rsid w:val="00013A08"/>
    <w:rsid w:val="00013B88"/>
    <w:rsid w:val="00013DE9"/>
    <w:rsid w:val="00013E90"/>
    <w:rsid w:val="00014189"/>
    <w:rsid w:val="0001432C"/>
    <w:rsid w:val="0001437E"/>
    <w:rsid w:val="000144CE"/>
    <w:rsid w:val="000146C3"/>
    <w:rsid w:val="000147F0"/>
    <w:rsid w:val="00014814"/>
    <w:rsid w:val="00014903"/>
    <w:rsid w:val="0001498B"/>
    <w:rsid w:val="00014C21"/>
    <w:rsid w:val="00014CEA"/>
    <w:rsid w:val="00014D67"/>
    <w:rsid w:val="0001516D"/>
    <w:rsid w:val="000151CD"/>
    <w:rsid w:val="00015515"/>
    <w:rsid w:val="0001553A"/>
    <w:rsid w:val="0001568C"/>
    <w:rsid w:val="000158D8"/>
    <w:rsid w:val="00015969"/>
    <w:rsid w:val="000159B7"/>
    <w:rsid w:val="000159BC"/>
    <w:rsid w:val="00015B70"/>
    <w:rsid w:val="00015DE0"/>
    <w:rsid w:val="00015EA0"/>
    <w:rsid w:val="00016131"/>
    <w:rsid w:val="000165AF"/>
    <w:rsid w:val="00016649"/>
    <w:rsid w:val="00016701"/>
    <w:rsid w:val="00016721"/>
    <w:rsid w:val="00016739"/>
    <w:rsid w:val="000167D8"/>
    <w:rsid w:val="00016837"/>
    <w:rsid w:val="000169FC"/>
    <w:rsid w:val="00016B9B"/>
    <w:rsid w:val="00016BBF"/>
    <w:rsid w:val="00016F23"/>
    <w:rsid w:val="000170F0"/>
    <w:rsid w:val="0001727A"/>
    <w:rsid w:val="00017494"/>
    <w:rsid w:val="000174BC"/>
    <w:rsid w:val="0001753B"/>
    <w:rsid w:val="000176CE"/>
    <w:rsid w:val="00017854"/>
    <w:rsid w:val="000179CF"/>
    <w:rsid w:val="00017A2F"/>
    <w:rsid w:val="00017C30"/>
    <w:rsid w:val="00017D33"/>
    <w:rsid w:val="00017D6B"/>
    <w:rsid w:val="00017E80"/>
    <w:rsid w:val="00020041"/>
    <w:rsid w:val="00020192"/>
    <w:rsid w:val="00020754"/>
    <w:rsid w:val="00020C34"/>
    <w:rsid w:val="00020C95"/>
    <w:rsid w:val="00020EAD"/>
    <w:rsid w:val="00020FBF"/>
    <w:rsid w:val="00021265"/>
    <w:rsid w:val="00021280"/>
    <w:rsid w:val="000212A0"/>
    <w:rsid w:val="000212D9"/>
    <w:rsid w:val="000213EE"/>
    <w:rsid w:val="0002157F"/>
    <w:rsid w:val="000215F5"/>
    <w:rsid w:val="00021702"/>
    <w:rsid w:val="00021AD8"/>
    <w:rsid w:val="00021B33"/>
    <w:rsid w:val="00021E0C"/>
    <w:rsid w:val="00022050"/>
    <w:rsid w:val="00022084"/>
    <w:rsid w:val="00022122"/>
    <w:rsid w:val="00022188"/>
    <w:rsid w:val="000223DA"/>
    <w:rsid w:val="000224B8"/>
    <w:rsid w:val="00022A60"/>
    <w:rsid w:val="00022A86"/>
    <w:rsid w:val="00022CC8"/>
    <w:rsid w:val="000230A2"/>
    <w:rsid w:val="000236E7"/>
    <w:rsid w:val="000238DE"/>
    <w:rsid w:val="000239DB"/>
    <w:rsid w:val="00023AE5"/>
    <w:rsid w:val="00023AF4"/>
    <w:rsid w:val="00023B03"/>
    <w:rsid w:val="00023F5C"/>
    <w:rsid w:val="00024010"/>
    <w:rsid w:val="000241A5"/>
    <w:rsid w:val="000241C2"/>
    <w:rsid w:val="000244A0"/>
    <w:rsid w:val="000244AB"/>
    <w:rsid w:val="00024551"/>
    <w:rsid w:val="0002460A"/>
    <w:rsid w:val="000246DA"/>
    <w:rsid w:val="00024755"/>
    <w:rsid w:val="0002487B"/>
    <w:rsid w:val="00024974"/>
    <w:rsid w:val="00024B45"/>
    <w:rsid w:val="00024BA3"/>
    <w:rsid w:val="00024C03"/>
    <w:rsid w:val="00024C9D"/>
    <w:rsid w:val="00024E56"/>
    <w:rsid w:val="000250B9"/>
    <w:rsid w:val="000251BE"/>
    <w:rsid w:val="000251F6"/>
    <w:rsid w:val="000252C5"/>
    <w:rsid w:val="0002543A"/>
    <w:rsid w:val="00025465"/>
    <w:rsid w:val="0002562E"/>
    <w:rsid w:val="000258F7"/>
    <w:rsid w:val="00025937"/>
    <w:rsid w:val="00025949"/>
    <w:rsid w:val="00025B94"/>
    <w:rsid w:val="00025EA9"/>
    <w:rsid w:val="00025FDB"/>
    <w:rsid w:val="00026071"/>
    <w:rsid w:val="00026099"/>
    <w:rsid w:val="000261E5"/>
    <w:rsid w:val="0002658B"/>
    <w:rsid w:val="0002663E"/>
    <w:rsid w:val="0002669C"/>
    <w:rsid w:val="0002677D"/>
    <w:rsid w:val="0002690A"/>
    <w:rsid w:val="00026A0B"/>
    <w:rsid w:val="00026AF0"/>
    <w:rsid w:val="00026B93"/>
    <w:rsid w:val="00026C11"/>
    <w:rsid w:val="00026CD2"/>
    <w:rsid w:val="0002743F"/>
    <w:rsid w:val="000274ED"/>
    <w:rsid w:val="000278D0"/>
    <w:rsid w:val="000279BF"/>
    <w:rsid w:val="00027F65"/>
    <w:rsid w:val="000306E5"/>
    <w:rsid w:val="000306ED"/>
    <w:rsid w:val="00030991"/>
    <w:rsid w:val="000309D2"/>
    <w:rsid w:val="00030C08"/>
    <w:rsid w:val="00030D59"/>
    <w:rsid w:val="00030E69"/>
    <w:rsid w:val="00030EF2"/>
    <w:rsid w:val="00030F34"/>
    <w:rsid w:val="00030F80"/>
    <w:rsid w:val="00030FE3"/>
    <w:rsid w:val="00031003"/>
    <w:rsid w:val="00031089"/>
    <w:rsid w:val="000310A1"/>
    <w:rsid w:val="0003132F"/>
    <w:rsid w:val="0003133D"/>
    <w:rsid w:val="0003138B"/>
    <w:rsid w:val="000315CA"/>
    <w:rsid w:val="00031EFF"/>
    <w:rsid w:val="00032021"/>
    <w:rsid w:val="00032083"/>
    <w:rsid w:val="00032207"/>
    <w:rsid w:val="00032453"/>
    <w:rsid w:val="000324BF"/>
    <w:rsid w:val="000325CD"/>
    <w:rsid w:val="00032951"/>
    <w:rsid w:val="00032A52"/>
    <w:rsid w:val="00032B9D"/>
    <w:rsid w:val="00032BDE"/>
    <w:rsid w:val="00032DED"/>
    <w:rsid w:val="00032E10"/>
    <w:rsid w:val="00033640"/>
    <w:rsid w:val="0003372B"/>
    <w:rsid w:val="0003376B"/>
    <w:rsid w:val="000339B5"/>
    <w:rsid w:val="00033A36"/>
    <w:rsid w:val="00033AA4"/>
    <w:rsid w:val="00033E8E"/>
    <w:rsid w:val="00033ED7"/>
    <w:rsid w:val="00033F7B"/>
    <w:rsid w:val="000340C5"/>
    <w:rsid w:val="000343F5"/>
    <w:rsid w:val="000343FA"/>
    <w:rsid w:val="0003494A"/>
    <w:rsid w:val="000349D4"/>
    <w:rsid w:val="00034A56"/>
    <w:rsid w:val="00034B09"/>
    <w:rsid w:val="00034B0D"/>
    <w:rsid w:val="00034BDF"/>
    <w:rsid w:val="00034C63"/>
    <w:rsid w:val="00034D53"/>
    <w:rsid w:val="00034E78"/>
    <w:rsid w:val="00035414"/>
    <w:rsid w:val="000355D3"/>
    <w:rsid w:val="000357EC"/>
    <w:rsid w:val="00035815"/>
    <w:rsid w:val="000358DF"/>
    <w:rsid w:val="00035AA9"/>
    <w:rsid w:val="00035DD1"/>
    <w:rsid w:val="00035F3E"/>
    <w:rsid w:val="000361AB"/>
    <w:rsid w:val="000361DB"/>
    <w:rsid w:val="0003624C"/>
    <w:rsid w:val="000362A0"/>
    <w:rsid w:val="00036406"/>
    <w:rsid w:val="0003674D"/>
    <w:rsid w:val="00036793"/>
    <w:rsid w:val="00036818"/>
    <w:rsid w:val="00036857"/>
    <w:rsid w:val="00036902"/>
    <w:rsid w:val="00036AED"/>
    <w:rsid w:val="00036C08"/>
    <w:rsid w:val="00036C16"/>
    <w:rsid w:val="00036DB3"/>
    <w:rsid w:val="00036DF9"/>
    <w:rsid w:val="00037036"/>
    <w:rsid w:val="000372FD"/>
    <w:rsid w:val="0003751D"/>
    <w:rsid w:val="00037AAE"/>
    <w:rsid w:val="00037C93"/>
    <w:rsid w:val="00037ECD"/>
    <w:rsid w:val="00040193"/>
    <w:rsid w:val="0004019F"/>
    <w:rsid w:val="00040499"/>
    <w:rsid w:val="0004059F"/>
    <w:rsid w:val="00040719"/>
    <w:rsid w:val="000408DA"/>
    <w:rsid w:val="00040E90"/>
    <w:rsid w:val="00040F26"/>
    <w:rsid w:val="00040F3E"/>
    <w:rsid w:val="00041119"/>
    <w:rsid w:val="0004112F"/>
    <w:rsid w:val="000412E2"/>
    <w:rsid w:val="00041360"/>
    <w:rsid w:val="00041431"/>
    <w:rsid w:val="00041501"/>
    <w:rsid w:val="0004152D"/>
    <w:rsid w:val="00041736"/>
    <w:rsid w:val="00041737"/>
    <w:rsid w:val="00041D85"/>
    <w:rsid w:val="00041E3F"/>
    <w:rsid w:val="0004222E"/>
    <w:rsid w:val="0004239B"/>
    <w:rsid w:val="0004270B"/>
    <w:rsid w:val="00042A30"/>
    <w:rsid w:val="00042A49"/>
    <w:rsid w:val="00042BF3"/>
    <w:rsid w:val="00042D35"/>
    <w:rsid w:val="00042DD7"/>
    <w:rsid w:val="00042EE5"/>
    <w:rsid w:val="00042F43"/>
    <w:rsid w:val="00042FA9"/>
    <w:rsid w:val="0004311A"/>
    <w:rsid w:val="000431FA"/>
    <w:rsid w:val="00043207"/>
    <w:rsid w:val="00043421"/>
    <w:rsid w:val="00043495"/>
    <w:rsid w:val="00043B18"/>
    <w:rsid w:val="00043B63"/>
    <w:rsid w:val="00043D3F"/>
    <w:rsid w:val="00043F86"/>
    <w:rsid w:val="00043FF1"/>
    <w:rsid w:val="000440BF"/>
    <w:rsid w:val="00044620"/>
    <w:rsid w:val="00044BD7"/>
    <w:rsid w:val="00044BFB"/>
    <w:rsid w:val="00044F86"/>
    <w:rsid w:val="00045030"/>
    <w:rsid w:val="000454E0"/>
    <w:rsid w:val="00045794"/>
    <w:rsid w:val="000457E3"/>
    <w:rsid w:val="000457EA"/>
    <w:rsid w:val="00045803"/>
    <w:rsid w:val="0004586D"/>
    <w:rsid w:val="000458F9"/>
    <w:rsid w:val="00045C2B"/>
    <w:rsid w:val="00045F31"/>
    <w:rsid w:val="00045F58"/>
    <w:rsid w:val="0004606A"/>
    <w:rsid w:val="00046120"/>
    <w:rsid w:val="000463A6"/>
    <w:rsid w:val="000463E4"/>
    <w:rsid w:val="000469B4"/>
    <w:rsid w:val="00046A39"/>
    <w:rsid w:val="00046B49"/>
    <w:rsid w:val="00046D9D"/>
    <w:rsid w:val="00046F53"/>
    <w:rsid w:val="00047247"/>
    <w:rsid w:val="0004733F"/>
    <w:rsid w:val="000473CC"/>
    <w:rsid w:val="00047658"/>
    <w:rsid w:val="0004779B"/>
    <w:rsid w:val="000477E6"/>
    <w:rsid w:val="00047866"/>
    <w:rsid w:val="000478BE"/>
    <w:rsid w:val="00047916"/>
    <w:rsid w:val="00047956"/>
    <w:rsid w:val="00047BC1"/>
    <w:rsid w:val="00047D1A"/>
    <w:rsid w:val="00047E0F"/>
    <w:rsid w:val="00047EEB"/>
    <w:rsid w:val="00047F0B"/>
    <w:rsid w:val="00047FD4"/>
    <w:rsid w:val="000501E2"/>
    <w:rsid w:val="00050204"/>
    <w:rsid w:val="000502D5"/>
    <w:rsid w:val="0005039D"/>
    <w:rsid w:val="000504C2"/>
    <w:rsid w:val="0005074D"/>
    <w:rsid w:val="00050967"/>
    <w:rsid w:val="00050A36"/>
    <w:rsid w:val="00050B5D"/>
    <w:rsid w:val="00050C99"/>
    <w:rsid w:val="00050EDA"/>
    <w:rsid w:val="0005136E"/>
    <w:rsid w:val="000513DA"/>
    <w:rsid w:val="000514EE"/>
    <w:rsid w:val="00051735"/>
    <w:rsid w:val="00051737"/>
    <w:rsid w:val="000517F9"/>
    <w:rsid w:val="00051A49"/>
    <w:rsid w:val="00051C53"/>
    <w:rsid w:val="00051C6D"/>
    <w:rsid w:val="00051D0B"/>
    <w:rsid w:val="000522FD"/>
    <w:rsid w:val="00052364"/>
    <w:rsid w:val="00052531"/>
    <w:rsid w:val="00052717"/>
    <w:rsid w:val="0005271E"/>
    <w:rsid w:val="00052890"/>
    <w:rsid w:val="0005295C"/>
    <w:rsid w:val="000529A2"/>
    <w:rsid w:val="00052A2C"/>
    <w:rsid w:val="000530C3"/>
    <w:rsid w:val="0005320F"/>
    <w:rsid w:val="00053324"/>
    <w:rsid w:val="0005341D"/>
    <w:rsid w:val="00053B06"/>
    <w:rsid w:val="00053C22"/>
    <w:rsid w:val="00053D88"/>
    <w:rsid w:val="00053E92"/>
    <w:rsid w:val="00054132"/>
    <w:rsid w:val="00054151"/>
    <w:rsid w:val="000543C6"/>
    <w:rsid w:val="000545B1"/>
    <w:rsid w:val="0005485D"/>
    <w:rsid w:val="00054879"/>
    <w:rsid w:val="000548BE"/>
    <w:rsid w:val="00054C89"/>
    <w:rsid w:val="00054C8A"/>
    <w:rsid w:val="00054CE4"/>
    <w:rsid w:val="00054D31"/>
    <w:rsid w:val="00054F30"/>
    <w:rsid w:val="000550AB"/>
    <w:rsid w:val="00055154"/>
    <w:rsid w:val="000552A1"/>
    <w:rsid w:val="000553FF"/>
    <w:rsid w:val="00055563"/>
    <w:rsid w:val="00055565"/>
    <w:rsid w:val="00055C32"/>
    <w:rsid w:val="00055F26"/>
    <w:rsid w:val="00055F5F"/>
    <w:rsid w:val="00056364"/>
    <w:rsid w:val="00056569"/>
    <w:rsid w:val="00056621"/>
    <w:rsid w:val="00056680"/>
    <w:rsid w:val="00056763"/>
    <w:rsid w:val="000567C8"/>
    <w:rsid w:val="00056845"/>
    <w:rsid w:val="00056A30"/>
    <w:rsid w:val="000570D4"/>
    <w:rsid w:val="0005744E"/>
    <w:rsid w:val="00057477"/>
    <w:rsid w:val="000574DA"/>
    <w:rsid w:val="00057792"/>
    <w:rsid w:val="000578F0"/>
    <w:rsid w:val="00057ACA"/>
    <w:rsid w:val="00057AD6"/>
    <w:rsid w:val="00057BB4"/>
    <w:rsid w:val="000601C8"/>
    <w:rsid w:val="0006037D"/>
    <w:rsid w:val="00060389"/>
    <w:rsid w:val="000603C1"/>
    <w:rsid w:val="000603CA"/>
    <w:rsid w:val="00060824"/>
    <w:rsid w:val="00060A78"/>
    <w:rsid w:val="00060BA0"/>
    <w:rsid w:val="00060C52"/>
    <w:rsid w:val="00060E35"/>
    <w:rsid w:val="00060F41"/>
    <w:rsid w:val="00060FEA"/>
    <w:rsid w:val="00061799"/>
    <w:rsid w:val="0006180A"/>
    <w:rsid w:val="00061A5F"/>
    <w:rsid w:val="00061B7B"/>
    <w:rsid w:val="00061BDF"/>
    <w:rsid w:val="00061C28"/>
    <w:rsid w:val="00061F17"/>
    <w:rsid w:val="00061FE3"/>
    <w:rsid w:val="00062146"/>
    <w:rsid w:val="00062180"/>
    <w:rsid w:val="00062322"/>
    <w:rsid w:val="000625F9"/>
    <w:rsid w:val="0006299E"/>
    <w:rsid w:val="00062BBB"/>
    <w:rsid w:val="00062C8C"/>
    <w:rsid w:val="00062CC9"/>
    <w:rsid w:val="00062CF0"/>
    <w:rsid w:val="00062E52"/>
    <w:rsid w:val="000630C6"/>
    <w:rsid w:val="00063344"/>
    <w:rsid w:val="0006338C"/>
    <w:rsid w:val="0006339C"/>
    <w:rsid w:val="000633F9"/>
    <w:rsid w:val="0006359A"/>
    <w:rsid w:val="000637F7"/>
    <w:rsid w:val="00063807"/>
    <w:rsid w:val="000638C8"/>
    <w:rsid w:val="00063AB5"/>
    <w:rsid w:val="00063E08"/>
    <w:rsid w:val="00064103"/>
    <w:rsid w:val="00064226"/>
    <w:rsid w:val="000643FE"/>
    <w:rsid w:val="00064651"/>
    <w:rsid w:val="00064735"/>
    <w:rsid w:val="00064A84"/>
    <w:rsid w:val="00064F73"/>
    <w:rsid w:val="00064FB6"/>
    <w:rsid w:val="000650AF"/>
    <w:rsid w:val="0006526A"/>
    <w:rsid w:val="000653B7"/>
    <w:rsid w:val="00065473"/>
    <w:rsid w:val="000658B3"/>
    <w:rsid w:val="00065C85"/>
    <w:rsid w:val="00065E31"/>
    <w:rsid w:val="0006601E"/>
    <w:rsid w:val="00066304"/>
    <w:rsid w:val="00066393"/>
    <w:rsid w:val="00066624"/>
    <w:rsid w:val="000666B3"/>
    <w:rsid w:val="000666DF"/>
    <w:rsid w:val="000666E9"/>
    <w:rsid w:val="00066B4B"/>
    <w:rsid w:val="00066D37"/>
    <w:rsid w:val="00066DD9"/>
    <w:rsid w:val="00066FC2"/>
    <w:rsid w:val="00067083"/>
    <w:rsid w:val="000671D5"/>
    <w:rsid w:val="00067713"/>
    <w:rsid w:val="00067730"/>
    <w:rsid w:val="000677DD"/>
    <w:rsid w:val="00067826"/>
    <w:rsid w:val="00067977"/>
    <w:rsid w:val="00067B7E"/>
    <w:rsid w:val="000700D8"/>
    <w:rsid w:val="00070225"/>
    <w:rsid w:val="0007034A"/>
    <w:rsid w:val="0007093A"/>
    <w:rsid w:val="00070C0B"/>
    <w:rsid w:val="00070E90"/>
    <w:rsid w:val="00070FDA"/>
    <w:rsid w:val="00071134"/>
    <w:rsid w:val="000711FC"/>
    <w:rsid w:val="0007146C"/>
    <w:rsid w:val="0007154F"/>
    <w:rsid w:val="000715C5"/>
    <w:rsid w:val="00071B34"/>
    <w:rsid w:val="00071E89"/>
    <w:rsid w:val="00071FCC"/>
    <w:rsid w:val="00072050"/>
    <w:rsid w:val="00072078"/>
    <w:rsid w:val="000722FD"/>
    <w:rsid w:val="0007233C"/>
    <w:rsid w:val="000724BA"/>
    <w:rsid w:val="00072593"/>
    <w:rsid w:val="000725B5"/>
    <w:rsid w:val="000725F2"/>
    <w:rsid w:val="00072701"/>
    <w:rsid w:val="00072920"/>
    <w:rsid w:val="00072A05"/>
    <w:rsid w:val="0007307A"/>
    <w:rsid w:val="00073333"/>
    <w:rsid w:val="000736DB"/>
    <w:rsid w:val="000736F5"/>
    <w:rsid w:val="00073748"/>
    <w:rsid w:val="000738ED"/>
    <w:rsid w:val="00073927"/>
    <w:rsid w:val="00073C19"/>
    <w:rsid w:val="00073D26"/>
    <w:rsid w:val="00073EE5"/>
    <w:rsid w:val="00073EFD"/>
    <w:rsid w:val="00073F07"/>
    <w:rsid w:val="00073FA3"/>
    <w:rsid w:val="00074028"/>
    <w:rsid w:val="00074071"/>
    <w:rsid w:val="00074147"/>
    <w:rsid w:val="0007414A"/>
    <w:rsid w:val="0007441A"/>
    <w:rsid w:val="0007449B"/>
    <w:rsid w:val="000747BE"/>
    <w:rsid w:val="00074B3F"/>
    <w:rsid w:val="00074CB5"/>
    <w:rsid w:val="00074F92"/>
    <w:rsid w:val="00074FA9"/>
    <w:rsid w:val="00074FB2"/>
    <w:rsid w:val="00074FBE"/>
    <w:rsid w:val="0007521F"/>
    <w:rsid w:val="0007525F"/>
    <w:rsid w:val="0007526C"/>
    <w:rsid w:val="0007546C"/>
    <w:rsid w:val="00075504"/>
    <w:rsid w:val="000756F5"/>
    <w:rsid w:val="00075A63"/>
    <w:rsid w:val="00075ABE"/>
    <w:rsid w:val="00075E7D"/>
    <w:rsid w:val="000762A4"/>
    <w:rsid w:val="00076437"/>
    <w:rsid w:val="000768F8"/>
    <w:rsid w:val="000769B7"/>
    <w:rsid w:val="000769E0"/>
    <w:rsid w:val="00076A06"/>
    <w:rsid w:val="00076BD9"/>
    <w:rsid w:val="00076D67"/>
    <w:rsid w:val="00076E48"/>
    <w:rsid w:val="00076ECB"/>
    <w:rsid w:val="00077241"/>
    <w:rsid w:val="00077286"/>
    <w:rsid w:val="000776E5"/>
    <w:rsid w:val="000778FC"/>
    <w:rsid w:val="000779A5"/>
    <w:rsid w:val="00077CF7"/>
    <w:rsid w:val="00077DBB"/>
    <w:rsid w:val="00080232"/>
    <w:rsid w:val="00080414"/>
    <w:rsid w:val="00080741"/>
    <w:rsid w:val="000808D3"/>
    <w:rsid w:val="000809A8"/>
    <w:rsid w:val="00080E54"/>
    <w:rsid w:val="0008105E"/>
    <w:rsid w:val="0008110C"/>
    <w:rsid w:val="000812A3"/>
    <w:rsid w:val="000816FC"/>
    <w:rsid w:val="000817EC"/>
    <w:rsid w:val="00081BA5"/>
    <w:rsid w:val="00081D48"/>
    <w:rsid w:val="00081E2E"/>
    <w:rsid w:val="00081E91"/>
    <w:rsid w:val="00081F76"/>
    <w:rsid w:val="00081FD4"/>
    <w:rsid w:val="000820C0"/>
    <w:rsid w:val="00082228"/>
    <w:rsid w:val="000823C6"/>
    <w:rsid w:val="0008258B"/>
    <w:rsid w:val="000827A0"/>
    <w:rsid w:val="0008297E"/>
    <w:rsid w:val="00082986"/>
    <w:rsid w:val="00082BD8"/>
    <w:rsid w:val="00082C21"/>
    <w:rsid w:val="00082C71"/>
    <w:rsid w:val="00082F50"/>
    <w:rsid w:val="00083206"/>
    <w:rsid w:val="00083439"/>
    <w:rsid w:val="000838BF"/>
    <w:rsid w:val="000839B2"/>
    <w:rsid w:val="000839D5"/>
    <w:rsid w:val="00083C0B"/>
    <w:rsid w:val="00083FF9"/>
    <w:rsid w:val="0008406E"/>
    <w:rsid w:val="00084388"/>
    <w:rsid w:val="00084601"/>
    <w:rsid w:val="000846E2"/>
    <w:rsid w:val="0008488B"/>
    <w:rsid w:val="00084D1F"/>
    <w:rsid w:val="00085049"/>
    <w:rsid w:val="0008521C"/>
    <w:rsid w:val="0008541D"/>
    <w:rsid w:val="000855A5"/>
    <w:rsid w:val="00085604"/>
    <w:rsid w:val="0008564E"/>
    <w:rsid w:val="00085EB8"/>
    <w:rsid w:val="00085FBE"/>
    <w:rsid w:val="0008602A"/>
    <w:rsid w:val="000863CD"/>
    <w:rsid w:val="000864CE"/>
    <w:rsid w:val="0008667B"/>
    <w:rsid w:val="000866AF"/>
    <w:rsid w:val="000867BD"/>
    <w:rsid w:val="0008699B"/>
    <w:rsid w:val="00086AE0"/>
    <w:rsid w:val="00086B9B"/>
    <w:rsid w:val="00086D83"/>
    <w:rsid w:val="00087006"/>
    <w:rsid w:val="0008718F"/>
    <w:rsid w:val="00087198"/>
    <w:rsid w:val="0008783C"/>
    <w:rsid w:val="000878E7"/>
    <w:rsid w:val="00087B9B"/>
    <w:rsid w:val="00087D31"/>
    <w:rsid w:val="00087EDF"/>
    <w:rsid w:val="00087EEC"/>
    <w:rsid w:val="00090067"/>
    <w:rsid w:val="000900DD"/>
    <w:rsid w:val="000900F5"/>
    <w:rsid w:val="00090481"/>
    <w:rsid w:val="000904A8"/>
    <w:rsid w:val="000905C2"/>
    <w:rsid w:val="000905DC"/>
    <w:rsid w:val="0009065D"/>
    <w:rsid w:val="000907B6"/>
    <w:rsid w:val="000907BA"/>
    <w:rsid w:val="00090954"/>
    <w:rsid w:val="00090DC7"/>
    <w:rsid w:val="00090E11"/>
    <w:rsid w:val="00090EFE"/>
    <w:rsid w:val="00090FAA"/>
    <w:rsid w:val="000913CF"/>
    <w:rsid w:val="00091401"/>
    <w:rsid w:val="000914D2"/>
    <w:rsid w:val="000915E2"/>
    <w:rsid w:val="0009165E"/>
    <w:rsid w:val="0009177D"/>
    <w:rsid w:val="0009194E"/>
    <w:rsid w:val="00091AB3"/>
    <w:rsid w:val="00091BC3"/>
    <w:rsid w:val="00091C7B"/>
    <w:rsid w:val="00091FD0"/>
    <w:rsid w:val="000920C6"/>
    <w:rsid w:val="000923A7"/>
    <w:rsid w:val="00092498"/>
    <w:rsid w:val="000924D0"/>
    <w:rsid w:val="00092633"/>
    <w:rsid w:val="00092BA8"/>
    <w:rsid w:val="00092C2B"/>
    <w:rsid w:val="00092F62"/>
    <w:rsid w:val="00093030"/>
    <w:rsid w:val="00093093"/>
    <w:rsid w:val="00093253"/>
    <w:rsid w:val="000933B5"/>
    <w:rsid w:val="00093AB6"/>
    <w:rsid w:val="00093B8C"/>
    <w:rsid w:val="00093BB6"/>
    <w:rsid w:val="00093BDC"/>
    <w:rsid w:val="00093C1C"/>
    <w:rsid w:val="00093D50"/>
    <w:rsid w:val="00093DB6"/>
    <w:rsid w:val="00093E2D"/>
    <w:rsid w:val="00093E8F"/>
    <w:rsid w:val="00094043"/>
    <w:rsid w:val="000940E4"/>
    <w:rsid w:val="000940E6"/>
    <w:rsid w:val="00094104"/>
    <w:rsid w:val="00094256"/>
    <w:rsid w:val="0009468D"/>
    <w:rsid w:val="000946BB"/>
    <w:rsid w:val="000946DB"/>
    <w:rsid w:val="0009482D"/>
    <w:rsid w:val="000948D5"/>
    <w:rsid w:val="000948DD"/>
    <w:rsid w:val="00094E92"/>
    <w:rsid w:val="00094F24"/>
    <w:rsid w:val="000950E4"/>
    <w:rsid w:val="00095286"/>
    <w:rsid w:val="00095297"/>
    <w:rsid w:val="0009541E"/>
    <w:rsid w:val="0009566E"/>
    <w:rsid w:val="000956D1"/>
    <w:rsid w:val="000958B1"/>
    <w:rsid w:val="00095958"/>
    <w:rsid w:val="00095EC6"/>
    <w:rsid w:val="000962AE"/>
    <w:rsid w:val="00096661"/>
    <w:rsid w:val="000967E5"/>
    <w:rsid w:val="00096831"/>
    <w:rsid w:val="00096978"/>
    <w:rsid w:val="00096C0F"/>
    <w:rsid w:val="00096D26"/>
    <w:rsid w:val="00096DDA"/>
    <w:rsid w:val="00096E43"/>
    <w:rsid w:val="00096E48"/>
    <w:rsid w:val="00096FAB"/>
    <w:rsid w:val="000970CB"/>
    <w:rsid w:val="000972D4"/>
    <w:rsid w:val="0009730B"/>
    <w:rsid w:val="00097360"/>
    <w:rsid w:val="000975EA"/>
    <w:rsid w:val="000979AE"/>
    <w:rsid w:val="000979CA"/>
    <w:rsid w:val="000979E2"/>
    <w:rsid w:val="00097B05"/>
    <w:rsid w:val="00097B19"/>
    <w:rsid w:val="00097C44"/>
    <w:rsid w:val="00097DB3"/>
    <w:rsid w:val="00097EB0"/>
    <w:rsid w:val="00097FB3"/>
    <w:rsid w:val="000A0302"/>
    <w:rsid w:val="000A042F"/>
    <w:rsid w:val="000A07C8"/>
    <w:rsid w:val="000A07CF"/>
    <w:rsid w:val="000A0B89"/>
    <w:rsid w:val="000A0BF3"/>
    <w:rsid w:val="000A0CE6"/>
    <w:rsid w:val="000A0E1E"/>
    <w:rsid w:val="000A0E3A"/>
    <w:rsid w:val="000A11E4"/>
    <w:rsid w:val="000A11F0"/>
    <w:rsid w:val="000A1429"/>
    <w:rsid w:val="000A174B"/>
    <w:rsid w:val="000A1896"/>
    <w:rsid w:val="000A1B1E"/>
    <w:rsid w:val="000A1E98"/>
    <w:rsid w:val="000A1EE5"/>
    <w:rsid w:val="000A1F4D"/>
    <w:rsid w:val="000A201E"/>
    <w:rsid w:val="000A2328"/>
    <w:rsid w:val="000A2684"/>
    <w:rsid w:val="000A2914"/>
    <w:rsid w:val="000A2A21"/>
    <w:rsid w:val="000A2C75"/>
    <w:rsid w:val="000A2DC3"/>
    <w:rsid w:val="000A2F32"/>
    <w:rsid w:val="000A3021"/>
    <w:rsid w:val="000A31CB"/>
    <w:rsid w:val="000A32C1"/>
    <w:rsid w:val="000A35EE"/>
    <w:rsid w:val="000A36BB"/>
    <w:rsid w:val="000A3891"/>
    <w:rsid w:val="000A3942"/>
    <w:rsid w:val="000A3CDF"/>
    <w:rsid w:val="000A3CEA"/>
    <w:rsid w:val="000A3D11"/>
    <w:rsid w:val="000A3F05"/>
    <w:rsid w:val="000A3FFC"/>
    <w:rsid w:val="000A420F"/>
    <w:rsid w:val="000A440B"/>
    <w:rsid w:val="000A464D"/>
    <w:rsid w:val="000A474F"/>
    <w:rsid w:val="000A4C2A"/>
    <w:rsid w:val="000A4D8F"/>
    <w:rsid w:val="000A4EB6"/>
    <w:rsid w:val="000A50EF"/>
    <w:rsid w:val="000A51F2"/>
    <w:rsid w:val="000A5664"/>
    <w:rsid w:val="000A571A"/>
    <w:rsid w:val="000A590F"/>
    <w:rsid w:val="000A59AD"/>
    <w:rsid w:val="000A5A80"/>
    <w:rsid w:val="000A5DBB"/>
    <w:rsid w:val="000A5F60"/>
    <w:rsid w:val="000A618A"/>
    <w:rsid w:val="000A62D4"/>
    <w:rsid w:val="000A668C"/>
    <w:rsid w:val="000A6938"/>
    <w:rsid w:val="000A699E"/>
    <w:rsid w:val="000A6A23"/>
    <w:rsid w:val="000A6C75"/>
    <w:rsid w:val="000A6E5A"/>
    <w:rsid w:val="000A6EE1"/>
    <w:rsid w:val="000A6FE4"/>
    <w:rsid w:val="000A7170"/>
    <w:rsid w:val="000A71BB"/>
    <w:rsid w:val="000A7478"/>
    <w:rsid w:val="000A7557"/>
    <w:rsid w:val="000A77E4"/>
    <w:rsid w:val="000A7AD3"/>
    <w:rsid w:val="000A7B9A"/>
    <w:rsid w:val="000A7CFD"/>
    <w:rsid w:val="000A7D6E"/>
    <w:rsid w:val="000A7E3F"/>
    <w:rsid w:val="000A7FAC"/>
    <w:rsid w:val="000B0087"/>
    <w:rsid w:val="000B009A"/>
    <w:rsid w:val="000B0193"/>
    <w:rsid w:val="000B052F"/>
    <w:rsid w:val="000B058B"/>
    <w:rsid w:val="000B0611"/>
    <w:rsid w:val="000B0695"/>
    <w:rsid w:val="000B069B"/>
    <w:rsid w:val="000B086D"/>
    <w:rsid w:val="000B0883"/>
    <w:rsid w:val="000B0D93"/>
    <w:rsid w:val="000B0E11"/>
    <w:rsid w:val="000B0FF0"/>
    <w:rsid w:val="000B1687"/>
    <w:rsid w:val="000B16B8"/>
    <w:rsid w:val="000B1C74"/>
    <w:rsid w:val="000B1FA0"/>
    <w:rsid w:val="000B1FBC"/>
    <w:rsid w:val="000B25AE"/>
    <w:rsid w:val="000B2703"/>
    <w:rsid w:val="000B2846"/>
    <w:rsid w:val="000B2A70"/>
    <w:rsid w:val="000B2AA0"/>
    <w:rsid w:val="000B2C3E"/>
    <w:rsid w:val="000B2DCE"/>
    <w:rsid w:val="000B2E8A"/>
    <w:rsid w:val="000B2E8C"/>
    <w:rsid w:val="000B3182"/>
    <w:rsid w:val="000B320F"/>
    <w:rsid w:val="000B3235"/>
    <w:rsid w:val="000B3272"/>
    <w:rsid w:val="000B32B6"/>
    <w:rsid w:val="000B3606"/>
    <w:rsid w:val="000B36F1"/>
    <w:rsid w:val="000B3884"/>
    <w:rsid w:val="000B39DA"/>
    <w:rsid w:val="000B3B50"/>
    <w:rsid w:val="000B3C1A"/>
    <w:rsid w:val="000B3FAF"/>
    <w:rsid w:val="000B415A"/>
    <w:rsid w:val="000B429D"/>
    <w:rsid w:val="000B4312"/>
    <w:rsid w:val="000B4527"/>
    <w:rsid w:val="000B4738"/>
    <w:rsid w:val="000B4A5D"/>
    <w:rsid w:val="000B4A77"/>
    <w:rsid w:val="000B4CBF"/>
    <w:rsid w:val="000B4D4B"/>
    <w:rsid w:val="000B4E54"/>
    <w:rsid w:val="000B50BD"/>
    <w:rsid w:val="000B586C"/>
    <w:rsid w:val="000B59CB"/>
    <w:rsid w:val="000B5BC6"/>
    <w:rsid w:val="000B5BF9"/>
    <w:rsid w:val="000B5CE0"/>
    <w:rsid w:val="000B5F6B"/>
    <w:rsid w:val="000B64E8"/>
    <w:rsid w:val="000B6574"/>
    <w:rsid w:val="000B66D8"/>
    <w:rsid w:val="000B683A"/>
    <w:rsid w:val="000B6850"/>
    <w:rsid w:val="000B6A28"/>
    <w:rsid w:val="000B6B97"/>
    <w:rsid w:val="000B6DF0"/>
    <w:rsid w:val="000B7027"/>
    <w:rsid w:val="000B7101"/>
    <w:rsid w:val="000B712F"/>
    <w:rsid w:val="000B73A9"/>
    <w:rsid w:val="000B7458"/>
    <w:rsid w:val="000B74DF"/>
    <w:rsid w:val="000B75F7"/>
    <w:rsid w:val="000B770A"/>
    <w:rsid w:val="000B7B14"/>
    <w:rsid w:val="000B7BF2"/>
    <w:rsid w:val="000B7C53"/>
    <w:rsid w:val="000B7E5E"/>
    <w:rsid w:val="000B7ED9"/>
    <w:rsid w:val="000B7FDD"/>
    <w:rsid w:val="000C0172"/>
    <w:rsid w:val="000C01E8"/>
    <w:rsid w:val="000C01EC"/>
    <w:rsid w:val="000C01F3"/>
    <w:rsid w:val="000C0436"/>
    <w:rsid w:val="000C0473"/>
    <w:rsid w:val="000C04A1"/>
    <w:rsid w:val="000C04D5"/>
    <w:rsid w:val="000C0631"/>
    <w:rsid w:val="000C0759"/>
    <w:rsid w:val="000C08D7"/>
    <w:rsid w:val="000C0BD0"/>
    <w:rsid w:val="000C0BF7"/>
    <w:rsid w:val="000C0C47"/>
    <w:rsid w:val="000C0FBF"/>
    <w:rsid w:val="000C1278"/>
    <w:rsid w:val="000C1632"/>
    <w:rsid w:val="000C178D"/>
    <w:rsid w:val="000C1805"/>
    <w:rsid w:val="000C182C"/>
    <w:rsid w:val="000C182F"/>
    <w:rsid w:val="000C188C"/>
    <w:rsid w:val="000C190A"/>
    <w:rsid w:val="000C19A7"/>
    <w:rsid w:val="000C1B5C"/>
    <w:rsid w:val="000C1BB9"/>
    <w:rsid w:val="000C1BED"/>
    <w:rsid w:val="000C1CCB"/>
    <w:rsid w:val="000C1D1A"/>
    <w:rsid w:val="000C2202"/>
    <w:rsid w:val="000C2327"/>
    <w:rsid w:val="000C254B"/>
    <w:rsid w:val="000C2678"/>
    <w:rsid w:val="000C2683"/>
    <w:rsid w:val="000C287E"/>
    <w:rsid w:val="000C2BA0"/>
    <w:rsid w:val="000C2CE4"/>
    <w:rsid w:val="000C2D57"/>
    <w:rsid w:val="000C3057"/>
    <w:rsid w:val="000C3329"/>
    <w:rsid w:val="000C339D"/>
    <w:rsid w:val="000C348C"/>
    <w:rsid w:val="000C3558"/>
    <w:rsid w:val="000C3597"/>
    <w:rsid w:val="000C35A3"/>
    <w:rsid w:val="000C37F6"/>
    <w:rsid w:val="000C3823"/>
    <w:rsid w:val="000C3888"/>
    <w:rsid w:val="000C3981"/>
    <w:rsid w:val="000C3BF3"/>
    <w:rsid w:val="000C3E08"/>
    <w:rsid w:val="000C3E6E"/>
    <w:rsid w:val="000C4007"/>
    <w:rsid w:val="000C4064"/>
    <w:rsid w:val="000C4512"/>
    <w:rsid w:val="000C462B"/>
    <w:rsid w:val="000C47EB"/>
    <w:rsid w:val="000C486C"/>
    <w:rsid w:val="000C49E3"/>
    <w:rsid w:val="000C4AF8"/>
    <w:rsid w:val="000C4B21"/>
    <w:rsid w:val="000C4B7F"/>
    <w:rsid w:val="000C51B6"/>
    <w:rsid w:val="000C523A"/>
    <w:rsid w:val="000C5395"/>
    <w:rsid w:val="000C53F7"/>
    <w:rsid w:val="000C5574"/>
    <w:rsid w:val="000C57A1"/>
    <w:rsid w:val="000C5829"/>
    <w:rsid w:val="000C589B"/>
    <w:rsid w:val="000C5B60"/>
    <w:rsid w:val="000C5B97"/>
    <w:rsid w:val="000C5CC7"/>
    <w:rsid w:val="000C5F59"/>
    <w:rsid w:val="000C5FEA"/>
    <w:rsid w:val="000C604A"/>
    <w:rsid w:val="000C62C3"/>
    <w:rsid w:val="000C6393"/>
    <w:rsid w:val="000C64F5"/>
    <w:rsid w:val="000C6655"/>
    <w:rsid w:val="000C6708"/>
    <w:rsid w:val="000C6786"/>
    <w:rsid w:val="000C682E"/>
    <w:rsid w:val="000C692E"/>
    <w:rsid w:val="000C6931"/>
    <w:rsid w:val="000C6A68"/>
    <w:rsid w:val="000C6C90"/>
    <w:rsid w:val="000C6DAB"/>
    <w:rsid w:val="000C7090"/>
    <w:rsid w:val="000C715F"/>
    <w:rsid w:val="000C72CE"/>
    <w:rsid w:val="000C75BC"/>
    <w:rsid w:val="000C7652"/>
    <w:rsid w:val="000C78A1"/>
    <w:rsid w:val="000C792C"/>
    <w:rsid w:val="000C7BBC"/>
    <w:rsid w:val="000C7BE4"/>
    <w:rsid w:val="000C7C18"/>
    <w:rsid w:val="000C7E6E"/>
    <w:rsid w:val="000D018D"/>
    <w:rsid w:val="000D0213"/>
    <w:rsid w:val="000D023B"/>
    <w:rsid w:val="000D03E1"/>
    <w:rsid w:val="000D03EB"/>
    <w:rsid w:val="000D0530"/>
    <w:rsid w:val="000D0C5F"/>
    <w:rsid w:val="000D1018"/>
    <w:rsid w:val="000D1283"/>
    <w:rsid w:val="000D140D"/>
    <w:rsid w:val="000D146C"/>
    <w:rsid w:val="000D1B23"/>
    <w:rsid w:val="000D1BEF"/>
    <w:rsid w:val="000D1C01"/>
    <w:rsid w:val="000D1FBA"/>
    <w:rsid w:val="000D22A8"/>
    <w:rsid w:val="000D23FA"/>
    <w:rsid w:val="000D26B4"/>
    <w:rsid w:val="000D271E"/>
    <w:rsid w:val="000D278C"/>
    <w:rsid w:val="000D28EA"/>
    <w:rsid w:val="000D2BA6"/>
    <w:rsid w:val="000D2BFF"/>
    <w:rsid w:val="000D2C16"/>
    <w:rsid w:val="000D2C28"/>
    <w:rsid w:val="000D2D2D"/>
    <w:rsid w:val="000D2F16"/>
    <w:rsid w:val="000D3010"/>
    <w:rsid w:val="000D30C8"/>
    <w:rsid w:val="000D30DB"/>
    <w:rsid w:val="000D325F"/>
    <w:rsid w:val="000D3277"/>
    <w:rsid w:val="000D33D0"/>
    <w:rsid w:val="000D3483"/>
    <w:rsid w:val="000D360A"/>
    <w:rsid w:val="000D3694"/>
    <w:rsid w:val="000D369E"/>
    <w:rsid w:val="000D3954"/>
    <w:rsid w:val="000D3BB9"/>
    <w:rsid w:val="000D3BF7"/>
    <w:rsid w:val="000D3C71"/>
    <w:rsid w:val="000D3CE7"/>
    <w:rsid w:val="000D3D61"/>
    <w:rsid w:val="000D3DA8"/>
    <w:rsid w:val="000D4113"/>
    <w:rsid w:val="000D411B"/>
    <w:rsid w:val="000D4168"/>
    <w:rsid w:val="000D44C4"/>
    <w:rsid w:val="000D4538"/>
    <w:rsid w:val="000D45C7"/>
    <w:rsid w:val="000D4991"/>
    <w:rsid w:val="000D4A92"/>
    <w:rsid w:val="000D4B3E"/>
    <w:rsid w:val="000D4BAC"/>
    <w:rsid w:val="000D4BB4"/>
    <w:rsid w:val="000D4DB3"/>
    <w:rsid w:val="000D4DCC"/>
    <w:rsid w:val="000D5116"/>
    <w:rsid w:val="000D53F7"/>
    <w:rsid w:val="000D55BC"/>
    <w:rsid w:val="000D5AA7"/>
    <w:rsid w:val="000D5C6C"/>
    <w:rsid w:val="000D6349"/>
    <w:rsid w:val="000D6503"/>
    <w:rsid w:val="000D651B"/>
    <w:rsid w:val="000D694D"/>
    <w:rsid w:val="000D6B0E"/>
    <w:rsid w:val="000D6D11"/>
    <w:rsid w:val="000D6FC9"/>
    <w:rsid w:val="000D71F4"/>
    <w:rsid w:val="000D72DF"/>
    <w:rsid w:val="000D72F3"/>
    <w:rsid w:val="000D74CB"/>
    <w:rsid w:val="000D750E"/>
    <w:rsid w:val="000D75BD"/>
    <w:rsid w:val="000D7615"/>
    <w:rsid w:val="000D773D"/>
    <w:rsid w:val="000D77D9"/>
    <w:rsid w:val="000D78EF"/>
    <w:rsid w:val="000D7938"/>
    <w:rsid w:val="000D7BC5"/>
    <w:rsid w:val="000E00C5"/>
    <w:rsid w:val="000E063D"/>
    <w:rsid w:val="000E08CB"/>
    <w:rsid w:val="000E0CE5"/>
    <w:rsid w:val="000E0D9D"/>
    <w:rsid w:val="000E0F13"/>
    <w:rsid w:val="000E0F37"/>
    <w:rsid w:val="000E0F96"/>
    <w:rsid w:val="000E0F97"/>
    <w:rsid w:val="000E10CB"/>
    <w:rsid w:val="000E1394"/>
    <w:rsid w:val="000E13D1"/>
    <w:rsid w:val="000E1429"/>
    <w:rsid w:val="000E1471"/>
    <w:rsid w:val="000E16B6"/>
    <w:rsid w:val="000E16DE"/>
    <w:rsid w:val="000E1724"/>
    <w:rsid w:val="000E1739"/>
    <w:rsid w:val="000E1AA8"/>
    <w:rsid w:val="000E1D72"/>
    <w:rsid w:val="000E2159"/>
    <w:rsid w:val="000E2257"/>
    <w:rsid w:val="000E23D8"/>
    <w:rsid w:val="000E24D8"/>
    <w:rsid w:val="000E29C8"/>
    <w:rsid w:val="000E2BA7"/>
    <w:rsid w:val="000E2D5B"/>
    <w:rsid w:val="000E2D84"/>
    <w:rsid w:val="000E2E2B"/>
    <w:rsid w:val="000E2F5F"/>
    <w:rsid w:val="000E31C5"/>
    <w:rsid w:val="000E338E"/>
    <w:rsid w:val="000E3463"/>
    <w:rsid w:val="000E3943"/>
    <w:rsid w:val="000E3DB3"/>
    <w:rsid w:val="000E3F7A"/>
    <w:rsid w:val="000E4266"/>
    <w:rsid w:val="000E42CF"/>
    <w:rsid w:val="000E435A"/>
    <w:rsid w:val="000E43E4"/>
    <w:rsid w:val="000E4513"/>
    <w:rsid w:val="000E4528"/>
    <w:rsid w:val="000E453C"/>
    <w:rsid w:val="000E4550"/>
    <w:rsid w:val="000E46CE"/>
    <w:rsid w:val="000E4751"/>
    <w:rsid w:val="000E47D2"/>
    <w:rsid w:val="000E486B"/>
    <w:rsid w:val="000E48F0"/>
    <w:rsid w:val="000E4E57"/>
    <w:rsid w:val="000E5056"/>
    <w:rsid w:val="000E5183"/>
    <w:rsid w:val="000E528A"/>
    <w:rsid w:val="000E5305"/>
    <w:rsid w:val="000E55CD"/>
    <w:rsid w:val="000E56DA"/>
    <w:rsid w:val="000E57E5"/>
    <w:rsid w:val="000E5BE5"/>
    <w:rsid w:val="000E5C8F"/>
    <w:rsid w:val="000E5D3D"/>
    <w:rsid w:val="000E6054"/>
    <w:rsid w:val="000E6146"/>
    <w:rsid w:val="000E6241"/>
    <w:rsid w:val="000E63FD"/>
    <w:rsid w:val="000E64BF"/>
    <w:rsid w:val="000E69A1"/>
    <w:rsid w:val="000E6BA7"/>
    <w:rsid w:val="000E6D11"/>
    <w:rsid w:val="000E6D57"/>
    <w:rsid w:val="000E7012"/>
    <w:rsid w:val="000E7024"/>
    <w:rsid w:val="000E70A9"/>
    <w:rsid w:val="000E70CD"/>
    <w:rsid w:val="000E7585"/>
    <w:rsid w:val="000E75AF"/>
    <w:rsid w:val="000E7794"/>
    <w:rsid w:val="000E78F1"/>
    <w:rsid w:val="000E7AE4"/>
    <w:rsid w:val="000E7F12"/>
    <w:rsid w:val="000E7FDE"/>
    <w:rsid w:val="000F00A6"/>
    <w:rsid w:val="000F01E2"/>
    <w:rsid w:val="000F03A9"/>
    <w:rsid w:val="000F04ED"/>
    <w:rsid w:val="000F0584"/>
    <w:rsid w:val="000F093D"/>
    <w:rsid w:val="000F0CED"/>
    <w:rsid w:val="000F0D17"/>
    <w:rsid w:val="000F0E9A"/>
    <w:rsid w:val="000F0F11"/>
    <w:rsid w:val="000F10CC"/>
    <w:rsid w:val="000F1177"/>
    <w:rsid w:val="000F1316"/>
    <w:rsid w:val="000F16F8"/>
    <w:rsid w:val="000F17E5"/>
    <w:rsid w:val="000F1D45"/>
    <w:rsid w:val="000F1D46"/>
    <w:rsid w:val="000F2322"/>
    <w:rsid w:val="000F2325"/>
    <w:rsid w:val="000F2401"/>
    <w:rsid w:val="000F24BF"/>
    <w:rsid w:val="000F253D"/>
    <w:rsid w:val="000F254E"/>
    <w:rsid w:val="000F2995"/>
    <w:rsid w:val="000F2ABA"/>
    <w:rsid w:val="000F2B00"/>
    <w:rsid w:val="000F2B2D"/>
    <w:rsid w:val="000F2CC4"/>
    <w:rsid w:val="000F2E77"/>
    <w:rsid w:val="000F31E6"/>
    <w:rsid w:val="000F31EA"/>
    <w:rsid w:val="000F3480"/>
    <w:rsid w:val="000F38D2"/>
    <w:rsid w:val="000F395E"/>
    <w:rsid w:val="000F3DA4"/>
    <w:rsid w:val="000F3E3B"/>
    <w:rsid w:val="000F3EE7"/>
    <w:rsid w:val="000F3F2A"/>
    <w:rsid w:val="000F41C2"/>
    <w:rsid w:val="000F4236"/>
    <w:rsid w:val="000F42CD"/>
    <w:rsid w:val="000F4409"/>
    <w:rsid w:val="000F441C"/>
    <w:rsid w:val="000F4539"/>
    <w:rsid w:val="000F459D"/>
    <w:rsid w:val="000F4A9D"/>
    <w:rsid w:val="000F4BCC"/>
    <w:rsid w:val="000F4D62"/>
    <w:rsid w:val="000F4DDE"/>
    <w:rsid w:val="000F5692"/>
    <w:rsid w:val="000F5801"/>
    <w:rsid w:val="000F5939"/>
    <w:rsid w:val="000F5A26"/>
    <w:rsid w:val="000F5C2F"/>
    <w:rsid w:val="000F5C61"/>
    <w:rsid w:val="000F5D33"/>
    <w:rsid w:val="000F5E83"/>
    <w:rsid w:val="000F60B0"/>
    <w:rsid w:val="000F61EA"/>
    <w:rsid w:val="000F65B7"/>
    <w:rsid w:val="000F65F7"/>
    <w:rsid w:val="000F6737"/>
    <w:rsid w:val="000F699F"/>
    <w:rsid w:val="000F6D34"/>
    <w:rsid w:val="000F6E87"/>
    <w:rsid w:val="000F6F9B"/>
    <w:rsid w:val="000F7379"/>
    <w:rsid w:val="000F73CB"/>
    <w:rsid w:val="000F772B"/>
    <w:rsid w:val="000F795D"/>
    <w:rsid w:val="000F7C0C"/>
    <w:rsid w:val="000F7C68"/>
    <w:rsid w:val="000F7C8F"/>
    <w:rsid w:val="000F7EAA"/>
    <w:rsid w:val="0010007A"/>
    <w:rsid w:val="001000FE"/>
    <w:rsid w:val="0010018C"/>
    <w:rsid w:val="00100311"/>
    <w:rsid w:val="0010063B"/>
    <w:rsid w:val="00100C1F"/>
    <w:rsid w:val="00101168"/>
    <w:rsid w:val="00101229"/>
    <w:rsid w:val="001013C0"/>
    <w:rsid w:val="0010149F"/>
    <w:rsid w:val="001014DD"/>
    <w:rsid w:val="00101633"/>
    <w:rsid w:val="00101790"/>
    <w:rsid w:val="00101798"/>
    <w:rsid w:val="00101BAA"/>
    <w:rsid w:val="00101CA9"/>
    <w:rsid w:val="00101E76"/>
    <w:rsid w:val="00101E91"/>
    <w:rsid w:val="0010246C"/>
    <w:rsid w:val="001024A8"/>
    <w:rsid w:val="001024AA"/>
    <w:rsid w:val="00102603"/>
    <w:rsid w:val="00102680"/>
    <w:rsid w:val="00102720"/>
    <w:rsid w:val="001027E1"/>
    <w:rsid w:val="001029BB"/>
    <w:rsid w:val="00102A52"/>
    <w:rsid w:val="00102A62"/>
    <w:rsid w:val="00102CE5"/>
    <w:rsid w:val="00102E23"/>
    <w:rsid w:val="001033C7"/>
    <w:rsid w:val="00103545"/>
    <w:rsid w:val="0010367C"/>
    <w:rsid w:val="00103724"/>
    <w:rsid w:val="0010378B"/>
    <w:rsid w:val="001037A8"/>
    <w:rsid w:val="00103A95"/>
    <w:rsid w:val="00103B1A"/>
    <w:rsid w:val="00103D34"/>
    <w:rsid w:val="001040B8"/>
    <w:rsid w:val="00104294"/>
    <w:rsid w:val="00104982"/>
    <w:rsid w:val="001049B3"/>
    <w:rsid w:val="00104AD9"/>
    <w:rsid w:val="00104D01"/>
    <w:rsid w:val="00104F38"/>
    <w:rsid w:val="00104FE6"/>
    <w:rsid w:val="001050BD"/>
    <w:rsid w:val="0010516B"/>
    <w:rsid w:val="001053C8"/>
    <w:rsid w:val="001055D4"/>
    <w:rsid w:val="00105A6F"/>
    <w:rsid w:val="00105DCC"/>
    <w:rsid w:val="00105E9D"/>
    <w:rsid w:val="00105F10"/>
    <w:rsid w:val="0010610B"/>
    <w:rsid w:val="00106308"/>
    <w:rsid w:val="00106350"/>
    <w:rsid w:val="00106691"/>
    <w:rsid w:val="00106876"/>
    <w:rsid w:val="00106888"/>
    <w:rsid w:val="00106A0B"/>
    <w:rsid w:val="00106B06"/>
    <w:rsid w:val="00106C08"/>
    <w:rsid w:val="00106CC6"/>
    <w:rsid w:val="00106EAA"/>
    <w:rsid w:val="0010703B"/>
    <w:rsid w:val="001071A4"/>
    <w:rsid w:val="00107354"/>
    <w:rsid w:val="001073FF"/>
    <w:rsid w:val="0010767D"/>
    <w:rsid w:val="00107747"/>
    <w:rsid w:val="001077C0"/>
    <w:rsid w:val="001100E0"/>
    <w:rsid w:val="00110138"/>
    <w:rsid w:val="00110202"/>
    <w:rsid w:val="0011035C"/>
    <w:rsid w:val="00110373"/>
    <w:rsid w:val="00110579"/>
    <w:rsid w:val="00110607"/>
    <w:rsid w:val="0011063E"/>
    <w:rsid w:val="00110677"/>
    <w:rsid w:val="0011068E"/>
    <w:rsid w:val="00110845"/>
    <w:rsid w:val="001108DD"/>
    <w:rsid w:val="00110A86"/>
    <w:rsid w:val="00110BBF"/>
    <w:rsid w:val="00110E68"/>
    <w:rsid w:val="0011106B"/>
    <w:rsid w:val="00111269"/>
    <w:rsid w:val="0011133C"/>
    <w:rsid w:val="00111503"/>
    <w:rsid w:val="00111535"/>
    <w:rsid w:val="00111986"/>
    <w:rsid w:val="001119CF"/>
    <w:rsid w:val="00111A73"/>
    <w:rsid w:val="00111AFF"/>
    <w:rsid w:val="00111BD7"/>
    <w:rsid w:val="00111D76"/>
    <w:rsid w:val="00111E97"/>
    <w:rsid w:val="0011240C"/>
    <w:rsid w:val="001129D8"/>
    <w:rsid w:val="00112AE3"/>
    <w:rsid w:val="00112B10"/>
    <w:rsid w:val="00112B3C"/>
    <w:rsid w:val="00112D0C"/>
    <w:rsid w:val="00112D10"/>
    <w:rsid w:val="00112FB3"/>
    <w:rsid w:val="00113200"/>
    <w:rsid w:val="0011335A"/>
    <w:rsid w:val="001133FD"/>
    <w:rsid w:val="0011363B"/>
    <w:rsid w:val="00113779"/>
    <w:rsid w:val="001137E6"/>
    <w:rsid w:val="00113A19"/>
    <w:rsid w:val="00113A5E"/>
    <w:rsid w:val="00113A96"/>
    <w:rsid w:val="00113E3A"/>
    <w:rsid w:val="001145D8"/>
    <w:rsid w:val="0011466E"/>
    <w:rsid w:val="001146DB"/>
    <w:rsid w:val="00114A0D"/>
    <w:rsid w:val="00114A12"/>
    <w:rsid w:val="00114BD8"/>
    <w:rsid w:val="00114D34"/>
    <w:rsid w:val="00114DC8"/>
    <w:rsid w:val="00114E99"/>
    <w:rsid w:val="0011503B"/>
    <w:rsid w:val="00115070"/>
    <w:rsid w:val="001150DC"/>
    <w:rsid w:val="001151A2"/>
    <w:rsid w:val="00115434"/>
    <w:rsid w:val="00115511"/>
    <w:rsid w:val="001155AC"/>
    <w:rsid w:val="00115710"/>
    <w:rsid w:val="00115758"/>
    <w:rsid w:val="001157E4"/>
    <w:rsid w:val="00115AA0"/>
    <w:rsid w:val="00115C0C"/>
    <w:rsid w:val="00115DD0"/>
    <w:rsid w:val="001163B7"/>
    <w:rsid w:val="001167ED"/>
    <w:rsid w:val="0011683B"/>
    <w:rsid w:val="00116842"/>
    <w:rsid w:val="00116946"/>
    <w:rsid w:val="00116978"/>
    <w:rsid w:val="00116E60"/>
    <w:rsid w:val="00116F4E"/>
    <w:rsid w:val="0011715E"/>
    <w:rsid w:val="00117265"/>
    <w:rsid w:val="001174E8"/>
    <w:rsid w:val="0011792D"/>
    <w:rsid w:val="00117AD4"/>
    <w:rsid w:val="00117D4D"/>
    <w:rsid w:val="00117E4C"/>
    <w:rsid w:val="00117E7E"/>
    <w:rsid w:val="00117F12"/>
    <w:rsid w:val="00117F69"/>
    <w:rsid w:val="00117FF0"/>
    <w:rsid w:val="001200C0"/>
    <w:rsid w:val="0012023E"/>
    <w:rsid w:val="00120529"/>
    <w:rsid w:val="0012057C"/>
    <w:rsid w:val="001209A0"/>
    <w:rsid w:val="00120AF0"/>
    <w:rsid w:val="00120F1D"/>
    <w:rsid w:val="001210CC"/>
    <w:rsid w:val="001210CF"/>
    <w:rsid w:val="00121478"/>
    <w:rsid w:val="00121698"/>
    <w:rsid w:val="001218DF"/>
    <w:rsid w:val="001219D0"/>
    <w:rsid w:val="00121B8D"/>
    <w:rsid w:val="00121C1B"/>
    <w:rsid w:val="00121C3E"/>
    <w:rsid w:val="00121E2A"/>
    <w:rsid w:val="00121F24"/>
    <w:rsid w:val="00121F45"/>
    <w:rsid w:val="00121FE0"/>
    <w:rsid w:val="00122080"/>
    <w:rsid w:val="0012208B"/>
    <w:rsid w:val="0012209F"/>
    <w:rsid w:val="00122386"/>
    <w:rsid w:val="0012246B"/>
    <w:rsid w:val="0012253D"/>
    <w:rsid w:val="001225AF"/>
    <w:rsid w:val="00122770"/>
    <w:rsid w:val="00122884"/>
    <w:rsid w:val="001228EB"/>
    <w:rsid w:val="0012292F"/>
    <w:rsid w:val="00122B78"/>
    <w:rsid w:val="00122BDA"/>
    <w:rsid w:val="00122D61"/>
    <w:rsid w:val="00122F61"/>
    <w:rsid w:val="00122F75"/>
    <w:rsid w:val="00123161"/>
    <w:rsid w:val="00123196"/>
    <w:rsid w:val="001232BE"/>
    <w:rsid w:val="001232EA"/>
    <w:rsid w:val="00123338"/>
    <w:rsid w:val="00124843"/>
    <w:rsid w:val="00124A6C"/>
    <w:rsid w:val="00124BBE"/>
    <w:rsid w:val="00124C6D"/>
    <w:rsid w:val="00124CDD"/>
    <w:rsid w:val="00125074"/>
    <w:rsid w:val="001251F8"/>
    <w:rsid w:val="00125347"/>
    <w:rsid w:val="001253E5"/>
    <w:rsid w:val="001254CB"/>
    <w:rsid w:val="00125503"/>
    <w:rsid w:val="00125586"/>
    <w:rsid w:val="0012582E"/>
    <w:rsid w:val="00125A0E"/>
    <w:rsid w:val="00125A70"/>
    <w:rsid w:val="00125C81"/>
    <w:rsid w:val="00125D01"/>
    <w:rsid w:val="00125DC3"/>
    <w:rsid w:val="00125ECB"/>
    <w:rsid w:val="00126101"/>
    <w:rsid w:val="00126123"/>
    <w:rsid w:val="001262D1"/>
    <w:rsid w:val="00126344"/>
    <w:rsid w:val="00126349"/>
    <w:rsid w:val="0012667E"/>
    <w:rsid w:val="0012671F"/>
    <w:rsid w:val="001268FC"/>
    <w:rsid w:val="00126900"/>
    <w:rsid w:val="00126DE0"/>
    <w:rsid w:val="001270A4"/>
    <w:rsid w:val="0012713C"/>
    <w:rsid w:val="00127180"/>
    <w:rsid w:val="001272FD"/>
    <w:rsid w:val="00127399"/>
    <w:rsid w:val="001273B6"/>
    <w:rsid w:val="001274D9"/>
    <w:rsid w:val="001275BF"/>
    <w:rsid w:val="00127639"/>
    <w:rsid w:val="001276C0"/>
    <w:rsid w:val="00127A6A"/>
    <w:rsid w:val="00127AC9"/>
    <w:rsid w:val="00127C4A"/>
    <w:rsid w:val="00130392"/>
    <w:rsid w:val="0013045E"/>
    <w:rsid w:val="00130710"/>
    <w:rsid w:val="001307E9"/>
    <w:rsid w:val="001309BC"/>
    <w:rsid w:val="00130BCF"/>
    <w:rsid w:val="00130DA0"/>
    <w:rsid w:val="001311BF"/>
    <w:rsid w:val="001315F0"/>
    <w:rsid w:val="00131696"/>
    <w:rsid w:val="0013185A"/>
    <w:rsid w:val="001319B9"/>
    <w:rsid w:val="00131CD7"/>
    <w:rsid w:val="00131DC5"/>
    <w:rsid w:val="00131E72"/>
    <w:rsid w:val="0013203F"/>
    <w:rsid w:val="001320AE"/>
    <w:rsid w:val="00132105"/>
    <w:rsid w:val="001325CB"/>
    <w:rsid w:val="001328C8"/>
    <w:rsid w:val="001329A4"/>
    <w:rsid w:val="001329D0"/>
    <w:rsid w:val="00132A87"/>
    <w:rsid w:val="00132BF1"/>
    <w:rsid w:val="00132BFC"/>
    <w:rsid w:val="00132C26"/>
    <w:rsid w:val="00132C7D"/>
    <w:rsid w:val="00132D84"/>
    <w:rsid w:val="00132FB5"/>
    <w:rsid w:val="001331A7"/>
    <w:rsid w:val="001333B5"/>
    <w:rsid w:val="00133421"/>
    <w:rsid w:val="00133735"/>
    <w:rsid w:val="0013389C"/>
    <w:rsid w:val="001339FD"/>
    <w:rsid w:val="00133A04"/>
    <w:rsid w:val="0013428D"/>
    <w:rsid w:val="001342C0"/>
    <w:rsid w:val="001343E1"/>
    <w:rsid w:val="00134521"/>
    <w:rsid w:val="00134543"/>
    <w:rsid w:val="001347C7"/>
    <w:rsid w:val="00135282"/>
    <w:rsid w:val="00135291"/>
    <w:rsid w:val="001355F9"/>
    <w:rsid w:val="00135723"/>
    <w:rsid w:val="0013588E"/>
    <w:rsid w:val="0013590C"/>
    <w:rsid w:val="00135B2D"/>
    <w:rsid w:val="00135CC0"/>
    <w:rsid w:val="00135F06"/>
    <w:rsid w:val="00135F59"/>
    <w:rsid w:val="0013638F"/>
    <w:rsid w:val="001365BA"/>
    <w:rsid w:val="00136776"/>
    <w:rsid w:val="0013677E"/>
    <w:rsid w:val="00136B3C"/>
    <w:rsid w:val="00136B44"/>
    <w:rsid w:val="00136C18"/>
    <w:rsid w:val="00136C49"/>
    <w:rsid w:val="00136D6D"/>
    <w:rsid w:val="0013708C"/>
    <w:rsid w:val="001370DA"/>
    <w:rsid w:val="00137165"/>
    <w:rsid w:val="0013716C"/>
    <w:rsid w:val="00137353"/>
    <w:rsid w:val="001376E2"/>
    <w:rsid w:val="00137898"/>
    <w:rsid w:val="00137989"/>
    <w:rsid w:val="00137A96"/>
    <w:rsid w:val="00137AA1"/>
    <w:rsid w:val="00137B67"/>
    <w:rsid w:val="001403E7"/>
    <w:rsid w:val="001404CC"/>
    <w:rsid w:val="00140620"/>
    <w:rsid w:val="0014067D"/>
    <w:rsid w:val="001408E9"/>
    <w:rsid w:val="00140A10"/>
    <w:rsid w:val="00140EA5"/>
    <w:rsid w:val="00140EE7"/>
    <w:rsid w:val="00140EE8"/>
    <w:rsid w:val="00140FCB"/>
    <w:rsid w:val="00141053"/>
    <w:rsid w:val="001411AD"/>
    <w:rsid w:val="0014181A"/>
    <w:rsid w:val="00141A33"/>
    <w:rsid w:val="00141B47"/>
    <w:rsid w:val="00141CC7"/>
    <w:rsid w:val="00141CDB"/>
    <w:rsid w:val="00141D6E"/>
    <w:rsid w:val="00141DB7"/>
    <w:rsid w:val="00141F07"/>
    <w:rsid w:val="00141F6B"/>
    <w:rsid w:val="0014207D"/>
    <w:rsid w:val="00142277"/>
    <w:rsid w:val="0014237B"/>
    <w:rsid w:val="00142706"/>
    <w:rsid w:val="001427BD"/>
    <w:rsid w:val="001429D1"/>
    <w:rsid w:val="00142A9B"/>
    <w:rsid w:val="00142D51"/>
    <w:rsid w:val="00142E2B"/>
    <w:rsid w:val="001430E1"/>
    <w:rsid w:val="00143404"/>
    <w:rsid w:val="00143589"/>
    <w:rsid w:val="00143797"/>
    <w:rsid w:val="001438A5"/>
    <w:rsid w:val="00143B11"/>
    <w:rsid w:val="001445B5"/>
    <w:rsid w:val="001447C1"/>
    <w:rsid w:val="001448DA"/>
    <w:rsid w:val="00144AA8"/>
    <w:rsid w:val="00144BEB"/>
    <w:rsid w:val="00144F3D"/>
    <w:rsid w:val="001452CD"/>
    <w:rsid w:val="00145430"/>
    <w:rsid w:val="0014544B"/>
    <w:rsid w:val="00145464"/>
    <w:rsid w:val="001458D2"/>
    <w:rsid w:val="00145A29"/>
    <w:rsid w:val="00145A49"/>
    <w:rsid w:val="00145B91"/>
    <w:rsid w:val="00145BB0"/>
    <w:rsid w:val="00145BEF"/>
    <w:rsid w:val="00145C07"/>
    <w:rsid w:val="00145D82"/>
    <w:rsid w:val="00145F42"/>
    <w:rsid w:val="00145FFF"/>
    <w:rsid w:val="00146031"/>
    <w:rsid w:val="0014651D"/>
    <w:rsid w:val="00146975"/>
    <w:rsid w:val="00146C1E"/>
    <w:rsid w:val="00146DD9"/>
    <w:rsid w:val="00146F1E"/>
    <w:rsid w:val="00146F3B"/>
    <w:rsid w:val="0014758C"/>
    <w:rsid w:val="00147808"/>
    <w:rsid w:val="00147ACD"/>
    <w:rsid w:val="00147B6F"/>
    <w:rsid w:val="00147CAF"/>
    <w:rsid w:val="00147D8E"/>
    <w:rsid w:val="00147E95"/>
    <w:rsid w:val="00147EEA"/>
    <w:rsid w:val="00150103"/>
    <w:rsid w:val="00150387"/>
    <w:rsid w:val="00150574"/>
    <w:rsid w:val="001505A9"/>
    <w:rsid w:val="00150671"/>
    <w:rsid w:val="00150700"/>
    <w:rsid w:val="00150E09"/>
    <w:rsid w:val="00150E2F"/>
    <w:rsid w:val="00150E36"/>
    <w:rsid w:val="00150EA3"/>
    <w:rsid w:val="0015111E"/>
    <w:rsid w:val="001513EF"/>
    <w:rsid w:val="0015153E"/>
    <w:rsid w:val="00151593"/>
    <w:rsid w:val="00151616"/>
    <w:rsid w:val="001516C7"/>
    <w:rsid w:val="0015175E"/>
    <w:rsid w:val="001519A0"/>
    <w:rsid w:val="00151A7D"/>
    <w:rsid w:val="00151D94"/>
    <w:rsid w:val="001520A8"/>
    <w:rsid w:val="001520B8"/>
    <w:rsid w:val="00152201"/>
    <w:rsid w:val="001524B2"/>
    <w:rsid w:val="0015271B"/>
    <w:rsid w:val="0015272A"/>
    <w:rsid w:val="0015280C"/>
    <w:rsid w:val="0015288B"/>
    <w:rsid w:val="00152A79"/>
    <w:rsid w:val="00152EB5"/>
    <w:rsid w:val="00152F2E"/>
    <w:rsid w:val="00152FB5"/>
    <w:rsid w:val="00153101"/>
    <w:rsid w:val="0015333E"/>
    <w:rsid w:val="00153655"/>
    <w:rsid w:val="001537C4"/>
    <w:rsid w:val="00153C73"/>
    <w:rsid w:val="00153E15"/>
    <w:rsid w:val="00153E67"/>
    <w:rsid w:val="00153EAD"/>
    <w:rsid w:val="00153FAB"/>
    <w:rsid w:val="00154105"/>
    <w:rsid w:val="001543C9"/>
    <w:rsid w:val="00154495"/>
    <w:rsid w:val="001544A0"/>
    <w:rsid w:val="00154566"/>
    <w:rsid w:val="00154649"/>
    <w:rsid w:val="0015491D"/>
    <w:rsid w:val="00154B0E"/>
    <w:rsid w:val="00154BFB"/>
    <w:rsid w:val="00154D4B"/>
    <w:rsid w:val="00154DB5"/>
    <w:rsid w:val="00154E66"/>
    <w:rsid w:val="0015518A"/>
    <w:rsid w:val="00155236"/>
    <w:rsid w:val="001552BF"/>
    <w:rsid w:val="00155583"/>
    <w:rsid w:val="001558D8"/>
    <w:rsid w:val="00155A1C"/>
    <w:rsid w:val="0015601B"/>
    <w:rsid w:val="00156128"/>
    <w:rsid w:val="0015624B"/>
    <w:rsid w:val="001562F6"/>
    <w:rsid w:val="0015656E"/>
    <w:rsid w:val="00156974"/>
    <w:rsid w:val="00156A32"/>
    <w:rsid w:val="00156C47"/>
    <w:rsid w:val="00156D39"/>
    <w:rsid w:val="00156D75"/>
    <w:rsid w:val="00156E49"/>
    <w:rsid w:val="00157014"/>
    <w:rsid w:val="0015731D"/>
    <w:rsid w:val="0015732E"/>
    <w:rsid w:val="00157367"/>
    <w:rsid w:val="0015742D"/>
    <w:rsid w:val="00157528"/>
    <w:rsid w:val="001575CC"/>
    <w:rsid w:val="001575DE"/>
    <w:rsid w:val="001576D0"/>
    <w:rsid w:val="001576E7"/>
    <w:rsid w:val="0015783A"/>
    <w:rsid w:val="00157C10"/>
    <w:rsid w:val="001602E9"/>
    <w:rsid w:val="001608DF"/>
    <w:rsid w:val="00160DCD"/>
    <w:rsid w:val="00160E25"/>
    <w:rsid w:val="001612CB"/>
    <w:rsid w:val="00161320"/>
    <w:rsid w:val="0016150E"/>
    <w:rsid w:val="001615F7"/>
    <w:rsid w:val="00161B05"/>
    <w:rsid w:val="00161C87"/>
    <w:rsid w:val="00162145"/>
    <w:rsid w:val="0016214D"/>
    <w:rsid w:val="00162175"/>
    <w:rsid w:val="001621A5"/>
    <w:rsid w:val="00162469"/>
    <w:rsid w:val="00162550"/>
    <w:rsid w:val="001625D1"/>
    <w:rsid w:val="0016278D"/>
    <w:rsid w:val="00162A21"/>
    <w:rsid w:val="00162B6E"/>
    <w:rsid w:val="00162B88"/>
    <w:rsid w:val="00162C95"/>
    <w:rsid w:val="00162E7B"/>
    <w:rsid w:val="00163176"/>
    <w:rsid w:val="001631EC"/>
    <w:rsid w:val="00163491"/>
    <w:rsid w:val="001635B1"/>
    <w:rsid w:val="001636A5"/>
    <w:rsid w:val="00163873"/>
    <w:rsid w:val="0016392A"/>
    <w:rsid w:val="00163CD8"/>
    <w:rsid w:val="00163E8F"/>
    <w:rsid w:val="001640CF"/>
    <w:rsid w:val="00164198"/>
    <w:rsid w:val="00164665"/>
    <w:rsid w:val="00164830"/>
    <w:rsid w:val="001649B0"/>
    <w:rsid w:val="00164A98"/>
    <w:rsid w:val="00164AA1"/>
    <w:rsid w:val="00164B39"/>
    <w:rsid w:val="00164E1D"/>
    <w:rsid w:val="00164F54"/>
    <w:rsid w:val="0016535E"/>
    <w:rsid w:val="00165457"/>
    <w:rsid w:val="00165574"/>
    <w:rsid w:val="00165584"/>
    <w:rsid w:val="001655BB"/>
    <w:rsid w:val="00165694"/>
    <w:rsid w:val="00165729"/>
    <w:rsid w:val="00165994"/>
    <w:rsid w:val="001659C5"/>
    <w:rsid w:val="00165A09"/>
    <w:rsid w:val="001660AB"/>
    <w:rsid w:val="0016642B"/>
    <w:rsid w:val="00166BB1"/>
    <w:rsid w:val="00166CCD"/>
    <w:rsid w:val="00167099"/>
    <w:rsid w:val="00167385"/>
    <w:rsid w:val="001673AB"/>
    <w:rsid w:val="0016774B"/>
    <w:rsid w:val="001677D3"/>
    <w:rsid w:val="001678DA"/>
    <w:rsid w:val="0016791F"/>
    <w:rsid w:val="00167A87"/>
    <w:rsid w:val="00167BCA"/>
    <w:rsid w:val="00167BCE"/>
    <w:rsid w:val="00167C11"/>
    <w:rsid w:val="00167ED3"/>
    <w:rsid w:val="00170116"/>
    <w:rsid w:val="00170190"/>
    <w:rsid w:val="0017024C"/>
    <w:rsid w:val="001703AB"/>
    <w:rsid w:val="0017043A"/>
    <w:rsid w:val="00170668"/>
    <w:rsid w:val="00170671"/>
    <w:rsid w:val="00170788"/>
    <w:rsid w:val="0017080B"/>
    <w:rsid w:val="00170843"/>
    <w:rsid w:val="001708E5"/>
    <w:rsid w:val="00170A2C"/>
    <w:rsid w:val="00170A80"/>
    <w:rsid w:val="00170BF7"/>
    <w:rsid w:val="00170EF8"/>
    <w:rsid w:val="00170F2B"/>
    <w:rsid w:val="00170FF3"/>
    <w:rsid w:val="00170FF4"/>
    <w:rsid w:val="0017111A"/>
    <w:rsid w:val="0017125D"/>
    <w:rsid w:val="00171344"/>
    <w:rsid w:val="00171345"/>
    <w:rsid w:val="001715F8"/>
    <w:rsid w:val="0017167B"/>
    <w:rsid w:val="00171BA3"/>
    <w:rsid w:val="00171C0A"/>
    <w:rsid w:val="00171DCE"/>
    <w:rsid w:val="00171E3D"/>
    <w:rsid w:val="00171F61"/>
    <w:rsid w:val="00171F7D"/>
    <w:rsid w:val="00172000"/>
    <w:rsid w:val="0017206B"/>
    <w:rsid w:val="00172396"/>
    <w:rsid w:val="0017240C"/>
    <w:rsid w:val="0017251A"/>
    <w:rsid w:val="00172660"/>
    <w:rsid w:val="001726F5"/>
    <w:rsid w:val="00172B3D"/>
    <w:rsid w:val="00172D2F"/>
    <w:rsid w:val="00172FCB"/>
    <w:rsid w:val="00173271"/>
    <w:rsid w:val="0017360D"/>
    <w:rsid w:val="00173647"/>
    <w:rsid w:val="00173A30"/>
    <w:rsid w:val="00173A75"/>
    <w:rsid w:val="00173BD6"/>
    <w:rsid w:val="00173C3B"/>
    <w:rsid w:val="00173F67"/>
    <w:rsid w:val="001740C6"/>
    <w:rsid w:val="001740C7"/>
    <w:rsid w:val="001740D9"/>
    <w:rsid w:val="00174100"/>
    <w:rsid w:val="0017416D"/>
    <w:rsid w:val="001743E8"/>
    <w:rsid w:val="001744AC"/>
    <w:rsid w:val="001745C8"/>
    <w:rsid w:val="0017474A"/>
    <w:rsid w:val="00174786"/>
    <w:rsid w:val="00174901"/>
    <w:rsid w:val="001749C5"/>
    <w:rsid w:val="00174A65"/>
    <w:rsid w:val="00174A7C"/>
    <w:rsid w:val="00174A94"/>
    <w:rsid w:val="00174CC8"/>
    <w:rsid w:val="00174EEA"/>
    <w:rsid w:val="001753D6"/>
    <w:rsid w:val="001756FD"/>
    <w:rsid w:val="001757B5"/>
    <w:rsid w:val="00175832"/>
    <w:rsid w:val="00175981"/>
    <w:rsid w:val="00175A95"/>
    <w:rsid w:val="00175A9D"/>
    <w:rsid w:val="00175F43"/>
    <w:rsid w:val="00175FAB"/>
    <w:rsid w:val="0017620F"/>
    <w:rsid w:val="00176281"/>
    <w:rsid w:val="001762C1"/>
    <w:rsid w:val="001762E4"/>
    <w:rsid w:val="0017633E"/>
    <w:rsid w:val="001764CB"/>
    <w:rsid w:val="001764E3"/>
    <w:rsid w:val="001764F2"/>
    <w:rsid w:val="0017652E"/>
    <w:rsid w:val="00176588"/>
    <w:rsid w:val="001768DD"/>
    <w:rsid w:val="0017697F"/>
    <w:rsid w:val="00176AD5"/>
    <w:rsid w:val="00176B49"/>
    <w:rsid w:val="0017706D"/>
    <w:rsid w:val="0017709F"/>
    <w:rsid w:val="001770A9"/>
    <w:rsid w:val="001774CC"/>
    <w:rsid w:val="00177724"/>
    <w:rsid w:val="00177844"/>
    <w:rsid w:val="001778DA"/>
    <w:rsid w:val="001778E3"/>
    <w:rsid w:val="001779C9"/>
    <w:rsid w:val="00177C67"/>
    <w:rsid w:val="00177E00"/>
    <w:rsid w:val="00177F21"/>
    <w:rsid w:val="001801C6"/>
    <w:rsid w:val="001806AE"/>
    <w:rsid w:val="00180857"/>
    <w:rsid w:val="0018089F"/>
    <w:rsid w:val="00180B28"/>
    <w:rsid w:val="001811FE"/>
    <w:rsid w:val="0018123A"/>
    <w:rsid w:val="0018127F"/>
    <w:rsid w:val="00181325"/>
    <w:rsid w:val="0018140E"/>
    <w:rsid w:val="001814C7"/>
    <w:rsid w:val="001814D5"/>
    <w:rsid w:val="00181609"/>
    <w:rsid w:val="00181635"/>
    <w:rsid w:val="0018172C"/>
    <w:rsid w:val="00181789"/>
    <w:rsid w:val="0018187B"/>
    <w:rsid w:val="0018193B"/>
    <w:rsid w:val="0018199B"/>
    <w:rsid w:val="00181AAB"/>
    <w:rsid w:val="00181B5B"/>
    <w:rsid w:val="00181B5D"/>
    <w:rsid w:val="00181D68"/>
    <w:rsid w:val="00181D75"/>
    <w:rsid w:val="00181FC3"/>
    <w:rsid w:val="00181FD8"/>
    <w:rsid w:val="001821B8"/>
    <w:rsid w:val="00182308"/>
    <w:rsid w:val="00182336"/>
    <w:rsid w:val="001823E5"/>
    <w:rsid w:val="00182414"/>
    <w:rsid w:val="00182632"/>
    <w:rsid w:val="00182661"/>
    <w:rsid w:val="001826D8"/>
    <w:rsid w:val="001828E5"/>
    <w:rsid w:val="00182909"/>
    <w:rsid w:val="00182A51"/>
    <w:rsid w:val="00182A6F"/>
    <w:rsid w:val="00182BD2"/>
    <w:rsid w:val="00182EB8"/>
    <w:rsid w:val="001830B7"/>
    <w:rsid w:val="001830EA"/>
    <w:rsid w:val="00183174"/>
    <w:rsid w:val="001832BE"/>
    <w:rsid w:val="0018336D"/>
    <w:rsid w:val="001835AA"/>
    <w:rsid w:val="0018372D"/>
    <w:rsid w:val="00183804"/>
    <w:rsid w:val="0018398F"/>
    <w:rsid w:val="00183A4C"/>
    <w:rsid w:val="00183B67"/>
    <w:rsid w:val="00183B85"/>
    <w:rsid w:val="00183BCF"/>
    <w:rsid w:val="00183C04"/>
    <w:rsid w:val="00183D61"/>
    <w:rsid w:val="00183DF8"/>
    <w:rsid w:val="00183EF8"/>
    <w:rsid w:val="00184078"/>
    <w:rsid w:val="001840EE"/>
    <w:rsid w:val="00184175"/>
    <w:rsid w:val="001841BF"/>
    <w:rsid w:val="00184310"/>
    <w:rsid w:val="00184504"/>
    <w:rsid w:val="00184632"/>
    <w:rsid w:val="0018478E"/>
    <w:rsid w:val="00184973"/>
    <w:rsid w:val="00184B56"/>
    <w:rsid w:val="00184E7F"/>
    <w:rsid w:val="00184ED2"/>
    <w:rsid w:val="0018550B"/>
    <w:rsid w:val="00185565"/>
    <w:rsid w:val="001857B1"/>
    <w:rsid w:val="001857FE"/>
    <w:rsid w:val="00185C71"/>
    <w:rsid w:val="00185F98"/>
    <w:rsid w:val="0018612F"/>
    <w:rsid w:val="001861D4"/>
    <w:rsid w:val="001861EC"/>
    <w:rsid w:val="00186342"/>
    <w:rsid w:val="0018634D"/>
    <w:rsid w:val="00186399"/>
    <w:rsid w:val="0018663F"/>
    <w:rsid w:val="00186954"/>
    <w:rsid w:val="0018699F"/>
    <w:rsid w:val="00186B9E"/>
    <w:rsid w:val="00187296"/>
    <w:rsid w:val="001873FC"/>
    <w:rsid w:val="0018740A"/>
    <w:rsid w:val="0018787F"/>
    <w:rsid w:val="00187AA9"/>
    <w:rsid w:val="00187B7A"/>
    <w:rsid w:val="00187F92"/>
    <w:rsid w:val="00190127"/>
    <w:rsid w:val="00190573"/>
    <w:rsid w:val="0019082C"/>
    <w:rsid w:val="00190877"/>
    <w:rsid w:val="00190956"/>
    <w:rsid w:val="001909CE"/>
    <w:rsid w:val="00190AD5"/>
    <w:rsid w:val="00190E43"/>
    <w:rsid w:val="00190ED4"/>
    <w:rsid w:val="00190FD8"/>
    <w:rsid w:val="0019108D"/>
    <w:rsid w:val="00191140"/>
    <w:rsid w:val="0019124D"/>
    <w:rsid w:val="001914B0"/>
    <w:rsid w:val="001914BF"/>
    <w:rsid w:val="0019157E"/>
    <w:rsid w:val="0019160B"/>
    <w:rsid w:val="00191874"/>
    <w:rsid w:val="00191A23"/>
    <w:rsid w:val="00191E08"/>
    <w:rsid w:val="00191E46"/>
    <w:rsid w:val="00191E93"/>
    <w:rsid w:val="00192067"/>
    <w:rsid w:val="0019213C"/>
    <w:rsid w:val="00192258"/>
    <w:rsid w:val="00192465"/>
    <w:rsid w:val="001925C6"/>
    <w:rsid w:val="00192795"/>
    <w:rsid w:val="001928EF"/>
    <w:rsid w:val="00192A03"/>
    <w:rsid w:val="00192BCC"/>
    <w:rsid w:val="00192E3F"/>
    <w:rsid w:val="00192F1C"/>
    <w:rsid w:val="00192F58"/>
    <w:rsid w:val="001930B4"/>
    <w:rsid w:val="0019331A"/>
    <w:rsid w:val="001934C3"/>
    <w:rsid w:val="001934EB"/>
    <w:rsid w:val="001939EE"/>
    <w:rsid w:val="00193AD5"/>
    <w:rsid w:val="00193BA8"/>
    <w:rsid w:val="00193D37"/>
    <w:rsid w:val="00193E17"/>
    <w:rsid w:val="00193E47"/>
    <w:rsid w:val="00193F48"/>
    <w:rsid w:val="0019463F"/>
    <w:rsid w:val="00194799"/>
    <w:rsid w:val="0019479E"/>
    <w:rsid w:val="001948AA"/>
    <w:rsid w:val="00194986"/>
    <w:rsid w:val="00194B07"/>
    <w:rsid w:val="00194B37"/>
    <w:rsid w:val="00194D02"/>
    <w:rsid w:val="001951BB"/>
    <w:rsid w:val="00195202"/>
    <w:rsid w:val="001955E1"/>
    <w:rsid w:val="00195984"/>
    <w:rsid w:val="00195C34"/>
    <w:rsid w:val="00195D01"/>
    <w:rsid w:val="00195D05"/>
    <w:rsid w:val="00195D06"/>
    <w:rsid w:val="0019605B"/>
    <w:rsid w:val="00196298"/>
    <w:rsid w:val="001962CF"/>
    <w:rsid w:val="001963A8"/>
    <w:rsid w:val="0019662B"/>
    <w:rsid w:val="00196763"/>
    <w:rsid w:val="001967A4"/>
    <w:rsid w:val="00196975"/>
    <w:rsid w:val="00196A96"/>
    <w:rsid w:val="00196C0E"/>
    <w:rsid w:val="00196DB2"/>
    <w:rsid w:val="00196DCD"/>
    <w:rsid w:val="00196EF8"/>
    <w:rsid w:val="00196F2A"/>
    <w:rsid w:val="00196F61"/>
    <w:rsid w:val="00196FCD"/>
    <w:rsid w:val="001970EF"/>
    <w:rsid w:val="001975A6"/>
    <w:rsid w:val="001977E2"/>
    <w:rsid w:val="001979E5"/>
    <w:rsid w:val="00197B2B"/>
    <w:rsid w:val="00197BBB"/>
    <w:rsid w:val="00197BD1"/>
    <w:rsid w:val="00197D5A"/>
    <w:rsid w:val="00197E55"/>
    <w:rsid w:val="00197ED9"/>
    <w:rsid w:val="001A028E"/>
    <w:rsid w:val="001A02B6"/>
    <w:rsid w:val="001A02D0"/>
    <w:rsid w:val="001A0357"/>
    <w:rsid w:val="001A0480"/>
    <w:rsid w:val="001A056E"/>
    <w:rsid w:val="001A064B"/>
    <w:rsid w:val="001A06B0"/>
    <w:rsid w:val="001A0A28"/>
    <w:rsid w:val="001A0AA9"/>
    <w:rsid w:val="001A0B0A"/>
    <w:rsid w:val="001A0C16"/>
    <w:rsid w:val="001A0DD2"/>
    <w:rsid w:val="001A1010"/>
    <w:rsid w:val="001A119C"/>
    <w:rsid w:val="001A1340"/>
    <w:rsid w:val="001A14CA"/>
    <w:rsid w:val="001A15C6"/>
    <w:rsid w:val="001A1637"/>
    <w:rsid w:val="001A16D0"/>
    <w:rsid w:val="001A188F"/>
    <w:rsid w:val="001A19ED"/>
    <w:rsid w:val="001A1A12"/>
    <w:rsid w:val="001A1BDD"/>
    <w:rsid w:val="001A1CC7"/>
    <w:rsid w:val="001A206A"/>
    <w:rsid w:val="001A20D5"/>
    <w:rsid w:val="001A2260"/>
    <w:rsid w:val="001A2268"/>
    <w:rsid w:val="001A2445"/>
    <w:rsid w:val="001A2655"/>
    <w:rsid w:val="001A26D7"/>
    <w:rsid w:val="001A2822"/>
    <w:rsid w:val="001A2891"/>
    <w:rsid w:val="001A2FED"/>
    <w:rsid w:val="001A3551"/>
    <w:rsid w:val="001A37D3"/>
    <w:rsid w:val="001A3803"/>
    <w:rsid w:val="001A3BCB"/>
    <w:rsid w:val="001A3C40"/>
    <w:rsid w:val="001A4253"/>
    <w:rsid w:val="001A449B"/>
    <w:rsid w:val="001A455E"/>
    <w:rsid w:val="001A4698"/>
    <w:rsid w:val="001A4804"/>
    <w:rsid w:val="001A488F"/>
    <w:rsid w:val="001A49A5"/>
    <w:rsid w:val="001A49AC"/>
    <w:rsid w:val="001A4DC9"/>
    <w:rsid w:val="001A4DD1"/>
    <w:rsid w:val="001A4E47"/>
    <w:rsid w:val="001A4FAD"/>
    <w:rsid w:val="001A51BB"/>
    <w:rsid w:val="001A5254"/>
    <w:rsid w:val="001A527D"/>
    <w:rsid w:val="001A54A2"/>
    <w:rsid w:val="001A5915"/>
    <w:rsid w:val="001A5A24"/>
    <w:rsid w:val="001A5E6D"/>
    <w:rsid w:val="001A5EBE"/>
    <w:rsid w:val="001A5FB3"/>
    <w:rsid w:val="001A600D"/>
    <w:rsid w:val="001A6050"/>
    <w:rsid w:val="001A60DA"/>
    <w:rsid w:val="001A6279"/>
    <w:rsid w:val="001A6376"/>
    <w:rsid w:val="001A6430"/>
    <w:rsid w:val="001A652F"/>
    <w:rsid w:val="001A683A"/>
    <w:rsid w:val="001A686B"/>
    <w:rsid w:val="001A6A5A"/>
    <w:rsid w:val="001A6B64"/>
    <w:rsid w:val="001A6F5F"/>
    <w:rsid w:val="001A6FEB"/>
    <w:rsid w:val="001A702F"/>
    <w:rsid w:val="001A776D"/>
    <w:rsid w:val="001A7796"/>
    <w:rsid w:val="001A7997"/>
    <w:rsid w:val="001A7A3F"/>
    <w:rsid w:val="001A7AE3"/>
    <w:rsid w:val="001A7B43"/>
    <w:rsid w:val="001A7B91"/>
    <w:rsid w:val="001A7DBA"/>
    <w:rsid w:val="001B02E2"/>
    <w:rsid w:val="001B036F"/>
    <w:rsid w:val="001B03DA"/>
    <w:rsid w:val="001B08D2"/>
    <w:rsid w:val="001B0904"/>
    <w:rsid w:val="001B0D1F"/>
    <w:rsid w:val="001B0DCB"/>
    <w:rsid w:val="001B0E46"/>
    <w:rsid w:val="001B0EA9"/>
    <w:rsid w:val="001B0EE5"/>
    <w:rsid w:val="001B0F14"/>
    <w:rsid w:val="001B0F4C"/>
    <w:rsid w:val="001B0FB9"/>
    <w:rsid w:val="001B14E8"/>
    <w:rsid w:val="001B15D1"/>
    <w:rsid w:val="001B1649"/>
    <w:rsid w:val="001B1783"/>
    <w:rsid w:val="001B1965"/>
    <w:rsid w:val="001B1B56"/>
    <w:rsid w:val="001B1D59"/>
    <w:rsid w:val="001B20E0"/>
    <w:rsid w:val="001B2251"/>
    <w:rsid w:val="001B22B1"/>
    <w:rsid w:val="001B22B2"/>
    <w:rsid w:val="001B239C"/>
    <w:rsid w:val="001B2422"/>
    <w:rsid w:val="001B2598"/>
    <w:rsid w:val="001B2692"/>
    <w:rsid w:val="001B2ACC"/>
    <w:rsid w:val="001B2B29"/>
    <w:rsid w:val="001B2D12"/>
    <w:rsid w:val="001B2F15"/>
    <w:rsid w:val="001B2F2B"/>
    <w:rsid w:val="001B3070"/>
    <w:rsid w:val="001B3091"/>
    <w:rsid w:val="001B3191"/>
    <w:rsid w:val="001B32F2"/>
    <w:rsid w:val="001B33EB"/>
    <w:rsid w:val="001B34F6"/>
    <w:rsid w:val="001B35F2"/>
    <w:rsid w:val="001B375F"/>
    <w:rsid w:val="001B3B9D"/>
    <w:rsid w:val="001B3F22"/>
    <w:rsid w:val="001B3F4F"/>
    <w:rsid w:val="001B4373"/>
    <w:rsid w:val="001B4798"/>
    <w:rsid w:val="001B4A07"/>
    <w:rsid w:val="001B4B06"/>
    <w:rsid w:val="001B4C96"/>
    <w:rsid w:val="001B4CEA"/>
    <w:rsid w:val="001B4E9E"/>
    <w:rsid w:val="001B4F32"/>
    <w:rsid w:val="001B4FBF"/>
    <w:rsid w:val="001B50E8"/>
    <w:rsid w:val="001B52A1"/>
    <w:rsid w:val="001B53C6"/>
    <w:rsid w:val="001B543A"/>
    <w:rsid w:val="001B5503"/>
    <w:rsid w:val="001B59AE"/>
    <w:rsid w:val="001B6237"/>
    <w:rsid w:val="001B62C0"/>
    <w:rsid w:val="001B6384"/>
    <w:rsid w:val="001B63AF"/>
    <w:rsid w:val="001B64A6"/>
    <w:rsid w:val="001B67A8"/>
    <w:rsid w:val="001B695A"/>
    <w:rsid w:val="001B6C28"/>
    <w:rsid w:val="001B6CD3"/>
    <w:rsid w:val="001B6DF3"/>
    <w:rsid w:val="001B6EAC"/>
    <w:rsid w:val="001B7406"/>
    <w:rsid w:val="001B7421"/>
    <w:rsid w:val="001B74C2"/>
    <w:rsid w:val="001B75B9"/>
    <w:rsid w:val="001B767C"/>
    <w:rsid w:val="001B7831"/>
    <w:rsid w:val="001B7933"/>
    <w:rsid w:val="001B7BF0"/>
    <w:rsid w:val="001B7DB1"/>
    <w:rsid w:val="001B7E65"/>
    <w:rsid w:val="001B7F30"/>
    <w:rsid w:val="001B7FE6"/>
    <w:rsid w:val="001C0047"/>
    <w:rsid w:val="001C04F2"/>
    <w:rsid w:val="001C0605"/>
    <w:rsid w:val="001C060A"/>
    <w:rsid w:val="001C07BD"/>
    <w:rsid w:val="001C080F"/>
    <w:rsid w:val="001C0BF3"/>
    <w:rsid w:val="001C0BF5"/>
    <w:rsid w:val="001C0F0E"/>
    <w:rsid w:val="001C0FB2"/>
    <w:rsid w:val="001C0FD0"/>
    <w:rsid w:val="001C1131"/>
    <w:rsid w:val="001C1157"/>
    <w:rsid w:val="001C11E2"/>
    <w:rsid w:val="001C131C"/>
    <w:rsid w:val="001C13E2"/>
    <w:rsid w:val="001C14C6"/>
    <w:rsid w:val="001C17AF"/>
    <w:rsid w:val="001C18AA"/>
    <w:rsid w:val="001C1A75"/>
    <w:rsid w:val="001C1BAE"/>
    <w:rsid w:val="001C1D90"/>
    <w:rsid w:val="001C1E52"/>
    <w:rsid w:val="001C2056"/>
    <w:rsid w:val="001C2134"/>
    <w:rsid w:val="001C21EA"/>
    <w:rsid w:val="001C23BE"/>
    <w:rsid w:val="001C2416"/>
    <w:rsid w:val="001C24BF"/>
    <w:rsid w:val="001C2609"/>
    <w:rsid w:val="001C2AC1"/>
    <w:rsid w:val="001C2B46"/>
    <w:rsid w:val="001C2BB3"/>
    <w:rsid w:val="001C308A"/>
    <w:rsid w:val="001C30BA"/>
    <w:rsid w:val="001C3105"/>
    <w:rsid w:val="001C3136"/>
    <w:rsid w:val="001C3307"/>
    <w:rsid w:val="001C3388"/>
    <w:rsid w:val="001C34AC"/>
    <w:rsid w:val="001C38FE"/>
    <w:rsid w:val="001C3986"/>
    <w:rsid w:val="001C3BC7"/>
    <w:rsid w:val="001C3C72"/>
    <w:rsid w:val="001C4221"/>
    <w:rsid w:val="001C4222"/>
    <w:rsid w:val="001C45C3"/>
    <w:rsid w:val="001C45E8"/>
    <w:rsid w:val="001C46C6"/>
    <w:rsid w:val="001C4981"/>
    <w:rsid w:val="001C4CC4"/>
    <w:rsid w:val="001C52E2"/>
    <w:rsid w:val="001C5377"/>
    <w:rsid w:val="001C54C4"/>
    <w:rsid w:val="001C54EB"/>
    <w:rsid w:val="001C5553"/>
    <w:rsid w:val="001C5580"/>
    <w:rsid w:val="001C5629"/>
    <w:rsid w:val="001C5814"/>
    <w:rsid w:val="001C5B71"/>
    <w:rsid w:val="001C6176"/>
    <w:rsid w:val="001C62DA"/>
    <w:rsid w:val="001C6370"/>
    <w:rsid w:val="001C64C2"/>
    <w:rsid w:val="001C658F"/>
    <w:rsid w:val="001C65AD"/>
    <w:rsid w:val="001C65DB"/>
    <w:rsid w:val="001C6769"/>
    <w:rsid w:val="001C6814"/>
    <w:rsid w:val="001C68DC"/>
    <w:rsid w:val="001C68ED"/>
    <w:rsid w:val="001C6B69"/>
    <w:rsid w:val="001C6E9D"/>
    <w:rsid w:val="001C7227"/>
    <w:rsid w:val="001C7318"/>
    <w:rsid w:val="001C7456"/>
    <w:rsid w:val="001C753A"/>
    <w:rsid w:val="001C7577"/>
    <w:rsid w:val="001C7753"/>
    <w:rsid w:val="001C7953"/>
    <w:rsid w:val="001C7A3D"/>
    <w:rsid w:val="001D03F6"/>
    <w:rsid w:val="001D046D"/>
    <w:rsid w:val="001D0471"/>
    <w:rsid w:val="001D0516"/>
    <w:rsid w:val="001D0755"/>
    <w:rsid w:val="001D0762"/>
    <w:rsid w:val="001D07AD"/>
    <w:rsid w:val="001D08B9"/>
    <w:rsid w:val="001D0A3D"/>
    <w:rsid w:val="001D1053"/>
    <w:rsid w:val="001D12E9"/>
    <w:rsid w:val="001D15B4"/>
    <w:rsid w:val="001D1620"/>
    <w:rsid w:val="001D1672"/>
    <w:rsid w:val="001D173C"/>
    <w:rsid w:val="001D182A"/>
    <w:rsid w:val="001D1AB9"/>
    <w:rsid w:val="001D1B44"/>
    <w:rsid w:val="001D1D13"/>
    <w:rsid w:val="001D1D5D"/>
    <w:rsid w:val="001D22EB"/>
    <w:rsid w:val="001D2739"/>
    <w:rsid w:val="001D2864"/>
    <w:rsid w:val="001D2CCC"/>
    <w:rsid w:val="001D30AA"/>
    <w:rsid w:val="001D30CF"/>
    <w:rsid w:val="001D30FE"/>
    <w:rsid w:val="001D311E"/>
    <w:rsid w:val="001D3165"/>
    <w:rsid w:val="001D33EC"/>
    <w:rsid w:val="001D345C"/>
    <w:rsid w:val="001D3C5B"/>
    <w:rsid w:val="001D3F27"/>
    <w:rsid w:val="001D4146"/>
    <w:rsid w:val="001D42D3"/>
    <w:rsid w:val="001D4319"/>
    <w:rsid w:val="001D4327"/>
    <w:rsid w:val="001D4391"/>
    <w:rsid w:val="001D4406"/>
    <w:rsid w:val="001D4507"/>
    <w:rsid w:val="001D4531"/>
    <w:rsid w:val="001D4629"/>
    <w:rsid w:val="001D46B8"/>
    <w:rsid w:val="001D485C"/>
    <w:rsid w:val="001D4966"/>
    <w:rsid w:val="001D4985"/>
    <w:rsid w:val="001D4AFC"/>
    <w:rsid w:val="001D4BAB"/>
    <w:rsid w:val="001D4C50"/>
    <w:rsid w:val="001D4D37"/>
    <w:rsid w:val="001D4E21"/>
    <w:rsid w:val="001D4ED1"/>
    <w:rsid w:val="001D51F7"/>
    <w:rsid w:val="001D5499"/>
    <w:rsid w:val="001D57BC"/>
    <w:rsid w:val="001D5844"/>
    <w:rsid w:val="001D5C6C"/>
    <w:rsid w:val="001D5E97"/>
    <w:rsid w:val="001D5F77"/>
    <w:rsid w:val="001D61B2"/>
    <w:rsid w:val="001D620F"/>
    <w:rsid w:val="001D62B8"/>
    <w:rsid w:val="001D62C5"/>
    <w:rsid w:val="001D64B7"/>
    <w:rsid w:val="001D6677"/>
    <w:rsid w:val="001D686F"/>
    <w:rsid w:val="001D6B00"/>
    <w:rsid w:val="001D6C58"/>
    <w:rsid w:val="001D6C71"/>
    <w:rsid w:val="001D6DC1"/>
    <w:rsid w:val="001D6DF6"/>
    <w:rsid w:val="001D70B3"/>
    <w:rsid w:val="001D7390"/>
    <w:rsid w:val="001D76DD"/>
    <w:rsid w:val="001D76EF"/>
    <w:rsid w:val="001D788A"/>
    <w:rsid w:val="001D7967"/>
    <w:rsid w:val="001D79C6"/>
    <w:rsid w:val="001D7A26"/>
    <w:rsid w:val="001D7FB3"/>
    <w:rsid w:val="001E007D"/>
    <w:rsid w:val="001E061C"/>
    <w:rsid w:val="001E06BF"/>
    <w:rsid w:val="001E0899"/>
    <w:rsid w:val="001E0B7D"/>
    <w:rsid w:val="001E0BBA"/>
    <w:rsid w:val="001E0D02"/>
    <w:rsid w:val="001E0D04"/>
    <w:rsid w:val="001E10FF"/>
    <w:rsid w:val="001E14EA"/>
    <w:rsid w:val="001E1C5D"/>
    <w:rsid w:val="001E1F34"/>
    <w:rsid w:val="001E1FD4"/>
    <w:rsid w:val="001E20F1"/>
    <w:rsid w:val="001E2241"/>
    <w:rsid w:val="001E2356"/>
    <w:rsid w:val="001E248E"/>
    <w:rsid w:val="001E250B"/>
    <w:rsid w:val="001E25F8"/>
    <w:rsid w:val="001E266E"/>
    <w:rsid w:val="001E269F"/>
    <w:rsid w:val="001E2854"/>
    <w:rsid w:val="001E28C1"/>
    <w:rsid w:val="001E2A1D"/>
    <w:rsid w:val="001E2E1F"/>
    <w:rsid w:val="001E2E81"/>
    <w:rsid w:val="001E3259"/>
    <w:rsid w:val="001E33AE"/>
    <w:rsid w:val="001E341B"/>
    <w:rsid w:val="001E358C"/>
    <w:rsid w:val="001E3732"/>
    <w:rsid w:val="001E378E"/>
    <w:rsid w:val="001E3805"/>
    <w:rsid w:val="001E38B0"/>
    <w:rsid w:val="001E3A69"/>
    <w:rsid w:val="001E3A89"/>
    <w:rsid w:val="001E3A9F"/>
    <w:rsid w:val="001E3B3C"/>
    <w:rsid w:val="001E3B4F"/>
    <w:rsid w:val="001E3D61"/>
    <w:rsid w:val="001E3E9F"/>
    <w:rsid w:val="001E3F0E"/>
    <w:rsid w:val="001E3F87"/>
    <w:rsid w:val="001E44EF"/>
    <w:rsid w:val="001E4692"/>
    <w:rsid w:val="001E46A8"/>
    <w:rsid w:val="001E46C6"/>
    <w:rsid w:val="001E473B"/>
    <w:rsid w:val="001E4A39"/>
    <w:rsid w:val="001E4C1A"/>
    <w:rsid w:val="001E4C2F"/>
    <w:rsid w:val="001E4F44"/>
    <w:rsid w:val="001E4FCC"/>
    <w:rsid w:val="001E4FDA"/>
    <w:rsid w:val="001E4FDD"/>
    <w:rsid w:val="001E515F"/>
    <w:rsid w:val="001E5299"/>
    <w:rsid w:val="001E532E"/>
    <w:rsid w:val="001E539A"/>
    <w:rsid w:val="001E53AA"/>
    <w:rsid w:val="001E5605"/>
    <w:rsid w:val="001E57E5"/>
    <w:rsid w:val="001E589D"/>
    <w:rsid w:val="001E5928"/>
    <w:rsid w:val="001E5A27"/>
    <w:rsid w:val="001E5B51"/>
    <w:rsid w:val="001E5F6B"/>
    <w:rsid w:val="001E5FA5"/>
    <w:rsid w:val="001E5FA6"/>
    <w:rsid w:val="001E6009"/>
    <w:rsid w:val="001E6174"/>
    <w:rsid w:val="001E6203"/>
    <w:rsid w:val="001E6365"/>
    <w:rsid w:val="001E63A5"/>
    <w:rsid w:val="001E647F"/>
    <w:rsid w:val="001E65AC"/>
    <w:rsid w:val="001E66A2"/>
    <w:rsid w:val="001E66F5"/>
    <w:rsid w:val="001E67C0"/>
    <w:rsid w:val="001E685E"/>
    <w:rsid w:val="001E6941"/>
    <w:rsid w:val="001E6B55"/>
    <w:rsid w:val="001E6BCE"/>
    <w:rsid w:val="001E6E0D"/>
    <w:rsid w:val="001E6F87"/>
    <w:rsid w:val="001E6F9D"/>
    <w:rsid w:val="001E7136"/>
    <w:rsid w:val="001E718B"/>
    <w:rsid w:val="001E7415"/>
    <w:rsid w:val="001E747B"/>
    <w:rsid w:val="001E74EA"/>
    <w:rsid w:val="001E7C1B"/>
    <w:rsid w:val="001E7C54"/>
    <w:rsid w:val="001F0016"/>
    <w:rsid w:val="001F0037"/>
    <w:rsid w:val="001F0345"/>
    <w:rsid w:val="001F0403"/>
    <w:rsid w:val="001F04A1"/>
    <w:rsid w:val="001F04C2"/>
    <w:rsid w:val="001F05FC"/>
    <w:rsid w:val="001F0614"/>
    <w:rsid w:val="001F06B8"/>
    <w:rsid w:val="001F075E"/>
    <w:rsid w:val="001F0958"/>
    <w:rsid w:val="001F0B79"/>
    <w:rsid w:val="001F0B7A"/>
    <w:rsid w:val="001F0DF5"/>
    <w:rsid w:val="001F109F"/>
    <w:rsid w:val="001F10C5"/>
    <w:rsid w:val="001F115D"/>
    <w:rsid w:val="001F13AC"/>
    <w:rsid w:val="001F1AD9"/>
    <w:rsid w:val="001F1B4D"/>
    <w:rsid w:val="001F1D42"/>
    <w:rsid w:val="001F1DBF"/>
    <w:rsid w:val="001F1E4F"/>
    <w:rsid w:val="001F1F2E"/>
    <w:rsid w:val="001F213C"/>
    <w:rsid w:val="001F24C5"/>
    <w:rsid w:val="001F2943"/>
    <w:rsid w:val="001F2A4B"/>
    <w:rsid w:val="001F2AF9"/>
    <w:rsid w:val="001F2C52"/>
    <w:rsid w:val="001F2EA0"/>
    <w:rsid w:val="001F2EED"/>
    <w:rsid w:val="001F2F39"/>
    <w:rsid w:val="001F2FCB"/>
    <w:rsid w:val="001F3289"/>
    <w:rsid w:val="001F35BC"/>
    <w:rsid w:val="001F39F6"/>
    <w:rsid w:val="001F3B3A"/>
    <w:rsid w:val="001F3CCE"/>
    <w:rsid w:val="001F3DD3"/>
    <w:rsid w:val="001F3EB0"/>
    <w:rsid w:val="001F3F7D"/>
    <w:rsid w:val="001F4087"/>
    <w:rsid w:val="001F4094"/>
    <w:rsid w:val="001F4230"/>
    <w:rsid w:val="001F44AB"/>
    <w:rsid w:val="001F4537"/>
    <w:rsid w:val="001F45A0"/>
    <w:rsid w:val="001F4949"/>
    <w:rsid w:val="001F49D1"/>
    <w:rsid w:val="001F49D6"/>
    <w:rsid w:val="001F4AED"/>
    <w:rsid w:val="001F4B92"/>
    <w:rsid w:val="001F4D23"/>
    <w:rsid w:val="001F4D32"/>
    <w:rsid w:val="001F4EFD"/>
    <w:rsid w:val="001F5187"/>
    <w:rsid w:val="001F53B0"/>
    <w:rsid w:val="001F5454"/>
    <w:rsid w:val="001F5476"/>
    <w:rsid w:val="001F5AE7"/>
    <w:rsid w:val="001F5AEB"/>
    <w:rsid w:val="001F5D1B"/>
    <w:rsid w:val="001F5DC0"/>
    <w:rsid w:val="001F5F63"/>
    <w:rsid w:val="001F5F9C"/>
    <w:rsid w:val="001F5FD5"/>
    <w:rsid w:val="001F6004"/>
    <w:rsid w:val="001F61E1"/>
    <w:rsid w:val="001F62DE"/>
    <w:rsid w:val="001F64F0"/>
    <w:rsid w:val="001F6567"/>
    <w:rsid w:val="001F6858"/>
    <w:rsid w:val="001F6BF9"/>
    <w:rsid w:val="001F6CAB"/>
    <w:rsid w:val="001F6D9A"/>
    <w:rsid w:val="001F7160"/>
    <w:rsid w:val="001F722D"/>
    <w:rsid w:val="001F72B7"/>
    <w:rsid w:val="001F72CF"/>
    <w:rsid w:val="001F731C"/>
    <w:rsid w:val="001F733F"/>
    <w:rsid w:val="001F76B9"/>
    <w:rsid w:val="001F7AF4"/>
    <w:rsid w:val="001F7BCB"/>
    <w:rsid w:val="001F7BE4"/>
    <w:rsid w:val="001F7C18"/>
    <w:rsid w:val="001F7E5F"/>
    <w:rsid w:val="001F7E89"/>
    <w:rsid w:val="001F7EA0"/>
    <w:rsid w:val="001F7F37"/>
    <w:rsid w:val="00200008"/>
    <w:rsid w:val="0020000B"/>
    <w:rsid w:val="002003AD"/>
    <w:rsid w:val="002004D3"/>
    <w:rsid w:val="0020070E"/>
    <w:rsid w:val="00200789"/>
    <w:rsid w:val="002007A5"/>
    <w:rsid w:val="002007B2"/>
    <w:rsid w:val="0020087A"/>
    <w:rsid w:val="00200C4D"/>
    <w:rsid w:val="00200EB9"/>
    <w:rsid w:val="00200F48"/>
    <w:rsid w:val="0020142B"/>
    <w:rsid w:val="002014DA"/>
    <w:rsid w:val="002014E4"/>
    <w:rsid w:val="0020152D"/>
    <w:rsid w:val="002016B9"/>
    <w:rsid w:val="00201792"/>
    <w:rsid w:val="002017EA"/>
    <w:rsid w:val="002019C6"/>
    <w:rsid w:val="002019DD"/>
    <w:rsid w:val="00201ACF"/>
    <w:rsid w:val="00201BBB"/>
    <w:rsid w:val="00201D5C"/>
    <w:rsid w:val="00201DF2"/>
    <w:rsid w:val="0020249F"/>
    <w:rsid w:val="002028DC"/>
    <w:rsid w:val="00202A67"/>
    <w:rsid w:val="00202A89"/>
    <w:rsid w:val="00202DBC"/>
    <w:rsid w:val="00202DCE"/>
    <w:rsid w:val="00202DDE"/>
    <w:rsid w:val="00202EB5"/>
    <w:rsid w:val="00202EB7"/>
    <w:rsid w:val="002030EF"/>
    <w:rsid w:val="002031B2"/>
    <w:rsid w:val="002032FE"/>
    <w:rsid w:val="002035DA"/>
    <w:rsid w:val="002037CF"/>
    <w:rsid w:val="002037E6"/>
    <w:rsid w:val="00203A7F"/>
    <w:rsid w:val="00203E65"/>
    <w:rsid w:val="00203F2B"/>
    <w:rsid w:val="0020439D"/>
    <w:rsid w:val="002047DD"/>
    <w:rsid w:val="00204C07"/>
    <w:rsid w:val="00204D79"/>
    <w:rsid w:val="0020559C"/>
    <w:rsid w:val="00205737"/>
    <w:rsid w:val="00205815"/>
    <w:rsid w:val="00205847"/>
    <w:rsid w:val="0020585B"/>
    <w:rsid w:val="00205AFB"/>
    <w:rsid w:val="00205C9E"/>
    <w:rsid w:val="00205FA1"/>
    <w:rsid w:val="002060EB"/>
    <w:rsid w:val="00206159"/>
    <w:rsid w:val="0020617C"/>
    <w:rsid w:val="00206186"/>
    <w:rsid w:val="002063A3"/>
    <w:rsid w:val="00206666"/>
    <w:rsid w:val="0020699B"/>
    <w:rsid w:val="00206C58"/>
    <w:rsid w:val="00206E9E"/>
    <w:rsid w:val="00206EB0"/>
    <w:rsid w:val="00206FDC"/>
    <w:rsid w:val="002075EF"/>
    <w:rsid w:val="00207740"/>
    <w:rsid w:val="0020789D"/>
    <w:rsid w:val="00207E21"/>
    <w:rsid w:val="00207F25"/>
    <w:rsid w:val="0021047D"/>
    <w:rsid w:val="00210648"/>
    <w:rsid w:val="002109AB"/>
    <w:rsid w:val="00210A5E"/>
    <w:rsid w:val="00210C13"/>
    <w:rsid w:val="0021135A"/>
    <w:rsid w:val="00211830"/>
    <w:rsid w:val="002119D2"/>
    <w:rsid w:val="002119F3"/>
    <w:rsid w:val="00211A39"/>
    <w:rsid w:val="00211A64"/>
    <w:rsid w:val="00211BCE"/>
    <w:rsid w:val="00211C21"/>
    <w:rsid w:val="00211C3B"/>
    <w:rsid w:val="00211F95"/>
    <w:rsid w:val="00212225"/>
    <w:rsid w:val="0021223B"/>
    <w:rsid w:val="0021275A"/>
    <w:rsid w:val="0021290D"/>
    <w:rsid w:val="00212BCA"/>
    <w:rsid w:val="00213177"/>
    <w:rsid w:val="00213505"/>
    <w:rsid w:val="002137DA"/>
    <w:rsid w:val="002137ED"/>
    <w:rsid w:val="0021389E"/>
    <w:rsid w:val="00213957"/>
    <w:rsid w:val="00213A7B"/>
    <w:rsid w:val="00213A83"/>
    <w:rsid w:val="00213B55"/>
    <w:rsid w:val="00213BD7"/>
    <w:rsid w:val="00213CCF"/>
    <w:rsid w:val="00213FEC"/>
    <w:rsid w:val="00214112"/>
    <w:rsid w:val="002141D6"/>
    <w:rsid w:val="002142C7"/>
    <w:rsid w:val="00214492"/>
    <w:rsid w:val="00214672"/>
    <w:rsid w:val="002147A9"/>
    <w:rsid w:val="00214CB6"/>
    <w:rsid w:val="00214D36"/>
    <w:rsid w:val="00214F11"/>
    <w:rsid w:val="0021549F"/>
    <w:rsid w:val="00215879"/>
    <w:rsid w:val="002158D4"/>
    <w:rsid w:val="002158DE"/>
    <w:rsid w:val="0021597D"/>
    <w:rsid w:val="00215B71"/>
    <w:rsid w:val="00215C59"/>
    <w:rsid w:val="00215E76"/>
    <w:rsid w:val="00215EE9"/>
    <w:rsid w:val="00215FF2"/>
    <w:rsid w:val="0021601E"/>
    <w:rsid w:val="00216146"/>
    <w:rsid w:val="0021660D"/>
    <w:rsid w:val="0021667B"/>
    <w:rsid w:val="00216C2A"/>
    <w:rsid w:val="00216DB5"/>
    <w:rsid w:val="00216E5B"/>
    <w:rsid w:val="00217154"/>
    <w:rsid w:val="002172CC"/>
    <w:rsid w:val="00217339"/>
    <w:rsid w:val="00217680"/>
    <w:rsid w:val="00217701"/>
    <w:rsid w:val="0021771C"/>
    <w:rsid w:val="00217C72"/>
    <w:rsid w:val="00217EE8"/>
    <w:rsid w:val="00220400"/>
    <w:rsid w:val="00220A70"/>
    <w:rsid w:val="00220B52"/>
    <w:rsid w:val="00221059"/>
    <w:rsid w:val="0022121C"/>
    <w:rsid w:val="0022126F"/>
    <w:rsid w:val="0022179D"/>
    <w:rsid w:val="00221B2B"/>
    <w:rsid w:val="00221B5E"/>
    <w:rsid w:val="00221CF5"/>
    <w:rsid w:val="00221EF2"/>
    <w:rsid w:val="00221F22"/>
    <w:rsid w:val="002223C7"/>
    <w:rsid w:val="002224D7"/>
    <w:rsid w:val="00222508"/>
    <w:rsid w:val="00222548"/>
    <w:rsid w:val="002225CC"/>
    <w:rsid w:val="00222806"/>
    <w:rsid w:val="002228DC"/>
    <w:rsid w:val="002229FC"/>
    <w:rsid w:val="00222D4D"/>
    <w:rsid w:val="0022318C"/>
    <w:rsid w:val="0022328A"/>
    <w:rsid w:val="002232A5"/>
    <w:rsid w:val="0022333C"/>
    <w:rsid w:val="00223374"/>
    <w:rsid w:val="002236AD"/>
    <w:rsid w:val="0022370D"/>
    <w:rsid w:val="002239E2"/>
    <w:rsid w:val="00223A9C"/>
    <w:rsid w:val="00223E38"/>
    <w:rsid w:val="00223EED"/>
    <w:rsid w:val="00223F67"/>
    <w:rsid w:val="00223F69"/>
    <w:rsid w:val="00223FFD"/>
    <w:rsid w:val="00224498"/>
    <w:rsid w:val="002245E0"/>
    <w:rsid w:val="00224603"/>
    <w:rsid w:val="0022484F"/>
    <w:rsid w:val="002249F8"/>
    <w:rsid w:val="00224E01"/>
    <w:rsid w:val="00224FF4"/>
    <w:rsid w:val="00225105"/>
    <w:rsid w:val="0022523E"/>
    <w:rsid w:val="002253F5"/>
    <w:rsid w:val="00225623"/>
    <w:rsid w:val="00225648"/>
    <w:rsid w:val="002259A6"/>
    <w:rsid w:val="002259BB"/>
    <w:rsid w:val="00225AB7"/>
    <w:rsid w:val="00225C91"/>
    <w:rsid w:val="00225F5B"/>
    <w:rsid w:val="00226024"/>
    <w:rsid w:val="002260D9"/>
    <w:rsid w:val="00226222"/>
    <w:rsid w:val="0022626F"/>
    <w:rsid w:val="00226391"/>
    <w:rsid w:val="002267AF"/>
    <w:rsid w:val="00227179"/>
    <w:rsid w:val="002272F6"/>
    <w:rsid w:val="002274F4"/>
    <w:rsid w:val="00227530"/>
    <w:rsid w:val="0022764E"/>
    <w:rsid w:val="00227864"/>
    <w:rsid w:val="00227A49"/>
    <w:rsid w:val="00227B34"/>
    <w:rsid w:val="00227E35"/>
    <w:rsid w:val="0023028F"/>
    <w:rsid w:val="002306EE"/>
    <w:rsid w:val="00230AF0"/>
    <w:rsid w:val="00230C0D"/>
    <w:rsid w:val="00230D1C"/>
    <w:rsid w:val="00230E1D"/>
    <w:rsid w:val="00230EF7"/>
    <w:rsid w:val="002310F4"/>
    <w:rsid w:val="00231352"/>
    <w:rsid w:val="002314D3"/>
    <w:rsid w:val="0023176D"/>
    <w:rsid w:val="00231BEC"/>
    <w:rsid w:val="00231CD6"/>
    <w:rsid w:val="00231CE9"/>
    <w:rsid w:val="00231E60"/>
    <w:rsid w:val="00231F00"/>
    <w:rsid w:val="002320A5"/>
    <w:rsid w:val="002320AD"/>
    <w:rsid w:val="002320C7"/>
    <w:rsid w:val="002320DC"/>
    <w:rsid w:val="002321CF"/>
    <w:rsid w:val="00232317"/>
    <w:rsid w:val="00232334"/>
    <w:rsid w:val="0023244A"/>
    <w:rsid w:val="002325CB"/>
    <w:rsid w:val="0023263E"/>
    <w:rsid w:val="00232934"/>
    <w:rsid w:val="00232A63"/>
    <w:rsid w:val="00232B85"/>
    <w:rsid w:val="00232C3A"/>
    <w:rsid w:val="00232FF0"/>
    <w:rsid w:val="00233076"/>
    <w:rsid w:val="002339D2"/>
    <w:rsid w:val="00233BCC"/>
    <w:rsid w:val="00233BD8"/>
    <w:rsid w:val="00233EA6"/>
    <w:rsid w:val="00233EFD"/>
    <w:rsid w:val="0023421F"/>
    <w:rsid w:val="00234308"/>
    <w:rsid w:val="0023437E"/>
    <w:rsid w:val="002343F8"/>
    <w:rsid w:val="00234461"/>
    <w:rsid w:val="002345AC"/>
    <w:rsid w:val="002346C1"/>
    <w:rsid w:val="002346C9"/>
    <w:rsid w:val="002346E0"/>
    <w:rsid w:val="002347FE"/>
    <w:rsid w:val="00234A6F"/>
    <w:rsid w:val="00234A91"/>
    <w:rsid w:val="00234C5D"/>
    <w:rsid w:val="00234E8D"/>
    <w:rsid w:val="00235019"/>
    <w:rsid w:val="00235142"/>
    <w:rsid w:val="002352CE"/>
    <w:rsid w:val="00235762"/>
    <w:rsid w:val="00235784"/>
    <w:rsid w:val="002358B0"/>
    <w:rsid w:val="00235C45"/>
    <w:rsid w:val="00235C85"/>
    <w:rsid w:val="00235C8A"/>
    <w:rsid w:val="00235FD4"/>
    <w:rsid w:val="002360AC"/>
    <w:rsid w:val="0023619A"/>
    <w:rsid w:val="00236201"/>
    <w:rsid w:val="0023636E"/>
    <w:rsid w:val="002364D7"/>
    <w:rsid w:val="002365D7"/>
    <w:rsid w:val="0023680D"/>
    <w:rsid w:val="00236A23"/>
    <w:rsid w:val="00236B56"/>
    <w:rsid w:val="00236BCF"/>
    <w:rsid w:val="00236BE0"/>
    <w:rsid w:val="002371E1"/>
    <w:rsid w:val="0023725C"/>
    <w:rsid w:val="00237487"/>
    <w:rsid w:val="002374AF"/>
    <w:rsid w:val="00237A06"/>
    <w:rsid w:val="00237A9E"/>
    <w:rsid w:val="00237BEA"/>
    <w:rsid w:val="00237D46"/>
    <w:rsid w:val="00237F1C"/>
    <w:rsid w:val="00237FF0"/>
    <w:rsid w:val="0024028E"/>
    <w:rsid w:val="002402D6"/>
    <w:rsid w:val="00240362"/>
    <w:rsid w:val="0024039A"/>
    <w:rsid w:val="0024042E"/>
    <w:rsid w:val="00240460"/>
    <w:rsid w:val="0024046E"/>
    <w:rsid w:val="002406CC"/>
    <w:rsid w:val="00240997"/>
    <w:rsid w:val="00240D05"/>
    <w:rsid w:val="00240E42"/>
    <w:rsid w:val="0024109B"/>
    <w:rsid w:val="002410E9"/>
    <w:rsid w:val="002410F3"/>
    <w:rsid w:val="0024118A"/>
    <w:rsid w:val="002411FB"/>
    <w:rsid w:val="0024160B"/>
    <w:rsid w:val="00241895"/>
    <w:rsid w:val="0024193C"/>
    <w:rsid w:val="00241982"/>
    <w:rsid w:val="00241999"/>
    <w:rsid w:val="00241AC9"/>
    <w:rsid w:val="00241BB2"/>
    <w:rsid w:val="00241E45"/>
    <w:rsid w:val="00241E55"/>
    <w:rsid w:val="00241FC5"/>
    <w:rsid w:val="002420F1"/>
    <w:rsid w:val="00242330"/>
    <w:rsid w:val="002424FF"/>
    <w:rsid w:val="00242CCB"/>
    <w:rsid w:val="00242E90"/>
    <w:rsid w:val="002431BA"/>
    <w:rsid w:val="0024345A"/>
    <w:rsid w:val="0024349D"/>
    <w:rsid w:val="00243568"/>
    <w:rsid w:val="0024356B"/>
    <w:rsid w:val="0024393A"/>
    <w:rsid w:val="00243D7A"/>
    <w:rsid w:val="00243E34"/>
    <w:rsid w:val="00244083"/>
    <w:rsid w:val="00244186"/>
    <w:rsid w:val="002441BA"/>
    <w:rsid w:val="00244208"/>
    <w:rsid w:val="00244560"/>
    <w:rsid w:val="00244598"/>
    <w:rsid w:val="00244757"/>
    <w:rsid w:val="00244B80"/>
    <w:rsid w:val="002452B5"/>
    <w:rsid w:val="00245313"/>
    <w:rsid w:val="00245316"/>
    <w:rsid w:val="00245361"/>
    <w:rsid w:val="002453E1"/>
    <w:rsid w:val="00245409"/>
    <w:rsid w:val="00245451"/>
    <w:rsid w:val="00245474"/>
    <w:rsid w:val="002454C9"/>
    <w:rsid w:val="00245592"/>
    <w:rsid w:val="002456E2"/>
    <w:rsid w:val="00245807"/>
    <w:rsid w:val="00245871"/>
    <w:rsid w:val="00245919"/>
    <w:rsid w:val="00245A68"/>
    <w:rsid w:val="00245B31"/>
    <w:rsid w:val="00245BF4"/>
    <w:rsid w:val="00245CC6"/>
    <w:rsid w:val="00245E25"/>
    <w:rsid w:val="00245E37"/>
    <w:rsid w:val="00245E5F"/>
    <w:rsid w:val="00245F02"/>
    <w:rsid w:val="00246057"/>
    <w:rsid w:val="0024605D"/>
    <w:rsid w:val="00246622"/>
    <w:rsid w:val="002466B0"/>
    <w:rsid w:val="002466F3"/>
    <w:rsid w:val="002467B4"/>
    <w:rsid w:val="002468DB"/>
    <w:rsid w:val="00246AA3"/>
    <w:rsid w:val="00247061"/>
    <w:rsid w:val="0024714B"/>
    <w:rsid w:val="002471AF"/>
    <w:rsid w:val="00247256"/>
    <w:rsid w:val="0024767B"/>
    <w:rsid w:val="00247746"/>
    <w:rsid w:val="00247A0B"/>
    <w:rsid w:val="00247A0F"/>
    <w:rsid w:val="00247A9F"/>
    <w:rsid w:val="00247B45"/>
    <w:rsid w:val="00247C12"/>
    <w:rsid w:val="00247D0A"/>
    <w:rsid w:val="00247D0E"/>
    <w:rsid w:val="00247E9F"/>
    <w:rsid w:val="00250009"/>
    <w:rsid w:val="00250187"/>
    <w:rsid w:val="0025019F"/>
    <w:rsid w:val="0025044F"/>
    <w:rsid w:val="00250467"/>
    <w:rsid w:val="0025046F"/>
    <w:rsid w:val="002507B6"/>
    <w:rsid w:val="00250836"/>
    <w:rsid w:val="00250E9F"/>
    <w:rsid w:val="00250F62"/>
    <w:rsid w:val="002510AE"/>
    <w:rsid w:val="00251288"/>
    <w:rsid w:val="0025141F"/>
    <w:rsid w:val="0025172F"/>
    <w:rsid w:val="002520FB"/>
    <w:rsid w:val="0025214F"/>
    <w:rsid w:val="0025223B"/>
    <w:rsid w:val="00252774"/>
    <w:rsid w:val="00252807"/>
    <w:rsid w:val="002529A7"/>
    <w:rsid w:val="00252AA4"/>
    <w:rsid w:val="00252D4D"/>
    <w:rsid w:val="00252D83"/>
    <w:rsid w:val="00252DAF"/>
    <w:rsid w:val="00252DCF"/>
    <w:rsid w:val="00252ED3"/>
    <w:rsid w:val="00253277"/>
    <w:rsid w:val="00253290"/>
    <w:rsid w:val="00253388"/>
    <w:rsid w:val="002534DC"/>
    <w:rsid w:val="0025352B"/>
    <w:rsid w:val="0025352E"/>
    <w:rsid w:val="00253675"/>
    <w:rsid w:val="00253695"/>
    <w:rsid w:val="00253705"/>
    <w:rsid w:val="00253874"/>
    <w:rsid w:val="0025394D"/>
    <w:rsid w:val="00253A7A"/>
    <w:rsid w:val="002544A0"/>
    <w:rsid w:val="002545FA"/>
    <w:rsid w:val="00254939"/>
    <w:rsid w:val="00254CC7"/>
    <w:rsid w:val="00254DA5"/>
    <w:rsid w:val="00254DD8"/>
    <w:rsid w:val="00254F4A"/>
    <w:rsid w:val="00254F52"/>
    <w:rsid w:val="00254FB5"/>
    <w:rsid w:val="00254FE2"/>
    <w:rsid w:val="002554D4"/>
    <w:rsid w:val="002555F2"/>
    <w:rsid w:val="0025584D"/>
    <w:rsid w:val="002558C0"/>
    <w:rsid w:val="0025593C"/>
    <w:rsid w:val="00255CAA"/>
    <w:rsid w:val="00255CCA"/>
    <w:rsid w:val="00255E29"/>
    <w:rsid w:val="00256033"/>
    <w:rsid w:val="002566DE"/>
    <w:rsid w:val="00256766"/>
    <w:rsid w:val="00256AEE"/>
    <w:rsid w:val="00256DF5"/>
    <w:rsid w:val="00256E24"/>
    <w:rsid w:val="00256E9A"/>
    <w:rsid w:val="00257190"/>
    <w:rsid w:val="0025741E"/>
    <w:rsid w:val="00257716"/>
    <w:rsid w:val="002577F4"/>
    <w:rsid w:val="00257FD8"/>
    <w:rsid w:val="00260000"/>
    <w:rsid w:val="00260146"/>
    <w:rsid w:val="002601CC"/>
    <w:rsid w:val="002602D9"/>
    <w:rsid w:val="002605B0"/>
    <w:rsid w:val="00260651"/>
    <w:rsid w:val="0026082C"/>
    <w:rsid w:val="00260921"/>
    <w:rsid w:val="00260A50"/>
    <w:rsid w:val="00260C24"/>
    <w:rsid w:val="00260D40"/>
    <w:rsid w:val="00260F43"/>
    <w:rsid w:val="0026109E"/>
    <w:rsid w:val="00261357"/>
    <w:rsid w:val="00261389"/>
    <w:rsid w:val="002614B1"/>
    <w:rsid w:val="0026162C"/>
    <w:rsid w:val="0026166C"/>
    <w:rsid w:val="002616D8"/>
    <w:rsid w:val="002617FD"/>
    <w:rsid w:val="002618A8"/>
    <w:rsid w:val="0026199C"/>
    <w:rsid w:val="002619CE"/>
    <w:rsid w:val="00261B56"/>
    <w:rsid w:val="00261CB1"/>
    <w:rsid w:val="002620EF"/>
    <w:rsid w:val="002622BC"/>
    <w:rsid w:val="002622BE"/>
    <w:rsid w:val="002622CF"/>
    <w:rsid w:val="002625DB"/>
    <w:rsid w:val="002625DC"/>
    <w:rsid w:val="002626D2"/>
    <w:rsid w:val="00262775"/>
    <w:rsid w:val="00262F3F"/>
    <w:rsid w:val="002630DB"/>
    <w:rsid w:val="00263220"/>
    <w:rsid w:val="0026361F"/>
    <w:rsid w:val="0026366C"/>
    <w:rsid w:val="00263991"/>
    <w:rsid w:val="00263C0C"/>
    <w:rsid w:val="00263EF4"/>
    <w:rsid w:val="00263FAB"/>
    <w:rsid w:val="00264274"/>
    <w:rsid w:val="002642DF"/>
    <w:rsid w:val="00264300"/>
    <w:rsid w:val="00264316"/>
    <w:rsid w:val="0026465E"/>
    <w:rsid w:val="0026467E"/>
    <w:rsid w:val="002646E7"/>
    <w:rsid w:val="00264A37"/>
    <w:rsid w:val="00264CD3"/>
    <w:rsid w:val="00264DCE"/>
    <w:rsid w:val="00264FCD"/>
    <w:rsid w:val="002650B7"/>
    <w:rsid w:val="00265249"/>
    <w:rsid w:val="00265532"/>
    <w:rsid w:val="00265B0E"/>
    <w:rsid w:val="00265CAF"/>
    <w:rsid w:val="00265D84"/>
    <w:rsid w:val="00265F5D"/>
    <w:rsid w:val="00265F8B"/>
    <w:rsid w:val="00266044"/>
    <w:rsid w:val="0026607C"/>
    <w:rsid w:val="0026640C"/>
    <w:rsid w:val="0026658A"/>
    <w:rsid w:val="00266909"/>
    <w:rsid w:val="00266AC7"/>
    <w:rsid w:val="00266BE2"/>
    <w:rsid w:val="00267041"/>
    <w:rsid w:val="0026720E"/>
    <w:rsid w:val="00267230"/>
    <w:rsid w:val="00267260"/>
    <w:rsid w:val="00267402"/>
    <w:rsid w:val="002674DA"/>
    <w:rsid w:val="00267BCA"/>
    <w:rsid w:val="00267D46"/>
    <w:rsid w:val="002703EA"/>
    <w:rsid w:val="00270445"/>
    <w:rsid w:val="0027057D"/>
    <w:rsid w:val="00270774"/>
    <w:rsid w:val="00270C18"/>
    <w:rsid w:val="00270C23"/>
    <w:rsid w:val="00270C43"/>
    <w:rsid w:val="00270C4E"/>
    <w:rsid w:val="00270C97"/>
    <w:rsid w:val="00270E50"/>
    <w:rsid w:val="00270F89"/>
    <w:rsid w:val="00270FD0"/>
    <w:rsid w:val="0027103D"/>
    <w:rsid w:val="002710DB"/>
    <w:rsid w:val="0027125F"/>
    <w:rsid w:val="00271ACB"/>
    <w:rsid w:val="00271B7A"/>
    <w:rsid w:val="00271CD4"/>
    <w:rsid w:val="00271D30"/>
    <w:rsid w:val="002722EA"/>
    <w:rsid w:val="00272313"/>
    <w:rsid w:val="002723FA"/>
    <w:rsid w:val="002724BF"/>
    <w:rsid w:val="00272853"/>
    <w:rsid w:val="00272C77"/>
    <w:rsid w:val="00272F27"/>
    <w:rsid w:val="00273109"/>
    <w:rsid w:val="00273761"/>
    <w:rsid w:val="0027386A"/>
    <w:rsid w:val="00273937"/>
    <w:rsid w:val="00273BC0"/>
    <w:rsid w:val="00273C5A"/>
    <w:rsid w:val="00273CA2"/>
    <w:rsid w:val="00273F15"/>
    <w:rsid w:val="002743A4"/>
    <w:rsid w:val="002743AF"/>
    <w:rsid w:val="002744D3"/>
    <w:rsid w:val="002745B5"/>
    <w:rsid w:val="002748E0"/>
    <w:rsid w:val="00274B9D"/>
    <w:rsid w:val="00274CA6"/>
    <w:rsid w:val="00274DB5"/>
    <w:rsid w:val="00274EAD"/>
    <w:rsid w:val="002751C4"/>
    <w:rsid w:val="00275763"/>
    <w:rsid w:val="002757C4"/>
    <w:rsid w:val="00275BA5"/>
    <w:rsid w:val="00275E2D"/>
    <w:rsid w:val="00276177"/>
    <w:rsid w:val="00276293"/>
    <w:rsid w:val="00276300"/>
    <w:rsid w:val="002763B6"/>
    <w:rsid w:val="002763E9"/>
    <w:rsid w:val="002769E8"/>
    <w:rsid w:val="00276CD0"/>
    <w:rsid w:val="00276EA8"/>
    <w:rsid w:val="00276EAB"/>
    <w:rsid w:val="00276F95"/>
    <w:rsid w:val="002771AB"/>
    <w:rsid w:val="002773BB"/>
    <w:rsid w:val="002773C3"/>
    <w:rsid w:val="0027740E"/>
    <w:rsid w:val="002774E1"/>
    <w:rsid w:val="0027767F"/>
    <w:rsid w:val="002779CB"/>
    <w:rsid w:val="00277BEA"/>
    <w:rsid w:val="00277C3D"/>
    <w:rsid w:val="00277DD9"/>
    <w:rsid w:val="00277E08"/>
    <w:rsid w:val="00277F37"/>
    <w:rsid w:val="0028005C"/>
    <w:rsid w:val="00280198"/>
    <w:rsid w:val="002804BF"/>
    <w:rsid w:val="0028084D"/>
    <w:rsid w:val="002808AB"/>
    <w:rsid w:val="00280E28"/>
    <w:rsid w:val="00280E3C"/>
    <w:rsid w:val="00280EA2"/>
    <w:rsid w:val="00281203"/>
    <w:rsid w:val="00281328"/>
    <w:rsid w:val="002814BD"/>
    <w:rsid w:val="002818C1"/>
    <w:rsid w:val="00281C74"/>
    <w:rsid w:val="00281D70"/>
    <w:rsid w:val="00281DF9"/>
    <w:rsid w:val="00281FE7"/>
    <w:rsid w:val="00282167"/>
    <w:rsid w:val="00282811"/>
    <w:rsid w:val="002828A0"/>
    <w:rsid w:val="00282927"/>
    <w:rsid w:val="00282960"/>
    <w:rsid w:val="002829D5"/>
    <w:rsid w:val="002829DD"/>
    <w:rsid w:val="00282AB4"/>
    <w:rsid w:val="00282BB3"/>
    <w:rsid w:val="00282E48"/>
    <w:rsid w:val="002830E4"/>
    <w:rsid w:val="00283E82"/>
    <w:rsid w:val="00283F5D"/>
    <w:rsid w:val="00284164"/>
    <w:rsid w:val="0028473C"/>
    <w:rsid w:val="00284BAF"/>
    <w:rsid w:val="00284C49"/>
    <w:rsid w:val="00284EC8"/>
    <w:rsid w:val="002853D6"/>
    <w:rsid w:val="0028559A"/>
    <w:rsid w:val="00285651"/>
    <w:rsid w:val="00285706"/>
    <w:rsid w:val="00285D8C"/>
    <w:rsid w:val="00285DDE"/>
    <w:rsid w:val="00285EE1"/>
    <w:rsid w:val="0028603D"/>
    <w:rsid w:val="0028617D"/>
    <w:rsid w:val="0028622C"/>
    <w:rsid w:val="002862C3"/>
    <w:rsid w:val="0028633C"/>
    <w:rsid w:val="0028646E"/>
    <w:rsid w:val="002864FA"/>
    <w:rsid w:val="00286599"/>
    <w:rsid w:val="00286879"/>
    <w:rsid w:val="002869B3"/>
    <w:rsid w:val="002869CC"/>
    <w:rsid w:val="00286A67"/>
    <w:rsid w:val="00286BC4"/>
    <w:rsid w:val="00286D82"/>
    <w:rsid w:val="00286DD5"/>
    <w:rsid w:val="00286DD6"/>
    <w:rsid w:val="00286E77"/>
    <w:rsid w:val="00286E94"/>
    <w:rsid w:val="00286F9A"/>
    <w:rsid w:val="00287562"/>
    <w:rsid w:val="00287636"/>
    <w:rsid w:val="002878C4"/>
    <w:rsid w:val="00287A52"/>
    <w:rsid w:val="00287A6C"/>
    <w:rsid w:val="00287B65"/>
    <w:rsid w:val="00287BD7"/>
    <w:rsid w:val="00287C11"/>
    <w:rsid w:val="00287D5D"/>
    <w:rsid w:val="00287F88"/>
    <w:rsid w:val="00287F8C"/>
    <w:rsid w:val="00290095"/>
    <w:rsid w:val="00290276"/>
    <w:rsid w:val="002902EA"/>
    <w:rsid w:val="0029038D"/>
    <w:rsid w:val="002903E8"/>
    <w:rsid w:val="00290479"/>
    <w:rsid w:val="002904CE"/>
    <w:rsid w:val="002904DA"/>
    <w:rsid w:val="0029093A"/>
    <w:rsid w:val="00290955"/>
    <w:rsid w:val="00290DE2"/>
    <w:rsid w:val="00290EF4"/>
    <w:rsid w:val="0029112F"/>
    <w:rsid w:val="00291168"/>
    <w:rsid w:val="002912FE"/>
    <w:rsid w:val="00291322"/>
    <w:rsid w:val="002914F5"/>
    <w:rsid w:val="0029155D"/>
    <w:rsid w:val="002915B4"/>
    <w:rsid w:val="0029165C"/>
    <w:rsid w:val="00291B05"/>
    <w:rsid w:val="00291C5B"/>
    <w:rsid w:val="00291D74"/>
    <w:rsid w:val="00291D9B"/>
    <w:rsid w:val="00291EAA"/>
    <w:rsid w:val="00291FD9"/>
    <w:rsid w:val="00292057"/>
    <w:rsid w:val="002923A7"/>
    <w:rsid w:val="0029250C"/>
    <w:rsid w:val="0029270C"/>
    <w:rsid w:val="00292AD5"/>
    <w:rsid w:val="00292E6F"/>
    <w:rsid w:val="00293073"/>
    <w:rsid w:val="00293300"/>
    <w:rsid w:val="0029335F"/>
    <w:rsid w:val="0029358C"/>
    <w:rsid w:val="002935B5"/>
    <w:rsid w:val="002937DA"/>
    <w:rsid w:val="00293840"/>
    <w:rsid w:val="0029386B"/>
    <w:rsid w:val="00293AA9"/>
    <w:rsid w:val="00293B39"/>
    <w:rsid w:val="00293B78"/>
    <w:rsid w:val="00293CE4"/>
    <w:rsid w:val="00293E9C"/>
    <w:rsid w:val="00293EEF"/>
    <w:rsid w:val="002940D1"/>
    <w:rsid w:val="0029410D"/>
    <w:rsid w:val="00294153"/>
    <w:rsid w:val="002942A2"/>
    <w:rsid w:val="0029435C"/>
    <w:rsid w:val="00294436"/>
    <w:rsid w:val="002944BB"/>
    <w:rsid w:val="00294B4E"/>
    <w:rsid w:val="00294C02"/>
    <w:rsid w:val="00294C86"/>
    <w:rsid w:val="00294FD0"/>
    <w:rsid w:val="002952BA"/>
    <w:rsid w:val="00295359"/>
    <w:rsid w:val="00295384"/>
    <w:rsid w:val="002953FF"/>
    <w:rsid w:val="002957A1"/>
    <w:rsid w:val="00295801"/>
    <w:rsid w:val="00295962"/>
    <w:rsid w:val="00295AEA"/>
    <w:rsid w:val="00295C0A"/>
    <w:rsid w:val="00295D86"/>
    <w:rsid w:val="00295E9A"/>
    <w:rsid w:val="00296149"/>
    <w:rsid w:val="002964FE"/>
    <w:rsid w:val="00296794"/>
    <w:rsid w:val="002967F0"/>
    <w:rsid w:val="0029681C"/>
    <w:rsid w:val="00296A6E"/>
    <w:rsid w:val="00296B60"/>
    <w:rsid w:val="00296D69"/>
    <w:rsid w:val="00296FB7"/>
    <w:rsid w:val="00297333"/>
    <w:rsid w:val="00297649"/>
    <w:rsid w:val="00297871"/>
    <w:rsid w:val="00297BF4"/>
    <w:rsid w:val="00297CDD"/>
    <w:rsid w:val="00297D41"/>
    <w:rsid w:val="00297E9B"/>
    <w:rsid w:val="002A0014"/>
    <w:rsid w:val="002A008D"/>
    <w:rsid w:val="002A02C9"/>
    <w:rsid w:val="002A0530"/>
    <w:rsid w:val="002A05AE"/>
    <w:rsid w:val="002A05B7"/>
    <w:rsid w:val="002A060B"/>
    <w:rsid w:val="002A0B7B"/>
    <w:rsid w:val="002A0BD8"/>
    <w:rsid w:val="002A0C8B"/>
    <w:rsid w:val="002A0D56"/>
    <w:rsid w:val="002A0D77"/>
    <w:rsid w:val="002A1002"/>
    <w:rsid w:val="002A112A"/>
    <w:rsid w:val="002A141B"/>
    <w:rsid w:val="002A155D"/>
    <w:rsid w:val="002A1574"/>
    <w:rsid w:val="002A1656"/>
    <w:rsid w:val="002A178E"/>
    <w:rsid w:val="002A1818"/>
    <w:rsid w:val="002A1965"/>
    <w:rsid w:val="002A1F13"/>
    <w:rsid w:val="002A20E7"/>
    <w:rsid w:val="002A2225"/>
    <w:rsid w:val="002A250A"/>
    <w:rsid w:val="002A2597"/>
    <w:rsid w:val="002A2A49"/>
    <w:rsid w:val="002A2A8E"/>
    <w:rsid w:val="002A2CA1"/>
    <w:rsid w:val="002A2F02"/>
    <w:rsid w:val="002A3054"/>
    <w:rsid w:val="002A30B6"/>
    <w:rsid w:val="002A30D0"/>
    <w:rsid w:val="002A3102"/>
    <w:rsid w:val="002A328E"/>
    <w:rsid w:val="002A343D"/>
    <w:rsid w:val="002A3512"/>
    <w:rsid w:val="002A3540"/>
    <w:rsid w:val="002A36CE"/>
    <w:rsid w:val="002A3775"/>
    <w:rsid w:val="002A385A"/>
    <w:rsid w:val="002A39A3"/>
    <w:rsid w:val="002A3AF1"/>
    <w:rsid w:val="002A3C8F"/>
    <w:rsid w:val="002A3DB7"/>
    <w:rsid w:val="002A41C4"/>
    <w:rsid w:val="002A42E9"/>
    <w:rsid w:val="002A4341"/>
    <w:rsid w:val="002A47BB"/>
    <w:rsid w:val="002A49C7"/>
    <w:rsid w:val="002A4EB8"/>
    <w:rsid w:val="002A504E"/>
    <w:rsid w:val="002A5063"/>
    <w:rsid w:val="002A5078"/>
    <w:rsid w:val="002A52ED"/>
    <w:rsid w:val="002A5335"/>
    <w:rsid w:val="002A53F0"/>
    <w:rsid w:val="002A596B"/>
    <w:rsid w:val="002A5BF3"/>
    <w:rsid w:val="002A5E27"/>
    <w:rsid w:val="002A5E4E"/>
    <w:rsid w:val="002A5F22"/>
    <w:rsid w:val="002A5F30"/>
    <w:rsid w:val="002A5F8C"/>
    <w:rsid w:val="002A5FD7"/>
    <w:rsid w:val="002A61EB"/>
    <w:rsid w:val="002A64CD"/>
    <w:rsid w:val="002A66E5"/>
    <w:rsid w:val="002A679C"/>
    <w:rsid w:val="002A67A3"/>
    <w:rsid w:val="002A68DA"/>
    <w:rsid w:val="002A6AD2"/>
    <w:rsid w:val="002A6B10"/>
    <w:rsid w:val="002A6C7E"/>
    <w:rsid w:val="002A6F53"/>
    <w:rsid w:val="002A6FE1"/>
    <w:rsid w:val="002A707A"/>
    <w:rsid w:val="002A7423"/>
    <w:rsid w:val="002A75F1"/>
    <w:rsid w:val="002A7603"/>
    <w:rsid w:val="002A789C"/>
    <w:rsid w:val="002A7910"/>
    <w:rsid w:val="002A794B"/>
    <w:rsid w:val="002A7B50"/>
    <w:rsid w:val="002A7C28"/>
    <w:rsid w:val="002A7C38"/>
    <w:rsid w:val="002A7C59"/>
    <w:rsid w:val="002A7C67"/>
    <w:rsid w:val="002A7E3E"/>
    <w:rsid w:val="002A7F73"/>
    <w:rsid w:val="002A7FE3"/>
    <w:rsid w:val="002B02FB"/>
    <w:rsid w:val="002B0607"/>
    <w:rsid w:val="002B07E4"/>
    <w:rsid w:val="002B0985"/>
    <w:rsid w:val="002B0A8E"/>
    <w:rsid w:val="002B0AA8"/>
    <w:rsid w:val="002B11C7"/>
    <w:rsid w:val="002B11EA"/>
    <w:rsid w:val="002B137F"/>
    <w:rsid w:val="002B1492"/>
    <w:rsid w:val="002B15D3"/>
    <w:rsid w:val="002B16EF"/>
    <w:rsid w:val="002B19DC"/>
    <w:rsid w:val="002B1C0C"/>
    <w:rsid w:val="002B1DAC"/>
    <w:rsid w:val="002B1F5F"/>
    <w:rsid w:val="002B2185"/>
    <w:rsid w:val="002B2252"/>
    <w:rsid w:val="002B25C7"/>
    <w:rsid w:val="002B26FA"/>
    <w:rsid w:val="002B2863"/>
    <w:rsid w:val="002B2A8C"/>
    <w:rsid w:val="002B2B87"/>
    <w:rsid w:val="002B2C09"/>
    <w:rsid w:val="002B2DE1"/>
    <w:rsid w:val="002B2E46"/>
    <w:rsid w:val="002B2FB0"/>
    <w:rsid w:val="002B307F"/>
    <w:rsid w:val="002B33AF"/>
    <w:rsid w:val="002B39AF"/>
    <w:rsid w:val="002B3A54"/>
    <w:rsid w:val="002B3D25"/>
    <w:rsid w:val="002B3D36"/>
    <w:rsid w:val="002B3E83"/>
    <w:rsid w:val="002B3E88"/>
    <w:rsid w:val="002B40AA"/>
    <w:rsid w:val="002B4284"/>
    <w:rsid w:val="002B42D8"/>
    <w:rsid w:val="002B4407"/>
    <w:rsid w:val="002B45F1"/>
    <w:rsid w:val="002B478C"/>
    <w:rsid w:val="002B4AD3"/>
    <w:rsid w:val="002B4BC2"/>
    <w:rsid w:val="002B4BED"/>
    <w:rsid w:val="002B502D"/>
    <w:rsid w:val="002B50E9"/>
    <w:rsid w:val="002B51D6"/>
    <w:rsid w:val="002B53A7"/>
    <w:rsid w:val="002B5489"/>
    <w:rsid w:val="002B54C6"/>
    <w:rsid w:val="002B552A"/>
    <w:rsid w:val="002B570D"/>
    <w:rsid w:val="002B5892"/>
    <w:rsid w:val="002B595F"/>
    <w:rsid w:val="002B5A03"/>
    <w:rsid w:val="002B5A3E"/>
    <w:rsid w:val="002B5BED"/>
    <w:rsid w:val="002B5D29"/>
    <w:rsid w:val="002B5FBB"/>
    <w:rsid w:val="002B5FFA"/>
    <w:rsid w:val="002B61B3"/>
    <w:rsid w:val="002B61F6"/>
    <w:rsid w:val="002B6292"/>
    <w:rsid w:val="002B666E"/>
    <w:rsid w:val="002B6851"/>
    <w:rsid w:val="002B6960"/>
    <w:rsid w:val="002B6AA6"/>
    <w:rsid w:val="002B6ADD"/>
    <w:rsid w:val="002B70A5"/>
    <w:rsid w:val="002B71A5"/>
    <w:rsid w:val="002B7386"/>
    <w:rsid w:val="002B7423"/>
    <w:rsid w:val="002B79BF"/>
    <w:rsid w:val="002B7CAA"/>
    <w:rsid w:val="002B7CDE"/>
    <w:rsid w:val="002C009B"/>
    <w:rsid w:val="002C0318"/>
    <w:rsid w:val="002C0362"/>
    <w:rsid w:val="002C0422"/>
    <w:rsid w:val="002C04C2"/>
    <w:rsid w:val="002C0592"/>
    <w:rsid w:val="002C05EF"/>
    <w:rsid w:val="002C090E"/>
    <w:rsid w:val="002C0923"/>
    <w:rsid w:val="002C0B0C"/>
    <w:rsid w:val="002C0DFF"/>
    <w:rsid w:val="002C0E20"/>
    <w:rsid w:val="002C0E48"/>
    <w:rsid w:val="002C0F30"/>
    <w:rsid w:val="002C112F"/>
    <w:rsid w:val="002C1140"/>
    <w:rsid w:val="002C1276"/>
    <w:rsid w:val="002C1322"/>
    <w:rsid w:val="002C151E"/>
    <w:rsid w:val="002C163C"/>
    <w:rsid w:val="002C1778"/>
    <w:rsid w:val="002C188C"/>
    <w:rsid w:val="002C18B0"/>
    <w:rsid w:val="002C1C36"/>
    <w:rsid w:val="002C1C8C"/>
    <w:rsid w:val="002C1CDB"/>
    <w:rsid w:val="002C1F08"/>
    <w:rsid w:val="002C1F11"/>
    <w:rsid w:val="002C2369"/>
    <w:rsid w:val="002C24AD"/>
    <w:rsid w:val="002C2604"/>
    <w:rsid w:val="002C2898"/>
    <w:rsid w:val="002C2CB6"/>
    <w:rsid w:val="002C2F73"/>
    <w:rsid w:val="002C303A"/>
    <w:rsid w:val="002C3052"/>
    <w:rsid w:val="002C335F"/>
    <w:rsid w:val="002C359C"/>
    <w:rsid w:val="002C36B1"/>
    <w:rsid w:val="002C3854"/>
    <w:rsid w:val="002C3895"/>
    <w:rsid w:val="002C3B50"/>
    <w:rsid w:val="002C3CAA"/>
    <w:rsid w:val="002C3ECD"/>
    <w:rsid w:val="002C445C"/>
    <w:rsid w:val="002C4666"/>
    <w:rsid w:val="002C470C"/>
    <w:rsid w:val="002C4729"/>
    <w:rsid w:val="002C47B3"/>
    <w:rsid w:val="002C48E3"/>
    <w:rsid w:val="002C49E5"/>
    <w:rsid w:val="002C4A73"/>
    <w:rsid w:val="002C4B0E"/>
    <w:rsid w:val="002C4BA2"/>
    <w:rsid w:val="002C5166"/>
    <w:rsid w:val="002C5188"/>
    <w:rsid w:val="002C5192"/>
    <w:rsid w:val="002C51D6"/>
    <w:rsid w:val="002C538D"/>
    <w:rsid w:val="002C54D6"/>
    <w:rsid w:val="002C5681"/>
    <w:rsid w:val="002C57F5"/>
    <w:rsid w:val="002C5F51"/>
    <w:rsid w:val="002C6095"/>
    <w:rsid w:val="002C627D"/>
    <w:rsid w:val="002C6A7B"/>
    <w:rsid w:val="002C6BA5"/>
    <w:rsid w:val="002C6C67"/>
    <w:rsid w:val="002C6F8E"/>
    <w:rsid w:val="002C704B"/>
    <w:rsid w:val="002C73A7"/>
    <w:rsid w:val="002C73B2"/>
    <w:rsid w:val="002C74F2"/>
    <w:rsid w:val="002C757A"/>
    <w:rsid w:val="002C762E"/>
    <w:rsid w:val="002C7764"/>
    <w:rsid w:val="002C77C8"/>
    <w:rsid w:val="002C77F4"/>
    <w:rsid w:val="002C7827"/>
    <w:rsid w:val="002C7ABF"/>
    <w:rsid w:val="002C7AD1"/>
    <w:rsid w:val="002C7F6A"/>
    <w:rsid w:val="002C7FC5"/>
    <w:rsid w:val="002D007B"/>
    <w:rsid w:val="002D01CD"/>
    <w:rsid w:val="002D02C9"/>
    <w:rsid w:val="002D0528"/>
    <w:rsid w:val="002D08BD"/>
    <w:rsid w:val="002D0994"/>
    <w:rsid w:val="002D09B1"/>
    <w:rsid w:val="002D0DDA"/>
    <w:rsid w:val="002D0E28"/>
    <w:rsid w:val="002D0E2B"/>
    <w:rsid w:val="002D0F66"/>
    <w:rsid w:val="002D11B3"/>
    <w:rsid w:val="002D1357"/>
    <w:rsid w:val="002D138F"/>
    <w:rsid w:val="002D154B"/>
    <w:rsid w:val="002D15C3"/>
    <w:rsid w:val="002D1616"/>
    <w:rsid w:val="002D1670"/>
    <w:rsid w:val="002D1994"/>
    <w:rsid w:val="002D1A66"/>
    <w:rsid w:val="002D1B48"/>
    <w:rsid w:val="002D1FED"/>
    <w:rsid w:val="002D2031"/>
    <w:rsid w:val="002D2032"/>
    <w:rsid w:val="002D2165"/>
    <w:rsid w:val="002D22A4"/>
    <w:rsid w:val="002D2331"/>
    <w:rsid w:val="002D23C1"/>
    <w:rsid w:val="002D2445"/>
    <w:rsid w:val="002D24C6"/>
    <w:rsid w:val="002D2545"/>
    <w:rsid w:val="002D261D"/>
    <w:rsid w:val="002D26D5"/>
    <w:rsid w:val="002D2B29"/>
    <w:rsid w:val="002D2B3A"/>
    <w:rsid w:val="002D3045"/>
    <w:rsid w:val="002D30CF"/>
    <w:rsid w:val="002D314B"/>
    <w:rsid w:val="002D32B0"/>
    <w:rsid w:val="002D34DF"/>
    <w:rsid w:val="002D362F"/>
    <w:rsid w:val="002D368A"/>
    <w:rsid w:val="002D382C"/>
    <w:rsid w:val="002D38A2"/>
    <w:rsid w:val="002D3E51"/>
    <w:rsid w:val="002D403E"/>
    <w:rsid w:val="002D43FC"/>
    <w:rsid w:val="002D4561"/>
    <w:rsid w:val="002D463E"/>
    <w:rsid w:val="002D4786"/>
    <w:rsid w:val="002D49F8"/>
    <w:rsid w:val="002D4A62"/>
    <w:rsid w:val="002D4B6A"/>
    <w:rsid w:val="002D4BD1"/>
    <w:rsid w:val="002D4C55"/>
    <w:rsid w:val="002D4D3F"/>
    <w:rsid w:val="002D4E0B"/>
    <w:rsid w:val="002D4E17"/>
    <w:rsid w:val="002D5391"/>
    <w:rsid w:val="002D53E6"/>
    <w:rsid w:val="002D53F4"/>
    <w:rsid w:val="002D54C5"/>
    <w:rsid w:val="002D59A8"/>
    <w:rsid w:val="002D5CEB"/>
    <w:rsid w:val="002D5E94"/>
    <w:rsid w:val="002D5FFB"/>
    <w:rsid w:val="002D6249"/>
    <w:rsid w:val="002D62B6"/>
    <w:rsid w:val="002D6526"/>
    <w:rsid w:val="002D69AF"/>
    <w:rsid w:val="002D6A08"/>
    <w:rsid w:val="002D6ADF"/>
    <w:rsid w:val="002D6F30"/>
    <w:rsid w:val="002D72E1"/>
    <w:rsid w:val="002D736E"/>
    <w:rsid w:val="002D74E2"/>
    <w:rsid w:val="002D750E"/>
    <w:rsid w:val="002D78E8"/>
    <w:rsid w:val="002D792F"/>
    <w:rsid w:val="002D79C8"/>
    <w:rsid w:val="002D7B6E"/>
    <w:rsid w:val="002D7DE8"/>
    <w:rsid w:val="002D7F1F"/>
    <w:rsid w:val="002D7F32"/>
    <w:rsid w:val="002D7F88"/>
    <w:rsid w:val="002E00A7"/>
    <w:rsid w:val="002E017D"/>
    <w:rsid w:val="002E023D"/>
    <w:rsid w:val="002E0404"/>
    <w:rsid w:val="002E066D"/>
    <w:rsid w:val="002E0672"/>
    <w:rsid w:val="002E0979"/>
    <w:rsid w:val="002E0BCA"/>
    <w:rsid w:val="002E0BD5"/>
    <w:rsid w:val="002E0E5C"/>
    <w:rsid w:val="002E0E63"/>
    <w:rsid w:val="002E0F08"/>
    <w:rsid w:val="002E0F75"/>
    <w:rsid w:val="002E1088"/>
    <w:rsid w:val="002E14E2"/>
    <w:rsid w:val="002E1547"/>
    <w:rsid w:val="002E15E5"/>
    <w:rsid w:val="002E162B"/>
    <w:rsid w:val="002E16F1"/>
    <w:rsid w:val="002E191C"/>
    <w:rsid w:val="002E1969"/>
    <w:rsid w:val="002E19E5"/>
    <w:rsid w:val="002E1AE5"/>
    <w:rsid w:val="002E1CC0"/>
    <w:rsid w:val="002E1F27"/>
    <w:rsid w:val="002E22AA"/>
    <w:rsid w:val="002E2322"/>
    <w:rsid w:val="002E2343"/>
    <w:rsid w:val="002E23EE"/>
    <w:rsid w:val="002E26B9"/>
    <w:rsid w:val="002E270E"/>
    <w:rsid w:val="002E29F1"/>
    <w:rsid w:val="002E2A9E"/>
    <w:rsid w:val="002E2AD5"/>
    <w:rsid w:val="002E2B6A"/>
    <w:rsid w:val="002E2D73"/>
    <w:rsid w:val="002E2EF9"/>
    <w:rsid w:val="002E2F1A"/>
    <w:rsid w:val="002E3112"/>
    <w:rsid w:val="002E3144"/>
    <w:rsid w:val="002E346D"/>
    <w:rsid w:val="002E356D"/>
    <w:rsid w:val="002E3619"/>
    <w:rsid w:val="002E3621"/>
    <w:rsid w:val="002E36BB"/>
    <w:rsid w:val="002E3E14"/>
    <w:rsid w:val="002E3F25"/>
    <w:rsid w:val="002E4042"/>
    <w:rsid w:val="002E4BC8"/>
    <w:rsid w:val="002E4BF1"/>
    <w:rsid w:val="002E4DC3"/>
    <w:rsid w:val="002E4E43"/>
    <w:rsid w:val="002E4EA3"/>
    <w:rsid w:val="002E50A7"/>
    <w:rsid w:val="002E55FE"/>
    <w:rsid w:val="002E563A"/>
    <w:rsid w:val="002E598F"/>
    <w:rsid w:val="002E59A9"/>
    <w:rsid w:val="002E5C5F"/>
    <w:rsid w:val="002E5D76"/>
    <w:rsid w:val="002E5E65"/>
    <w:rsid w:val="002E5F37"/>
    <w:rsid w:val="002E6091"/>
    <w:rsid w:val="002E60AE"/>
    <w:rsid w:val="002E62BD"/>
    <w:rsid w:val="002E62E7"/>
    <w:rsid w:val="002E6352"/>
    <w:rsid w:val="002E6655"/>
    <w:rsid w:val="002E6676"/>
    <w:rsid w:val="002E685B"/>
    <w:rsid w:val="002E68C7"/>
    <w:rsid w:val="002E6958"/>
    <w:rsid w:val="002E698D"/>
    <w:rsid w:val="002E6A5E"/>
    <w:rsid w:val="002E6A7C"/>
    <w:rsid w:val="002E6CB5"/>
    <w:rsid w:val="002E6CC1"/>
    <w:rsid w:val="002E6D52"/>
    <w:rsid w:val="002E6D81"/>
    <w:rsid w:val="002E6DF3"/>
    <w:rsid w:val="002E6EF6"/>
    <w:rsid w:val="002E7064"/>
    <w:rsid w:val="002E7235"/>
    <w:rsid w:val="002E766F"/>
    <w:rsid w:val="002E781E"/>
    <w:rsid w:val="002E78FA"/>
    <w:rsid w:val="002E7D14"/>
    <w:rsid w:val="002E7DB0"/>
    <w:rsid w:val="002E7F6C"/>
    <w:rsid w:val="002E7FD9"/>
    <w:rsid w:val="002F02A7"/>
    <w:rsid w:val="002F03DE"/>
    <w:rsid w:val="002F047C"/>
    <w:rsid w:val="002F0562"/>
    <w:rsid w:val="002F059E"/>
    <w:rsid w:val="002F060C"/>
    <w:rsid w:val="002F066B"/>
    <w:rsid w:val="002F07B9"/>
    <w:rsid w:val="002F0CD7"/>
    <w:rsid w:val="002F14DF"/>
    <w:rsid w:val="002F159F"/>
    <w:rsid w:val="002F162A"/>
    <w:rsid w:val="002F1712"/>
    <w:rsid w:val="002F17CA"/>
    <w:rsid w:val="002F1970"/>
    <w:rsid w:val="002F1DC6"/>
    <w:rsid w:val="002F1EF7"/>
    <w:rsid w:val="002F1F88"/>
    <w:rsid w:val="002F2060"/>
    <w:rsid w:val="002F214F"/>
    <w:rsid w:val="002F2285"/>
    <w:rsid w:val="002F231E"/>
    <w:rsid w:val="002F2483"/>
    <w:rsid w:val="002F249E"/>
    <w:rsid w:val="002F2631"/>
    <w:rsid w:val="002F2706"/>
    <w:rsid w:val="002F295F"/>
    <w:rsid w:val="002F2B05"/>
    <w:rsid w:val="002F2BFA"/>
    <w:rsid w:val="002F2CCE"/>
    <w:rsid w:val="002F2CD0"/>
    <w:rsid w:val="002F2E4A"/>
    <w:rsid w:val="002F2EB2"/>
    <w:rsid w:val="002F2FBA"/>
    <w:rsid w:val="002F3005"/>
    <w:rsid w:val="002F3264"/>
    <w:rsid w:val="002F38BF"/>
    <w:rsid w:val="002F3976"/>
    <w:rsid w:val="002F3CFE"/>
    <w:rsid w:val="002F3DD6"/>
    <w:rsid w:val="002F4048"/>
    <w:rsid w:val="002F41E9"/>
    <w:rsid w:val="002F41F4"/>
    <w:rsid w:val="002F45DE"/>
    <w:rsid w:val="002F484A"/>
    <w:rsid w:val="002F4972"/>
    <w:rsid w:val="002F4A6F"/>
    <w:rsid w:val="002F4C05"/>
    <w:rsid w:val="002F4E2A"/>
    <w:rsid w:val="002F502F"/>
    <w:rsid w:val="002F50D6"/>
    <w:rsid w:val="002F53EA"/>
    <w:rsid w:val="002F53FC"/>
    <w:rsid w:val="002F5439"/>
    <w:rsid w:val="002F5460"/>
    <w:rsid w:val="002F54CC"/>
    <w:rsid w:val="002F5508"/>
    <w:rsid w:val="002F550B"/>
    <w:rsid w:val="002F5576"/>
    <w:rsid w:val="002F58B6"/>
    <w:rsid w:val="002F59C7"/>
    <w:rsid w:val="002F5AD6"/>
    <w:rsid w:val="002F5BBA"/>
    <w:rsid w:val="002F5DD0"/>
    <w:rsid w:val="002F5EB0"/>
    <w:rsid w:val="002F633B"/>
    <w:rsid w:val="002F6360"/>
    <w:rsid w:val="002F6771"/>
    <w:rsid w:val="002F6852"/>
    <w:rsid w:val="002F695D"/>
    <w:rsid w:val="002F6A21"/>
    <w:rsid w:val="002F6AA3"/>
    <w:rsid w:val="002F6C2F"/>
    <w:rsid w:val="002F6DCB"/>
    <w:rsid w:val="002F6EF1"/>
    <w:rsid w:val="002F6FB7"/>
    <w:rsid w:val="002F72F3"/>
    <w:rsid w:val="002F78EA"/>
    <w:rsid w:val="002F79E8"/>
    <w:rsid w:val="002F7EEF"/>
    <w:rsid w:val="003001C2"/>
    <w:rsid w:val="003006F2"/>
    <w:rsid w:val="00300744"/>
    <w:rsid w:val="00300773"/>
    <w:rsid w:val="0030078E"/>
    <w:rsid w:val="00300959"/>
    <w:rsid w:val="003009F1"/>
    <w:rsid w:val="00300BA3"/>
    <w:rsid w:val="00300BA6"/>
    <w:rsid w:val="00300C78"/>
    <w:rsid w:val="00300CFB"/>
    <w:rsid w:val="00300EEC"/>
    <w:rsid w:val="00300FFA"/>
    <w:rsid w:val="003010C3"/>
    <w:rsid w:val="0030117D"/>
    <w:rsid w:val="003011B9"/>
    <w:rsid w:val="00301211"/>
    <w:rsid w:val="00301258"/>
    <w:rsid w:val="0030153B"/>
    <w:rsid w:val="003015E6"/>
    <w:rsid w:val="0030169D"/>
    <w:rsid w:val="00301756"/>
    <w:rsid w:val="00301A09"/>
    <w:rsid w:val="00302073"/>
    <w:rsid w:val="0030208C"/>
    <w:rsid w:val="003022B3"/>
    <w:rsid w:val="003023BA"/>
    <w:rsid w:val="003023CC"/>
    <w:rsid w:val="00302468"/>
    <w:rsid w:val="00302582"/>
    <w:rsid w:val="0030265A"/>
    <w:rsid w:val="003028AD"/>
    <w:rsid w:val="00302923"/>
    <w:rsid w:val="00302966"/>
    <w:rsid w:val="00302C6A"/>
    <w:rsid w:val="00302EAA"/>
    <w:rsid w:val="00302FD9"/>
    <w:rsid w:val="003030FB"/>
    <w:rsid w:val="0030321B"/>
    <w:rsid w:val="003032E1"/>
    <w:rsid w:val="003036FB"/>
    <w:rsid w:val="00303703"/>
    <w:rsid w:val="003037E6"/>
    <w:rsid w:val="003039CA"/>
    <w:rsid w:val="00303A27"/>
    <w:rsid w:val="00303CCB"/>
    <w:rsid w:val="00303D98"/>
    <w:rsid w:val="00303EE2"/>
    <w:rsid w:val="003040EF"/>
    <w:rsid w:val="0030424B"/>
    <w:rsid w:val="0030435F"/>
    <w:rsid w:val="00304437"/>
    <w:rsid w:val="0030478C"/>
    <w:rsid w:val="003048F9"/>
    <w:rsid w:val="00304CD3"/>
    <w:rsid w:val="00304E45"/>
    <w:rsid w:val="00304F92"/>
    <w:rsid w:val="0030502E"/>
    <w:rsid w:val="00305107"/>
    <w:rsid w:val="003051BE"/>
    <w:rsid w:val="00305230"/>
    <w:rsid w:val="0030524E"/>
    <w:rsid w:val="00305256"/>
    <w:rsid w:val="003052C5"/>
    <w:rsid w:val="003052DD"/>
    <w:rsid w:val="003054A5"/>
    <w:rsid w:val="003054FC"/>
    <w:rsid w:val="003056EC"/>
    <w:rsid w:val="00305BFC"/>
    <w:rsid w:val="00305DC0"/>
    <w:rsid w:val="00305EA6"/>
    <w:rsid w:val="00305EA9"/>
    <w:rsid w:val="00305EDE"/>
    <w:rsid w:val="00305F29"/>
    <w:rsid w:val="003060EB"/>
    <w:rsid w:val="0030616A"/>
    <w:rsid w:val="00306196"/>
    <w:rsid w:val="0030625B"/>
    <w:rsid w:val="00306296"/>
    <w:rsid w:val="003062A2"/>
    <w:rsid w:val="00306363"/>
    <w:rsid w:val="003065FA"/>
    <w:rsid w:val="0030669C"/>
    <w:rsid w:val="003067D2"/>
    <w:rsid w:val="003067D3"/>
    <w:rsid w:val="003069EF"/>
    <w:rsid w:val="00306A32"/>
    <w:rsid w:val="00306D22"/>
    <w:rsid w:val="00306E5C"/>
    <w:rsid w:val="00307257"/>
    <w:rsid w:val="003072F5"/>
    <w:rsid w:val="0030763C"/>
    <w:rsid w:val="00307712"/>
    <w:rsid w:val="00307807"/>
    <w:rsid w:val="003079E1"/>
    <w:rsid w:val="003079E8"/>
    <w:rsid w:val="00307B99"/>
    <w:rsid w:val="00307BB9"/>
    <w:rsid w:val="00307ED2"/>
    <w:rsid w:val="00310137"/>
    <w:rsid w:val="003101EB"/>
    <w:rsid w:val="0031020E"/>
    <w:rsid w:val="00310379"/>
    <w:rsid w:val="003103B2"/>
    <w:rsid w:val="003105FE"/>
    <w:rsid w:val="003107FC"/>
    <w:rsid w:val="003108C1"/>
    <w:rsid w:val="00310ADE"/>
    <w:rsid w:val="00310C5B"/>
    <w:rsid w:val="00310D10"/>
    <w:rsid w:val="00310D58"/>
    <w:rsid w:val="00310F2C"/>
    <w:rsid w:val="00310FB8"/>
    <w:rsid w:val="00311158"/>
    <w:rsid w:val="003113C7"/>
    <w:rsid w:val="003115C1"/>
    <w:rsid w:val="0031172F"/>
    <w:rsid w:val="00311F6C"/>
    <w:rsid w:val="003120A5"/>
    <w:rsid w:val="003120FE"/>
    <w:rsid w:val="0031234D"/>
    <w:rsid w:val="003123CC"/>
    <w:rsid w:val="003126F2"/>
    <w:rsid w:val="00312965"/>
    <w:rsid w:val="00312BE3"/>
    <w:rsid w:val="00312CAA"/>
    <w:rsid w:val="00313128"/>
    <w:rsid w:val="00313253"/>
    <w:rsid w:val="003136FC"/>
    <w:rsid w:val="0031387F"/>
    <w:rsid w:val="0031390F"/>
    <w:rsid w:val="0031395D"/>
    <w:rsid w:val="003139ED"/>
    <w:rsid w:val="00313D9A"/>
    <w:rsid w:val="00313F69"/>
    <w:rsid w:val="00313FB3"/>
    <w:rsid w:val="003141C0"/>
    <w:rsid w:val="003142F4"/>
    <w:rsid w:val="003143CA"/>
    <w:rsid w:val="003144C4"/>
    <w:rsid w:val="00314551"/>
    <w:rsid w:val="003146D3"/>
    <w:rsid w:val="00314787"/>
    <w:rsid w:val="00314E6C"/>
    <w:rsid w:val="00315053"/>
    <w:rsid w:val="00315080"/>
    <w:rsid w:val="00315087"/>
    <w:rsid w:val="0031518F"/>
    <w:rsid w:val="00315225"/>
    <w:rsid w:val="003153A2"/>
    <w:rsid w:val="00315620"/>
    <w:rsid w:val="00315925"/>
    <w:rsid w:val="0031594F"/>
    <w:rsid w:val="003159D9"/>
    <w:rsid w:val="00315A1E"/>
    <w:rsid w:val="00315D81"/>
    <w:rsid w:val="00315FBB"/>
    <w:rsid w:val="00315FF4"/>
    <w:rsid w:val="003161F0"/>
    <w:rsid w:val="0031625C"/>
    <w:rsid w:val="00316486"/>
    <w:rsid w:val="00316487"/>
    <w:rsid w:val="00316524"/>
    <w:rsid w:val="003169B2"/>
    <w:rsid w:val="003169F2"/>
    <w:rsid w:val="00316A94"/>
    <w:rsid w:val="00316AA9"/>
    <w:rsid w:val="00316B9F"/>
    <w:rsid w:val="00317047"/>
    <w:rsid w:val="00317408"/>
    <w:rsid w:val="0031754D"/>
    <w:rsid w:val="00317961"/>
    <w:rsid w:val="00317A32"/>
    <w:rsid w:val="00317A92"/>
    <w:rsid w:val="00317C23"/>
    <w:rsid w:val="00317DA7"/>
    <w:rsid w:val="00317DE7"/>
    <w:rsid w:val="00317FCF"/>
    <w:rsid w:val="00320081"/>
    <w:rsid w:val="003200C4"/>
    <w:rsid w:val="003200D5"/>
    <w:rsid w:val="00320359"/>
    <w:rsid w:val="003209C7"/>
    <w:rsid w:val="00320A06"/>
    <w:rsid w:val="00320A3B"/>
    <w:rsid w:val="00320C07"/>
    <w:rsid w:val="00321027"/>
    <w:rsid w:val="00321240"/>
    <w:rsid w:val="00321458"/>
    <w:rsid w:val="003215D0"/>
    <w:rsid w:val="00321626"/>
    <w:rsid w:val="00321645"/>
    <w:rsid w:val="00321704"/>
    <w:rsid w:val="003217E7"/>
    <w:rsid w:val="00321975"/>
    <w:rsid w:val="00321ADA"/>
    <w:rsid w:val="00321DF6"/>
    <w:rsid w:val="00321ED1"/>
    <w:rsid w:val="00321FDE"/>
    <w:rsid w:val="0032200A"/>
    <w:rsid w:val="0032222E"/>
    <w:rsid w:val="00322237"/>
    <w:rsid w:val="00322353"/>
    <w:rsid w:val="0032237A"/>
    <w:rsid w:val="00322421"/>
    <w:rsid w:val="00322687"/>
    <w:rsid w:val="003227FA"/>
    <w:rsid w:val="003228B3"/>
    <w:rsid w:val="003229A7"/>
    <w:rsid w:val="00322CCB"/>
    <w:rsid w:val="00322D87"/>
    <w:rsid w:val="00322EFA"/>
    <w:rsid w:val="00322F5A"/>
    <w:rsid w:val="00322F88"/>
    <w:rsid w:val="00322FCD"/>
    <w:rsid w:val="0032304F"/>
    <w:rsid w:val="003231EF"/>
    <w:rsid w:val="00323423"/>
    <w:rsid w:val="00323555"/>
    <w:rsid w:val="003235DE"/>
    <w:rsid w:val="00323612"/>
    <w:rsid w:val="003236A8"/>
    <w:rsid w:val="00323705"/>
    <w:rsid w:val="00323BCC"/>
    <w:rsid w:val="00323C8B"/>
    <w:rsid w:val="00323D3C"/>
    <w:rsid w:val="00323EAF"/>
    <w:rsid w:val="00323F4D"/>
    <w:rsid w:val="00323FC9"/>
    <w:rsid w:val="00324002"/>
    <w:rsid w:val="0032410F"/>
    <w:rsid w:val="00324423"/>
    <w:rsid w:val="00324765"/>
    <w:rsid w:val="0032488D"/>
    <w:rsid w:val="003249C2"/>
    <w:rsid w:val="00324A58"/>
    <w:rsid w:val="00324AA9"/>
    <w:rsid w:val="00324BBE"/>
    <w:rsid w:val="00324D16"/>
    <w:rsid w:val="00324DC6"/>
    <w:rsid w:val="00324F42"/>
    <w:rsid w:val="00324F5C"/>
    <w:rsid w:val="00325147"/>
    <w:rsid w:val="003253C5"/>
    <w:rsid w:val="003255BF"/>
    <w:rsid w:val="00325C1E"/>
    <w:rsid w:val="00325CC8"/>
    <w:rsid w:val="00325E0A"/>
    <w:rsid w:val="0032614F"/>
    <w:rsid w:val="00326263"/>
    <w:rsid w:val="00326369"/>
    <w:rsid w:val="003264A8"/>
    <w:rsid w:val="00326669"/>
    <w:rsid w:val="0032684E"/>
    <w:rsid w:val="0032689B"/>
    <w:rsid w:val="00326A17"/>
    <w:rsid w:val="00326BB9"/>
    <w:rsid w:val="00326E2E"/>
    <w:rsid w:val="00326EFF"/>
    <w:rsid w:val="0032703F"/>
    <w:rsid w:val="003271E1"/>
    <w:rsid w:val="0032745F"/>
    <w:rsid w:val="0032749A"/>
    <w:rsid w:val="0032750F"/>
    <w:rsid w:val="003275E5"/>
    <w:rsid w:val="003277ED"/>
    <w:rsid w:val="003278C3"/>
    <w:rsid w:val="00327B0C"/>
    <w:rsid w:val="00327B1C"/>
    <w:rsid w:val="00327BCC"/>
    <w:rsid w:val="00327C42"/>
    <w:rsid w:val="00327C73"/>
    <w:rsid w:val="00327D82"/>
    <w:rsid w:val="00327E58"/>
    <w:rsid w:val="00327F40"/>
    <w:rsid w:val="00330139"/>
    <w:rsid w:val="00330268"/>
    <w:rsid w:val="003303F0"/>
    <w:rsid w:val="003308A5"/>
    <w:rsid w:val="00330B01"/>
    <w:rsid w:val="00330D43"/>
    <w:rsid w:val="00330DDC"/>
    <w:rsid w:val="00330E1E"/>
    <w:rsid w:val="00330E9B"/>
    <w:rsid w:val="003314F9"/>
    <w:rsid w:val="0033187C"/>
    <w:rsid w:val="0033192C"/>
    <w:rsid w:val="003319A6"/>
    <w:rsid w:val="00331BC1"/>
    <w:rsid w:val="00331D4B"/>
    <w:rsid w:val="00331E10"/>
    <w:rsid w:val="00331E23"/>
    <w:rsid w:val="00331EB4"/>
    <w:rsid w:val="00331FAE"/>
    <w:rsid w:val="00331FD3"/>
    <w:rsid w:val="00332121"/>
    <w:rsid w:val="003321C9"/>
    <w:rsid w:val="003323E7"/>
    <w:rsid w:val="0033247D"/>
    <w:rsid w:val="003324D2"/>
    <w:rsid w:val="003325C1"/>
    <w:rsid w:val="003326DC"/>
    <w:rsid w:val="003327E5"/>
    <w:rsid w:val="003327F4"/>
    <w:rsid w:val="003329DD"/>
    <w:rsid w:val="00332B94"/>
    <w:rsid w:val="00332C32"/>
    <w:rsid w:val="00332CA7"/>
    <w:rsid w:val="00332CFB"/>
    <w:rsid w:val="00332E3A"/>
    <w:rsid w:val="0033313C"/>
    <w:rsid w:val="00333140"/>
    <w:rsid w:val="003332DF"/>
    <w:rsid w:val="003338D8"/>
    <w:rsid w:val="003339CC"/>
    <w:rsid w:val="00333ACE"/>
    <w:rsid w:val="00334529"/>
    <w:rsid w:val="00334792"/>
    <w:rsid w:val="003347E8"/>
    <w:rsid w:val="003348BB"/>
    <w:rsid w:val="00334C94"/>
    <w:rsid w:val="00334D43"/>
    <w:rsid w:val="00334E67"/>
    <w:rsid w:val="00334E7E"/>
    <w:rsid w:val="0033503E"/>
    <w:rsid w:val="00335158"/>
    <w:rsid w:val="003356CA"/>
    <w:rsid w:val="00335910"/>
    <w:rsid w:val="00335939"/>
    <w:rsid w:val="00335A21"/>
    <w:rsid w:val="00335C59"/>
    <w:rsid w:val="00335E18"/>
    <w:rsid w:val="00335E54"/>
    <w:rsid w:val="00335F63"/>
    <w:rsid w:val="0033634F"/>
    <w:rsid w:val="00336786"/>
    <w:rsid w:val="00336939"/>
    <w:rsid w:val="0033693B"/>
    <w:rsid w:val="00336971"/>
    <w:rsid w:val="00336A66"/>
    <w:rsid w:val="00336B64"/>
    <w:rsid w:val="00336BFA"/>
    <w:rsid w:val="003370AC"/>
    <w:rsid w:val="0033716F"/>
    <w:rsid w:val="0033725D"/>
    <w:rsid w:val="00337685"/>
    <w:rsid w:val="0034001A"/>
    <w:rsid w:val="00340075"/>
    <w:rsid w:val="003402F4"/>
    <w:rsid w:val="00340438"/>
    <w:rsid w:val="0034055C"/>
    <w:rsid w:val="00340653"/>
    <w:rsid w:val="00340A07"/>
    <w:rsid w:val="00340DC8"/>
    <w:rsid w:val="00340DFC"/>
    <w:rsid w:val="00341241"/>
    <w:rsid w:val="00341259"/>
    <w:rsid w:val="003412DC"/>
    <w:rsid w:val="003416A1"/>
    <w:rsid w:val="003416A9"/>
    <w:rsid w:val="0034180E"/>
    <w:rsid w:val="00341CFE"/>
    <w:rsid w:val="00341E8D"/>
    <w:rsid w:val="0034221F"/>
    <w:rsid w:val="00342303"/>
    <w:rsid w:val="0034288B"/>
    <w:rsid w:val="00342A58"/>
    <w:rsid w:val="00342BBE"/>
    <w:rsid w:val="00342D97"/>
    <w:rsid w:val="00342F04"/>
    <w:rsid w:val="0034307E"/>
    <w:rsid w:val="003430C8"/>
    <w:rsid w:val="0034329D"/>
    <w:rsid w:val="003434DB"/>
    <w:rsid w:val="00343655"/>
    <w:rsid w:val="003436D5"/>
    <w:rsid w:val="003439BF"/>
    <w:rsid w:val="00343AC7"/>
    <w:rsid w:val="00343B1B"/>
    <w:rsid w:val="00343BA3"/>
    <w:rsid w:val="00343C1E"/>
    <w:rsid w:val="00343D12"/>
    <w:rsid w:val="00343E3A"/>
    <w:rsid w:val="00343E59"/>
    <w:rsid w:val="00343EC4"/>
    <w:rsid w:val="0034404E"/>
    <w:rsid w:val="003441E2"/>
    <w:rsid w:val="00344259"/>
    <w:rsid w:val="0034451D"/>
    <w:rsid w:val="003445B7"/>
    <w:rsid w:val="00344745"/>
    <w:rsid w:val="00344B05"/>
    <w:rsid w:val="00344D28"/>
    <w:rsid w:val="00344EBF"/>
    <w:rsid w:val="00344F6C"/>
    <w:rsid w:val="00344FFE"/>
    <w:rsid w:val="00345193"/>
    <w:rsid w:val="00345534"/>
    <w:rsid w:val="003455AF"/>
    <w:rsid w:val="003455E1"/>
    <w:rsid w:val="003456FF"/>
    <w:rsid w:val="003459F4"/>
    <w:rsid w:val="00345E07"/>
    <w:rsid w:val="00345E68"/>
    <w:rsid w:val="00345F11"/>
    <w:rsid w:val="00346032"/>
    <w:rsid w:val="003462FD"/>
    <w:rsid w:val="003462FE"/>
    <w:rsid w:val="003466E6"/>
    <w:rsid w:val="00346D17"/>
    <w:rsid w:val="00346E5F"/>
    <w:rsid w:val="0034715B"/>
    <w:rsid w:val="00347191"/>
    <w:rsid w:val="0034728D"/>
    <w:rsid w:val="00347674"/>
    <w:rsid w:val="00347677"/>
    <w:rsid w:val="003477F3"/>
    <w:rsid w:val="00347813"/>
    <w:rsid w:val="00347A89"/>
    <w:rsid w:val="00347CD1"/>
    <w:rsid w:val="00347E6A"/>
    <w:rsid w:val="00347FBF"/>
    <w:rsid w:val="00350046"/>
    <w:rsid w:val="0035016C"/>
    <w:rsid w:val="00350170"/>
    <w:rsid w:val="00350B32"/>
    <w:rsid w:val="00350F72"/>
    <w:rsid w:val="00351223"/>
    <w:rsid w:val="00351268"/>
    <w:rsid w:val="0035131A"/>
    <w:rsid w:val="0035141B"/>
    <w:rsid w:val="003514D6"/>
    <w:rsid w:val="003516A8"/>
    <w:rsid w:val="003518B6"/>
    <w:rsid w:val="00351A93"/>
    <w:rsid w:val="00351AD9"/>
    <w:rsid w:val="00351CE2"/>
    <w:rsid w:val="00352098"/>
    <w:rsid w:val="003520B3"/>
    <w:rsid w:val="00352174"/>
    <w:rsid w:val="003523B0"/>
    <w:rsid w:val="003524C2"/>
    <w:rsid w:val="003525F0"/>
    <w:rsid w:val="00352640"/>
    <w:rsid w:val="00352712"/>
    <w:rsid w:val="003527E0"/>
    <w:rsid w:val="003528B7"/>
    <w:rsid w:val="00352A01"/>
    <w:rsid w:val="00352A28"/>
    <w:rsid w:val="00352AEB"/>
    <w:rsid w:val="00352DC1"/>
    <w:rsid w:val="00352DC4"/>
    <w:rsid w:val="00352E28"/>
    <w:rsid w:val="003530F7"/>
    <w:rsid w:val="00353277"/>
    <w:rsid w:val="003532F2"/>
    <w:rsid w:val="003533E2"/>
    <w:rsid w:val="003534C8"/>
    <w:rsid w:val="00353682"/>
    <w:rsid w:val="0035368F"/>
    <w:rsid w:val="003537AB"/>
    <w:rsid w:val="00353A11"/>
    <w:rsid w:val="00353D44"/>
    <w:rsid w:val="00353EA4"/>
    <w:rsid w:val="0035404B"/>
    <w:rsid w:val="003540D8"/>
    <w:rsid w:val="003540F5"/>
    <w:rsid w:val="00354122"/>
    <w:rsid w:val="003543E1"/>
    <w:rsid w:val="00354701"/>
    <w:rsid w:val="0035472B"/>
    <w:rsid w:val="00354793"/>
    <w:rsid w:val="003548E6"/>
    <w:rsid w:val="0035493A"/>
    <w:rsid w:val="00354C35"/>
    <w:rsid w:val="00355243"/>
    <w:rsid w:val="003555D3"/>
    <w:rsid w:val="00355708"/>
    <w:rsid w:val="00355A4A"/>
    <w:rsid w:val="00355A6F"/>
    <w:rsid w:val="00355D53"/>
    <w:rsid w:val="00355D96"/>
    <w:rsid w:val="00355E54"/>
    <w:rsid w:val="0035600A"/>
    <w:rsid w:val="003560B1"/>
    <w:rsid w:val="003562E2"/>
    <w:rsid w:val="00356701"/>
    <w:rsid w:val="00356A24"/>
    <w:rsid w:val="00356A8B"/>
    <w:rsid w:val="00356B71"/>
    <w:rsid w:val="00356C4D"/>
    <w:rsid w:val="00356C62"/>
    <w:rsid w:val="00356D6D"/>
    <w:rsid w:val="00356F30"/>
    <w:rsid w:val="00357157"/>
    <w:rsid w:val="00357203"/>
    <w:rsid w:val="003572C0"/>
    <w:rsid w:val="0035769B"/>
    <w:rsid w:val="003578EA"/>
    <w:rsid w:val="00357A1C"/>
    <w:rsid w:val="00357AE3"/>
    <w:rsid w:val="00357D21"/>
    <w:rsid w:val="00357DB4"/>
    <w:rsid w:val="00360191"/>
    <w:rsid w:val="0036037B"/>
    <w:rsid w:val="00360381"/>
    <w:rsid w:val="00360482"/>
    <w:rsid w:val="003606E6"/>
    <w:rsid w:val="00360752"/>
    <w:rsid w:val="0036086C"/>
    <w:rsid w:val="00360A1A"/>
    <w:rsid w:val="00360BEE"/>
    <w:rsid w:val="00360CAB"/>
    <w:rsid w:val="00360D20"/>
    <w:rsid w:val="0036112B"/>
    <w:rsid w:val="003611E7"/>
    <w:rsid w:val="0036123F"/>
    <w:rsid w:val="003618D5"/>
    <w:rsid w:val="003619FC"/>
    <w:rsid w:val="00361A51"/>
    <w:rsid w:val="00361A69"/>
    <w:rsid w:val="00361A86"/>
    <w:rsid w:val="00361B90"/>
    <w:rsid w:val="00361D44"/>
    <w:rsid w:val="00361DD2"/>
    <w:rsid w:val="00361EA7"/>
    <w:rsid w:val="003624C3"/>
    <w:rsid w:val="00362577"/>
    <w:rsid w:val="00362831"/>
    <w:rsid w:val="0036287B"/>
    <w:rsid w:val="003628EE"/>
    <w:rsid w:val="00362A38"/>
    <w:rsid w:val="00362CF2"/>
    <w:rsid w:val="00362EE7"/>
    <w:rsid w:val="00362F98"/>
    <w:rsid w:val="003630AA"/>
    <w:rsid w:val="00363316"/>
    <w:rsid w:val="00363657"/>
    <w:rsid w:val="003636F7"/>
    <w:rsid w:val="00363952"/>
    <w:rsid w:val="003639D7"/>
    <w:rsid w:val="00363CAD"/>
    <w:rsid w:val="00363D83"/>
    <w:rsid w:val="00363F46"/>
    <w:rsid w:val="0036414A"/>
    <w:rsid w:val="00364319"/>
    <w:rsid w:val="003645BA"/>
    <w:rsid w:val="003646C8"/>
    <w:rsid w:val="0036480B"/>
    <w:rsid w:val="003648C3"/>
    <w:rsid w:val="00364B38"/>
    <w:rsid w:val="00364E32"/>
    <w:rsid w:val="00365253"/>
    <w:rsid w:val="00365343"/>
    <w:rsid w:val="00365529"/>
    <w:rsid w:val="0036562C"/>
    <w:rsid w:val="00365709"/>
    <w:rsid w:val="0036576A"/>
    <w:rsid w:val="00365972"/>
    <w:rsid w:val="00365984"/>
    <w:rsid w:val="003659B5"/>
    <w:rsid w:val="00365D4D"/>
    <w:rsid w:val="003661CC"/>
    <w:rsid w:val="0036627C"/>
    <w:rsid w:val="003662B8"/>
    <w:rsid w:val="00366361"/>
    <w:rsid w:val="003664EE"/>
    <w:rsid w:val="00366514"/>
    <w:rsid w:val="003665D4"/>
    <w:rsid w:val="00366804"/>
    <w:rsid w:val="00366911"/>
    <w:rsid w:val="00366B55"/>
    <w:rsid w:val="00366C8C"/>
    <w:rsid w:val="00366E44"/>
    <w:rsid w:val="00367113"/>
    <w:rsid w:val="0036726B"/>
    <w:rsid w:val="00367439"/>
    <w:rsid w:val="00367855"/>
    <w:rsid w:val="00367861"/>
    <w:rsid w:val="00367933"/>
    <w:rsid w:val="003679E7"/>
    <w:rsid w:val="00367C0A"/>
    <w:rsid w:val="00367EB3"/>
    <w:rsid w:val="00367F30"/>
    <w:rsid w:val="00367FF8"/>
    <w:rsid w:val="00370468"/>
    <w:rsid w:val="00370542"/>
    <w:rsid w:val="00370A96"/>
    <w:rsid w:val="00370AED"/>
    <w:rsid w:val="00370B37"/>
    <w:rsid w:val="00370E00"/>
    <w:rsid w:val="00370ED6"/>
    <w:rsid w:val="003711A0"/>
    <w:rsid w:val="0037136E"/>
    <w:rsid w:val="003715ED"/>
    <w:rsid w:val="003716E0"/>
    <w:rsid w:val="00371E42"/>
    <w:rsid w:val="003720BA"/>
    <w:rsid w:val="0037239D"/>
    <w:rsid w:val="003724DE"/>
    <w:rsid w:val="00372901"/>
    <w:rsid w:val="003729E5"/>
    <w:rsid w:val="00372B02"/>
    <w:rsid w:val="00372CEC"/>
    <w:rsid w:val="00372F01"/>
    <w:rsid w:val="00373083"/>
    <w:rsid w:val="003731E3"/>
    <w:rsid w:val="0037376B"/>
    <w:rsid w:val="003737F5"/>
    <w:rsid w:val="00373D45"/>
    <w:rsid w:val="00373D9F"/>
    <w:rsid w:val="00374077"/>
    <w:rsid w:val="003742E2"/>
    <w:rsid w:val="003742E6"/>
    <w:rsid w:val="00374381"/>
    <w:rsid w:val="003743D6"/>
    <w:rsid w:val="0037484C"/>
    <w:rsid w:val="003749E4"/>
    <w:rsid w:val="00374A79"/>
    <w:rsid w:val="00374B65"/>
    <w:rsid w:val="003752EF"/>
    <w:rsid w:val="00375358"/>
    <w:rsid w:val="0037537B"/>
    <w:rsid w:val="003754CC"/>
    <w:rsid w:val="003756A5"/>
    <w:rsid w:val="00375723"/>
    <w:rsid w:val="00375837"/>
    <w:rsid w:val="0037592E"/>
    <w:rsid w:val="00375932"/>
    <w:rsid w:val="00375C07"/>
    <w:rsid w:val="00375E08"/>
    <w:rsid w:val="00375E2F"/>
    <w:rsid w:val="00375E3D"/>
    <w:rsid w:val="00376181"/>
    <w:rsid w:val="00376542"/>
    <w:rsid w:val="00376613"/>
    <w:rsid w:val="00376648"/>
    <w:rsid w:val="003766A5"/>
    <w:rsid w:val="003768DC"/>
    <w:rsid w:val="00376D58"/>
    <w:rsid w:val="00376D7A"/>
    <w:rsid w:val="00376E61"/>
    <w:rsid w:val="00376F6A"/>
    <w:rsid w:val="00376FEA"/>
    <w:rsid w:val="003770B1"/>
    <w:rsid w:val="003770F6"/>
    <w:rsid w:val="003771EB"/>
    <w:rsid w:val="00377331"/>
    <w:rsid w:val="003773DB"/>
    <w:rsid w:val="0037744F"/>
    <w:rsid w:val="00377465"/>
    <w:rsid w:val="00377657"/>
    <w:rsid w:val="00377689"/>
    <w:rsid w:val="00377768"/>
    <w:rsid w:val="003777B2"/>
    <w:rsid w:val="00377908"/>
    <w:rsid w:val="00377AEC"/>
    <w:rsid w:val="003801EA"/>
    <w:rsid w:val="00380520"/>
    <w:rsid w:val="00380577"/>
    <w:rsid w:val="0038058A"/>
    <w:rsid w:val="003805C7"/>
    <w:rsid w:val="003805D1"/>
    <w:rsid w:val="00380638"/>
    <w:rsid w:val="003806B9"/>
    <w:rsid w:val="003807B2"/>
    <w:rsid w:val="0038086A"/>
    <w:rsid w:val="00380983"/>
    <w:rsid w:val="00380AB5"/>
    <w:rsid w:val="00380B23"/>
    <w:rsid w:val="00380B71"/>
    <w:rsid w:val="00380FB1"/>
    <w:rsid w:val="0038108D"/>
    <w:rsid w:val="00381131"/>
    <w:rsid w:val="0038124B"/>
    <w:rsid w:val="003812E8"/>
    <w:rsid w:val="003816E8"/>
    <w:rsid w:val="003816EE"/>
    <w:rsid w:val="00381749"/>
    <w:rsid w:val="00381CA1"/>
    <w:rsid w:val="00381F05"/>
    <w:rsid w:val="0038208E"/>
    <w:rsid w:val="0038214E"/>
    <w:rsid w:val="00382155"/>
    <w:rsid w:val="00382161"/>
    <w:rsid w:val="00382421"/>
    <w:rsid w:val="00382AE4"/>
    <w:rsid w:val="00382B93"/>
    <w:rsid w:val="00382DF7"/>
    <w:rsid w:val="00383092"/>
    <w:rsid w:val="00383107"/>
    <w:rsid w:val="0038310C"/>
    <w:rsid w:val="00383474"/>
    <w:rsid w:val="003836ED"/>
    <w:rsid w:val="00383778"/>
    <w:rsid w:val="003837BD"/>
    <w:rsid w:val="00383A4D"/>
    <w:rsid w:val="00383BB4"/>
    <w:rsid w:val="00383C3A"/>
    <w:rsid w:val="00383F6E"/>
    <w:rsid w:val="00383F96"/>
    <w:rsid w:val="00383FC9"/>
    <w:rsid w:val="003841B4"/>
    <w:rsid w:val="003842F5"/>
    <w:rsid w:val="003844ED"/>
    <w:rsid w:val="0038465C"/>
    <w:rsid w:val="003847C9"/>
    <w:rsid w:val="0038488C"/>
    <w:rsid w:val="00384955"/>
    <w:rsid w:val="003849DD"/>
    <w:rsid w:val="00384BD3"/>
    <w:rsid w:val="00384BF6"/>
    <w:rsid w:val="00384CE5"/>
    <w:rsid w:val="00384F98"/>
    <w:rsid w:val="003850C6"/>
    <w:rsid w:val="00385211"/>
    <w:rsid w:val="003853EF"/>
    <w:rsid w:val="00385437"/>
    <w:rsid w:val="003854E9"/>
    <w:rsid w:val="00385B1B"/>
    <w:rsid w:val="00385C09"/>
    <w:rsid w:val="00385DBD"/>
    <w:rsid w:val="0038603A"/>
    <w:rsid w:val="003861C6"/>
    <w:rsid w:val="00386204"/>
    <w:rsid w:val="0038629C"/>
    <w:rsid w:val="00386319"/>
    <w:rsid w:val="00386635"/>
    <w:rsid w:val="00386B07"/>
    <w:rsid w:val="00386B92"/>
    <w:rsid w:val="00387428"/>
    <w:rsid w:val="00387472"/>
    <w:rsid w:val="0038751A"/>
    <w:rsid w:val="003876E2"/>
    <w:rsid w:val="00387858"/>
    <w:rsid w:val="003879B8"/>
    <w:rsid w:val="00387A1E"/>
    <w:rsid w:val="00387B6E"/>
    <w:rsid w:val="00387C5D"/>
    <w:rsid w:val="00387CC9"/>
    <w:rsid w:val="00387D49"/>
    <w:rsid w:val="003904E5"/>
    <w:rsid w:val="0039063D"/>
    <w:rsid w:val="00390AA1"/>
    <w:rsid w:val="00390AAE"/>
    <w:rsid w:val="00390F6F"/>
    <w:rsid w:val="003912C5"/>
    <w:rsid w:val="003914F1"/>
    <w:rsid w:val="00391547"/>
    <w:rsid w:val="00391625"/>
    <w:rsid w:val="0039165E"/>
    <w:rsid w:val="003916CF"/>
    <w:rsid w:val="00391C36"/>
    <w:rsid w:val="00391E4B"/>
    <w:rsid w:val="00392197"/>
    <w:rsid w:val="003924BD"/>
    <w:rsid w:val="00392658"/>
    <w:rsid w:val="003926CD"/>
    <w:rsid w:val="003926DC"/>
    <w:rsid w:val="003926FA"/>
    <w:rsid w:val="00392A70"/>
    <w:rsid w:val="00392C49"/>
    <w:rsid w:val="00392D10"/>
    <w:rsid w:val="00392EA8"/>
    <w:rsid w:val="0039312C"/>
    <w:rsid w:val="00393204"/>
    <w:rsid w:val="003933B8"/>
    <w:rsid w:val="00393583"/>
    <w:rsid w:val="003935A3"/>
    <w:rsid w:val="003935A5"/>
    <w:rsid w:val="003937C4"/>
    <w:rsid w:val="003938E9"/>
    <w:rsid w:val="003939FB"/>
    <w:rsid w:val="00393BAC"/>
    <w:rsid w:val="00393BBF"/>
    <w:rsid w:val="00393DD2"/>
    <w:rsid w:val="00393FB9"/>
    <w:rsid w:val="00393FEF"/>
    <w:rsid w:val="00393FFA"/>
    <w:rsid w:val="003941CE"/>
    <w:rsid w:val="00394201"/>
    <w:rsid w:val="003942A1"/>
    <w:rsid w:val="00394305"/>
    <w:rsid w:val="0039444E"/>
    <w:rsid w:val="0039445E"/>
    <w:rsid w:val="003944B6"/>
    <w:rsid w:val="003945B1"/>
    <w:rsid w:val="003946B7"/>
    <w:rsid w:val="003948E6"/>
    <w:rsid w:val="00394A8E"/>
    <w:rsid w:val="00394C0C"/>
    <w:rsid w:val="00394E51"/>
    <w:rsid w:val="003950C0"/>
    <w:rsid w:val="003951FC"/>
    <w:rsid w:val="003953B1"/>
    <w:rsid w:val="003953D1"/>
    <w:rsid w:val="0039540B"/>
    <w:rsid w:val="003955A7"/>
    <w:rsid w:val="00395765"/>
    <w:rsid w:val="003957E8"/>
    <w:rsid w:val="00395926"/>
    <w:rsid w:val="00395B17"/>
    <w:rsid w:val="00395BF1"/>
    <w:rsid w:val="00395C39"/>
    <w:rsid w:val="003960DA"/>
    <w:rsid w:val="00396229"/>
    <w:rsid w:val="0039635F"/>
    <w:rsid w:val="0039686C"/>
    <w:rsid w:val="003968A9"/>
    <w:rsid w:val="00396D04"/>
    <w:rsid w:val="00396E3A"/>
    <w:rsid w:val="00396F0C"/>
    <w:rsid w:val="003970A1"/>
    <w:rsid w:val="003972E6"/>
    <w:rsid w:val="0039742C"/>
    <w:rsid w:val="003978CE"/>
    <w:rsid w:val="003979A5"/>
    <w:rsid w:val="00397AB8"/>
    <w:rsid w:val="00397B4A"/>
    <w:rsid w:val="00397CC9"/>
    <w:rsid w:val="00397EBA"/>
    <w:rsid w:val="003A0279"/>
    <w:rsid w:val="003A079F"/>
    <w:rsid w:val="003A0815"/>
    <w:rsid w:val="003A0A06"/>
    <w:rsid w:val="003A0A14"/>
    <w:rsid w:val="003A0AD7"/>
    <w:rsid w:val="003A0D28"/>
    <w:rsid w:val="003A0F01"/>
    <w:rsid w:val="003A102D"/>
    <w:rsid w:val="003A106E"/>
    <w:rsid w:val="003A111B"/>
    <w:rsid w:val="003A11A6"/>
    <w:rsid w:val="003A123D"/>
    <w:rsid w:val="003A1249"/>
    <w:rsid w:val="003A12D2"/>
    <w:rsid w:val="003A1400"/>
    <w:rsid w:val="003A143A"/>
    <w:rsid w:val="003A146F"/>
    <w:rsid w:val="003A1521"/>
    <w:rsid w:val="003A16CB"/>
    <w:rsid w:val="003A17FF"/>
    <w:rsid w:val="003A18B5"/>
    <w:rsid w:val="003A19ED"/>
    <w:rsid w:val="003A1B35"/>
    <w:rsid w:val="003A1F23"/>
    <w:rsid w:val="003A1FD1"/>
    <w:rsid w:val="003A20A6"/>
    <w:rsid w:val="003A2545"/>
    <w:rsid w:val="003A25AB"/>
    <w:rsid w:val="003A28E4"/>
    <w:rsid w:val="003A2A7C"/>
    <w:rsid w:val="003A2C9D"/>
    <w:rsid w:val="003A2CDD"/>
    <w:rsid w:val="003A2D40"/>
    <w:rsid w:val="003A2EAA"/>
    <w:rsid w:val="003A2ECA"/>
    <w:rsid w:val="003A30AC"/>
    <w:rsid w:val="003A320A"/>
    <w:rsid w:val="003A323E"/>
    <w:rsid w:val="003A33C5"/>
    <w:rsid w:val="003A341E"/>
    <w:rsid w:val="003A366C"/>
    <w:rsid w:val="003A3775"/>
    <w:rsid w:val="003A3860"/>
    <w:rsid w:val="003A3984"/>
    <w:rsid w:val="003A39A2"/>
    <w:rsid w:val="003A4097"/>
    <w:rsid w:val="003A4214"/>
    <w:rsid w:val="003A42A8"/>
    <w:rsid w:val="003A4307"/>
    <w:rsid w:val="003A450A"/>
    <w:rsid w:val="003A4538"/>
    <w:rsid w:val="003A4570"/>
    <w:rsid w:val="003A458E"/>
    <w:rsid w:val="003A46F9"/>
    <w:rsid w:val="003A472A"/>
    <w:rsid w:val="003A472E"/>
    <w:rsid w:val="003A4933"/>
    <w:rsid w:val="003A49C5"/>
    <w:rsid w:val="003A4D52"/>
    <w:rsid w:val="003A4D56"/>
    <w:rsid w:val="003A4D65"/>
    <w:rsid w:val="003A4E95"/>
    <w:rsid w:val="003A4F9C"/>
    <w:rsid w:val="003A53ED"/>
    <w:rsid w:val="003A543A"/>
    <w:rsid w:val="003A549E"/>
    <w:rsid w:val="003A5615"/>
    <w:rsid w:val="003A575F"/>
    <w:rsid w:val="003A58DB"/>
    <w:rsid w:val="003A5CBC"/>
    <w:rsid w:val="003A5E9F"/>
    <w:rsid w:val="003A61E3"/>
    <w:rsid w:val="003A62D4"/>
    <w:rsid w:val="003A6492"/>
    <w:rsid w:val="003A65B5"/>
    <w:rsid w:val="003A676F"/>
    <w:rsid w:val="003A67F0"/>
    <w:rsid w:val="003A6863"/>
    <w:rsid w:val="003A6879"/>
    <w:rsid w:val="003A68E7"/>
    <w:rsid w:val="003A6C35"/>
    <w:rsid w:val="003A6C81"/>
    <w:rsid w:val="003A6E25"/>
    <w:rsid w:val="003A6FFB"/>
    <w:rsid w:val="003A71DF"/>
    <w:rsid w:val="003A725D"/>
    <w:rsid w:val="003A72A0"/>
    <w:rsid w:val="003A748F"/>
    <w:rsid w:val="003A7491"/>
    <w:rsid w:val="003A7677"/>
    <w:rsid w:val="003A7D5F"/>
    <w:rsid w:val="003B03BB"/>
    <w:rsid w:val="003B0415"/>
    <w:rsid w:val="003B076C"/>
    <w:rsid w:val="003B0866"/>
    <w:rsid w:val="003B087B"/>
    <w:rsid w:val="003B09FF"/>
    <w:rsid w:val="003B0AF7"/>
    <w:rsid w:val="003B0C87"/>
    <w:rsid w:val="003B0CB8"/>
    <w:rsid w:val="003B0E9A"/>
    <w:rsid w:val="003B0FE8"/>
    <w:rsid w:val="003B100C"/>
    <w:rsid w:val="003B1082"/>
    <w:rsid w:val="003B1162"/>
    <w:rsid w:val="003B12F5"/>
    <w:rsid w:val="003B1373"/>
    <w:rsid w:val="003B1445"/>
    <w:rsid w:val="003B154C"/>
    <w:rsid w:val="003B1994"/>
    <w:rsid w:val="003B1AB2"/>
    <w:rsid w:val="003B1E4C"/>
    <w:rsid w:val="003B2005"/>
    <w:rsid w:val="003B2106"/>
    <w:rsid w:val="003B213D"/>
    <w:rsid w:val="003B217E"/>
    <w:rsid w:val="003B222A"/>
    <w:rsid w:val="003B2301"/>
    <w:rsid w:val="003B2340"/>
    <w:rsid w:val="003B24B8"/>
    <w:rsid w:val="003B2586"/>
    <w:rsid w:val="003B25FF"/>
    <w:rsid w:val="003B2622"/>
    <w:rsid w:val="003B26D1"/>
    <w:rsid w:val="003B2B2D"/>
    <w:rsid w:val="003B2BF6"/>
    <w:rsid w:val="003B2C1E"/>
    <w:rsid w:val="003B2DC9"/>
    <w:rsid w:val="003B2E4C"/>
    <w:rsid w:val="003B2F58"/>
    <w:rsid w:val="003B3684"/>
    <w:rsid w:val="003B3767"/>
    <w:rsid w:val="003B38CE"/>
    <w:rsid w:val="003B3917"/>
    <w:rsid w:val="003B3ACC"/>
    <w:rsid w:val="003B3BCD"/>
    <w:rsid w:val="003B3CE7"/>
    <w:rsid w:val="003B3D06"/>
    <w:rsid w:val="003B3E7B"/>
    <w:rsid w:val="003B3EC6"/>
    <w:rsid w:val="003B3F8E"/>
    <w:rsid w:val="003B3FE4"/>
    <w:rsid w:val="003B40A7"/>
    <w:rsid w:val="003B4250"/>
    <w:rsid w:val="003B4333"/>
    <w:rsid w:val="003B435B"/>
    <w:rsid w:val="003B43A2"/>
    <w:rsid w:val="003B43E9"/>
    <w:rsid w:val="003B45CC"/>
    <w:rsid w:val="003B4665"/>
    <w:rsid w:val="003B4763"/>
    <w:rsid w:val="003B49E2"/>
    <w:rsid w:val="003B49F6"/>
    <w:rsid w:val="003B4E4E"/>
    <w:rsid w:val="003B50FA"/>
    <w:rsid w:val="003B5304"/>
    <w:rsid w:val="003B53F2"/>
    <w:rsid w:val="003B5472"/>
    <w:rsid w:val="003B5735"/>
    <w:rsid w:val="003B58AE"/>
    <w:rsid w:val="003B5D4A"/>
    <w:rsid w:val="003B5D62"/>
    <w:rsid w:val="003B6583"/>
    <w:rsid w:val="003B6A5B"/>
    <w:rsid w:val="003B6ADD"/>
    <w:rsid w:val="003B6B71"/>
    <w:rsid w:val="003B6B8E"/>
    <w:rsid w:val="003B7037"/>
    <w:rsid w:val="003B7139"/>
    <w:rsid w:val="003B72F3"/>
    <w:rsid w:val="003B7530"/>
    <w:rsid w:val="003B778C"/>
    <w:rsid w:val="003B7917"/>
    <w:rsid w:val="003B79B5"/>
    <w:rsid w:val="003B7A54"/>
    <w:rsid w:val="003B7B45"/>
    <w:rsid w:val="003B7BC2"/>
    <w:rsid w:val="003B7C24"/>
    <w:rsid w:val="003B7E76"/>
    <w:rsid w:val="003B7FBD"/>
    <w:rsid w:val="003C006E"/>
    <w:rsid w:val="003C049C"/>
    <w:rsid w:val="003C063E"/>
    <w:rsid w:val="003C07B0"/>
    <w:rsid w:val="003C07BF"/>
    <w:rsid w:val="003C0B48"/>
    <w:rsid w:val="003C0B86"/>
    <w:rsid w:val="003C0EC2"/>
    <w:rsid w:val="003C10B0"/>
    <w:rsid w:val="003C11A9"/>
    <w:rsid w:val="003C1874"/>
    <w:rsid w:val="003C18F1"/>
    <w:rsid w:val="003C1B7C"/>
    <w:rsid w:val="003C1E7D"/>
    <w:rsid w:val="003C1E90"/>
    <w:rsid w:val="003C1F4F"/>
    <w:rsid w:val="003C1FB8"/>
    <w:rsid w:val="003C1FC8"/>
    <w:rsid w:val="003C21B3"/>
    <w:rsid w:val="003C2359"/>
    <w:rsid w:val="003C27E8"/>
    <w:rsid w:val="003C2A4D"/>
    <w:rsid w:val="003C2AEC"/>
    <w:rsid w:val="003C2C82"/>
    <w:rsid w:val="003C2D11"/>
    <w:rsid w:val="003C2DCC"/>
    <w:rsid w:val="003C31E1"/>
    <w:rsid w:val="003C31F7"/>
    <w:rsid w:val="003C32B0"/>
    <w:rsid w:val="003C33FE"/>
    <w:rsid w:val="003C3474"/>
    <w:rsid w:val="003C3AC8"/>
    <w:rsid w:val="003C3CC8"/>
    <w:rsid w:val="003C3D39"/>
    <w:rsid w:val="003C3E90"/>
    <w:rsid w:val="003C3F42"/>
    <w:rsid w:val="003C42D1"/>
    <w:rsid w:val="003C42D8"/>
    <w:rsid w:val="003C466A"/>
    <w:rsid w:val="003C4A39"/>
    <w:rsid w:val="003C4AF7"/>
    <w:rsid w:val="003C4E3D"/>
    <w:rsid w:val="003C508B"/>
    <w:rsid w:val="003C51E6"/>
    <w:rsid w:val="003C5513"/>
    <w:rsid w:val="003C56BC"/>
    <w:rsid w:val="003C5709"/>
    <w:rsid w:val="003C58E8"/>
    <w:rsid w:val="003C5AE7"/>
    <w:rsid w:val="003C5DF6"/>
    <w:rsid w:val="003C608F"/>
    <w:rsid w:val="003C6257"/>
    <w:rsid w:val="003C67BF"/>
    <w:rsid w:val="003C6C08"/>
    <w:rsid w:val="003C6D5F"/>
    <w:rsid w:val="003C6E2C"/>
    <w:rsid w:val="003C6E41"/>
    <w:rsid w:val="003C70DE"/>
    <w:rsid w:val="003C713C"/>
    <w:rsid w:val="003C7184"/>
    <w:rsid w:val="003C7255"/>
    <w:rsid w:val="003C725F"/>
    <w:rsid w:val="003C7274"/>
    <w:rsid w:val="003C7329"/>
    <w:rsid w:val="003C7361"/>
    <w:rsid w:val="003C73C2"/>
    <w:rsid w:val="003C7483"/>
    <w:rsid w:val="003C7568"/>
    <w:rsid w:val="003C7579"/>
    <w:rsid w:val="003C7598"/>
    <w:rsid w:val="003C78AE"/>
    <w:rsid w:val="003C78BB"/>
    <w:rsid w:val="003C7ABA"/>
    <w:rsid w:val="003C7AF2"/>
    <w:rsid w:val="003C7C8B"/>
    <w:rsid w:val="003C7D9B"/>
    <w:rsid w:val="003C7E20"/>
    <w:rsid w:val="003C7F2D"/>
    <w:rsid w:val="003C7F92"/>
    <w:rsid w:val="003D0010"/>
    <w:rsid w:val="003D0158"/>
    <w:rsid w:val="003D018A"/>
    <w:rsid w:val="003D02B5"/>
    <w:rsid w:val="003D0543"/>
    <w:rsid w:val="003D07D7"/>
    <w:rsid w:val="003D0C38"/>
    <w:rsid w:val="003D0DB2"/>
    <w:rsid w:val="003D0DCC"/>
    <w:rsid w:val="003D1240"/>
    <w:rsid w:val="003D12E2"/>
    <w:rsid w:val="003D148D"/>
    <w:rsid w:val="003D1720"/>
    <w:rsid w:val="003D1919"/>
    <w:rsid w:val="003D1A6F"/>
    <w:rsid w:val="003D1ABA"/>
    <w:rsid w:val="003D1B99"/>
    <w:rsid w:val="003D1FF6"/>
    <w:rsid w:val="003D20E2"/>
    <w:rsid w:val="003D21E1"/>
    <w:rsid w:val="003D244E"/>
    <w:rsid w:val="003D2584"/>
    <w:rsid w:val="003D2645"/>
    <w:rsid w:val="003D2712"/>
    <w:rsid w:val="003D28CE"/>
    <w:rsid w:val="003D2B92"/>
    <w:rsid w:val="003D2E81"/>
    <w:rsid w:val="003D2EB0"/>
    <w:rsid w:val="003D3245"/>
    <w:rsid w:val="003D3568"/>
    <w:rsid w:val="003D35E1"/>
    <w:rsid w:val="003D3844"/>
    <w:rsid w:val="003D3864"/>
    <w:rsid w:val="003D3BCD"/>
    <w:rsid w:val="003D43AA"/>
    <w:rsid w:val="003D4683"/>
    <w:rsid w:val="003D468D"/>
    <w:rsid w:val="003D4AA4"/>
    <w:rsid w:val="003D4AE9"/>
    <w:rsid w:val="003D4B0B"/>
    <w:rsid w:val="003D4B99"/>
    <w:rsid w:val="003D4EBB"/>
    <w:rsid w:val="003D53DB"/>
    <w:rsid w:val="003D53FD"/>
    <w:rsid w:val="003D5678"/>
    <w:rsid w:val="003D56A4"/>
    <w:rsid w:val="003D5720"/>
    <w:rsid w:val="003D57E8"/>
    <w:rsid w:val="003D58FD"/>
    <w:rsid w:val="003D5AF8"/>
    <w:rsid w:val="003D5B0A"/>
    <w:rsid w:val="003D5B7F"/>
    <w:rsid w:val="003D5DCB"/>
    <w:rsid w:val="003D6223"/>
    <w:rsid w:val="003D649F"/>
    <w:rsid w:val="003D6725"/>
    <w:rsid w:val="003D6734"/>
    <w:rsid w:val="003D691F"/>
    <w:rsid w:val="003D6A06"/>
    <w:rsid w:val="003D7006"/>
    <w:rsid w:val="003D7011"/>
    <w:rsid w:val="003D7086"/>
    <w:rsid w:val="003D709A"/>
    <w:rsid w:val="003D76FA"/>
    <w:rsid w:val="003D77EB"/>
    <w:rsid w:val="003D7C0A"/>
    <w:rsid w:val="003D7D91"/>
    <w:rsid w:val="003D7DF6"/>
    <w:rsid w:val="003D7E14"/>
    <w:rsid w:val="003D7F77"/>
    <w:rsid w:val="003E0088"/>
    <w:rsid w:val="003E0263"/>
    <w:rsid w:val="003E0320"/>
    <w:rsid w:val="003E035D"/>
    <w:rsid w:val="003E0402"/>
    <w:rsid w:val="003E0895"/>
    <w:rsid w:val="003E0A4A"/>
    <w:rsid w:val="003E0B49"/>
    <w:rsid w:val="003E0C2A"/>
    <w:rsid w:val="003E0EEA"/>
    <w:rsid w:val="003E1088"/>
    <w:rsid w:val="003E165F"/>
    <w:rsid w:val="003E190B"/>
    <w:rsid w:val="003E1A6E"/>
    <w:rsid w:val="003E1B1C"/>
    <w:rsid w:val="003E1B9A"/>
    <w:rsid w:val="003E1BED"/>
    <w:rsid w:val="003E1C9A"/>
    <w:rsid w:val="003E1FE9"/>
    <w:rsid w:val="003E201D"/>
    <w:rsid w:val="003E20C8"/>
    <w:rsid w:val="003E2410"/>
    <w:rsid w:val="003E24CB"/>
    <w:rsid w:val="003E24EF"/>
    <w:rsid w:val="003E25E3"/>
    <w:rsid w:val="003E26CA"/>
    <w:rsid w:val="003E26D0"/>
    <w:rsid w:val="003E2A92"/>
    <w:rsid w:val="003E2BBB"/>
    <w:rsid w:val="003E2E1B"/>
    <w:rsid w:val="003E2E35"/>
    <w:rsid w:val="003E2E3A"/>
    <w:rsid w:val="003E2E75"/>
    <w:rsid w:val="003E2E90"/>
    <w:rsid w:val="003E30BF"/>
    <w:rsid w:val="003E31C9"/>
    <w:rsid w:val="003E3271"/>
    <w:rsid w:val="003E3411"/>
    <w:rsid w:val="003E34D1"/>
    <w:rsid w:val="003E361A"/>
    <w:rsid w:val="003E37BF"/>
    <w:rsid w:val="003E38EB"/>
    <w:rsid w:val="003E3A16"/>
    <w:rsid w:val="003E3A56"/>
    <w:rsid w:val="003E3E5E"/>
    <w:rsid w:val="003E3EBC"/>
    <w:rsid w:val="003E41F3"/>
    <w:rsid w:val="003E473D"/>
    <w:rsid w:val="003E47A0"/>
    <w:rsid w:val="003E47B5"/>
    <w:rsid w:val="003E4869"/>
    <w:rsid w:val="003E4E1E"/>
    <w:rsid w:val="003E50AF"/>
    <w:rsid w:val="003E5183"/>
    <w:rsid w:val="003E5744"/>
    <w:rsid w:val="003E59DC"/>
    <w:rsid w:val="003E5E74"/>
    <w:rsid w:val="003E5EF8"/>
    <w:rsid w:val="003E5F44"/>
    <w:rsid w:val="003E5FB1"/>
    <w:rsid w:val="003E647C"/>
    <w:rsid w:val="003E6803"/>
    <w:rsid w:val="003E6C3A"/>
    <w:rsid w:val="003E6C6A"/>
    <w:rsid w:val="003E6C9A"/>
    <w:rsid w:val="003E6D19"/>
    <w:rsid w:val="003E6ECE"/>
    <w:rsid w:val="003E720B"/>
    <w:rsid w:val="003E72C6"/>
    <w:rsid w:val="003E75E0"/>
    <w:rsid w:val="003E7703"/>
    <w:rsid w:val="003E79B5"/>
    <w:rsid w:val="003E7E63"/>
    <w:rsid w:val="003E7E8F"/>
    <w:rsid w:val="003E7ED1"/>
    <w:rsid w:val="003F009F"/>
    <w:rsid w:val="003F018E"/>
    <w:rsid w:val="003F035D"/>
    <w:rsid w:val="003F043A"/>
    <w:rsid w:val="003F07EB"/>
    <w:rsid w:val="003F08D7"/>
    <w:rsid w:val="003F0922"/>
    <w:rsid w:val="003F0C5B"/>
    <w:rsid w:val="003F0CE1"/>
    <w:rsid w:val="003F0DDF"/>
    <w:rsid w:val="003F0E03"/>
    <w:rsid w:val="003F115E"/>
    <w:rsid w:val="003F124D"/>
    <w:rsid w:val="003F128A"/>
    <w:rsid w:val="003F12E4"/>
    <w:rsid w:val="003F12F5"/>
    <w:rsid w:val="003F1336"/>
    <w:rsid w:val="003F14CD"/>
    <w:rsid w:val="003F1550"/>
    <w:rsid w:val="003F15BB"/>
    <w:rsid w:val="003F175D"/>
    <w:rsid w:val="003F18CF"/>
    <w:rsid w:val="003F1A5B"/>
    <w:rsid w:val="003F1BB2"/>
    <w:rsid w:val="003F1D2C"/>
    <w:rsid w:val="003F200A"/>
    <w:rsid w:val="003F209C"/>
    <w:rsid w:val="003F2125"/>
    <w:rsid w:val="003F2284"/>
    <w:rsid w:val="003F22A5"/>
    <w:rsid w:val="003F2423"/>
    <w:rsid w:val="003F248F"/>
    <w:rsid w:val="003F24BE"/>
    <w:rsid w:val="003F24EB"/>
    <w:rsid w:val="003F2801"/>
    <w:rsid w:val="003F2A7A"/>
    <w:rsid w:val="003F2B3D"/>
    <w:rsid w:val="003F2E23"/>
    <w:rsid w:val="003F2E5B"/>
    <w:rsid w:val="003F2E91"/>
    <w:rsid w:val="003F2EB4"/>
    <w:rsid w:val="003F3022"/>
    <w:rsid w:val="003F3056"/>
    <w:rsid w:val="003F320A"/>
    <w:rsid w:val="003F3266"/>
    <w:rsid w:val="003F33AA"/>
    <w:rsid w:val="003F3422"/>
    <w:rsid w:val="003F343E"/>
    <w:rsid w:val="003F379B"/>
    <w:rsid w:val="003F37E8"/>
    <w:rsid w:val="003F398F"/>
    <w:rsid w:val="003F3AA1"/>
    <w:rsid w:val="003F3C3F"/>
    <w:rsid w:val="003F3D24"/>
    <w:rsid w:val="003F3EE5"/>
    <w:rsid w:val="003F3F9C"/>
    <w:rsid w:val="003F3FAC"/>
    <w:rsid w:val="003F40BF"/>
    <w:rsid w:val="003F40C2"/>
    <w:rsid w:val="003F418B"/>
    <w:rsid w:val="003F4195"/>
    <w:rsid w:val="003F4597"/>
    <w:rsid w:val="003F47A6"/>
    <w:rsid w:val="003F47E8"/>
    <w:rsid w:val="003F4A66"/>
    <w:rsid w:val="003F4F3B"/>
    <w:rsid w:val="003F5335"/>
    <w:rsid w:val="003F53EE"/>
    <w:rsid w:val="003F59A3"/>
    <w:rsid w:val="003F59C4"/>
    <w:rsid w:val="003F5BFF"/>
    <w:rsid w:val="003F5CFC"/>
    <w:rsid w:val="003F5E84"/>
    <w:rsid w:val="003F5EBE"/>
    <w:rsid w:val="003F5EFC"/>
    <w:rsid w:val="003F5F41"/>
    <w:rsid w:val="003F5F7F"/>
    <w:rsid w:val="003F60CE"/>
    <w:rsid w:val="003F60DF"/>
    <w:rsid w:val="003F6104"/>
    <w:rsid w:val="003F63C8"/>
    <w:rsid w:val="003F6511"/>
    <w:rsid w:val="003F656B"/>
    <w:rsid w:val="003F6745"/>
    <w:rsid w:val="003F6A07"/>
    <w:rsid w:val="003F6B51"/>
    <w:rsid w:val="003F6D68"/>
    <w:rsid w:val="003F6E91"/>
    <w:rsid w:val="003F701E"/>
    <w:rsid w:val="003F707C"/>
    <w:rsid w:val="003F711F"/>
    <w:rsid w:val="003F721A"/>
    <w:rsid w:val="003F7263"/>
    <w:rsid w:val="003F72A2"/>
    <w:rsid w:val="003F7490"/>
    <w:rsid w:val="003F752D"/>
    <w:rsid w:val="003F7560"/>
    <w:rsid w:val="003F7577"/>
    <w:rsid w:val="003F7784"/>
    <w:rsid w:val="003F7966"/>
    <w:rsid w:val="003F7967"/>
    <w:rsid w:val="003F7994"/>
    <w:rsid w:val="003F7C86"/>
    <w:rsid w:val="003F7E78"/>
    <w:rsid w:val="004002A5"/>
    <w:rsid w:val="004002A7"/>
    <w:rsid w:val="004003C4"/>
    <w:rsid w:val="0040057D"/>
    <w:rsid w:val="00400637"/>
    <w:rsid w:val="00400762"/>
    <w:rsid w:val="00400921"/>
    <w:rsid w:val="00400B18"/>
    <w:rsid w:val="00400B4B"/>
    <w:rsid w:val="00400BA3"/>
    <w:rsid w:val="00400D21"/>
    <w:rsid w:val="00400E5D"/>
    <w:rsid w:val="00400FD2"/>
    <w:rsid w:val="0040115C"/>
    <w:rsid w:val="00401284"/>
    <w:rsid w:val="004012A7"/>
    <w:rsid w:val="004012D9"/>
    <w:rsid w:val="004014F7"/>
    <w:rsid w:val="00401525"/>
    <w:rsid w:val="00401782"/>
    <w:rsid w:val="00401849"/>
    <w:rsid w:val="00401B08"/>
    <w:rsid w:val="00401FF2"/>
    <w:rsid w:val="00402025"/>
    <w:rsid w:val="004023EC"/>
    <w:rsid w:val="004024D9"/>
    <w:rsid w:val="00402791"/>
    <w:rsid w:val="0040293C"/>
    <w:rsid w:val="0040297C"/>
    <w:rsid w:val="00402A7C"/>
    <w:rsid w:val="00402B2B"/>
    <w:rsid w:val="00402BA7"/>
    <w:rsid w:val="0040313C"/>
    <w:rsid w:val="00403193"/>
    <w:rsid w:val="00403194"/>
    <w:rsid w:val="00403314"/>
    <w:rsid w:val="00403802"/>
    <w:rsid w:val="00403AEC"/>
    <w:rsid w:val="00403CC5"/>
    <w:rsid w:val="00403E3A"/>
    <w:rsid w:val="004040BA"/>
    <w:rsid w:val="0040430E"/>
    <w:rsid w:val="00404453"/>
    <w:rsid w:val="00404788"/>
    <w:rsid w:val="00404D9B"/>
    <w:rsid w:val="00404E16"/>
    <w:rsid w:val="00404E2A"/>
    <w:rsid w:val="00405082"/>
    <w:rsid w:val="00405228"/>
    <w:rsid w:val="004058A4"/>
    <w:rsid w:val="004058C7"/>
    <w:rsid w:val="00405AF7"/>
    <w:rsid w:val="00405D1A"/>
    <w:rsid w:val="00405D63"/>
    <w:rsid w:val="00405E72"/>
    <w:rsid w:val="00405EB3"/>
    <w:rsid w:val="00406053"/>
    <w:rsid w:val="00406058"/>
    <w:rsid w:val="0040623A"/>
    <w:rsid w:val="004062FD"/>
    <w:rsid w:val="00406394"/>
    <w:rsid w:val="00406608"/>
    <w:rsid w:val="00406617"/>
    <w:rsid w:val="0040661E"/>
    <w:rsid w:val="004067B1"/>
    <w:rsid w:val="0040684D"/>
    <w:rsid w:val="00406AA6"/>
    <w:rsid w:val="00406BF7"/>
    <w:rsid w:val="00406C11"/>
    <w:rsid w:val="00406C7B"/>
    <w:rsid w:val="00406CEF"/>
    <w:rsid w:val="00406DDB"/>
    <w:rsid w:val="004071F2"/>
    <w:rsid w:val="00407431"/>
    <w:rsid w:val="004074E8"/>
    <w:rsid w:val="00407802"/>
    <w:rsid w:val="00407E5B"/>
    <w:rsid w:val="00407FA7"/>
    <w:rsid w:val="004103B0"/>
    <w:rsid w:val="004103CE"/>
    <w:rsid w:val="004103DA"/>
    <w:rsid w:val="00410556"/>
    <w:rsid w:val="00410810"/>
    <w:rsid w:val="00410B59"/>
    <w:rsid w:val="00410C70"/>
    <w:rsid w:val="00411092"/>
    <w:rsid w:val="0041115D"/>
    <w:rsid w:val="004113D3"/>
    <w:rsid w:val="004115E3"/>
    <w:rsid w:val="004117BF"/>
    <w:rsid w:val="004117EB"/>
    <w:rsid w:val="004119D1"/>
    <w:rsid w:val="00411BDD"/>
    <w:rsid w:val="00412110"/>
    <w:rsid w:val="004122F7"/>
    <w:rsid w:val="00412412"/>
    <w:rsid w:val="00412A4C"/>
    <w:rsid w:val="00412B61"/>
    <w:rsid w:val="00412D4B"/>
    <w:rsid w:val="00412E82"/>
    <w:rsid w:val="00412EEA"/>
    <w:rsid w:val="00412FBF"/>
    <w:rsid w:val="00413000"/>
    <w:rsid w:val="004131EC"/>
    <w:rsid w:val="0041346E"/>
    <w:rsid w:val="004135A1"/>
    <w:rsid w:val="0041365C"/>
    <w:rsid w:val="00413721"/>
    <w:rsid w:val="0041386E"/>
    <w:rsid w:val="00413A10"/>
    <w:rsid w:val="00413ABD"/>
    <w:rsid w:val="00413B28"/>
    <w:rsid w:val="00413C75"/>
    <w:rsid w:val="00413C8B"/>
    <w:rsid w:val="00413D01"/>
    <w:rsid w:val="00413DBE"/>
    <w:rsid w:val="00413EB7"/>
    <w:rsid w:val="00413F68"/>
    <w:rsid w:val="00414078"/>
    <w:rsid w:val="0041427C"/>
    <w:rsid w:val="004142FA"/>
    <w:rsid w:val="00414363"/>
    <w:rsid w:val="0041489E"/>
    <w:rsid w:val="00414996"/>
    <w:rsid w:val="00414AD0"/>
    <w:rsid w:val="00414C33"/>
    <w:rsid w:val="00414DDC"/>
    <w:rsid w:val="0041506D"/>
    <w:rsid w:val="00415150"/>
    <w:rsid w:val="004152B4"/>
    <w:rsid w:val="00415AB9"/>
    <w:rsid w:val="00415AD6"/>
    <w:rsid w:val="00416202"/>
    <w:rsid w:val="00416259"/>
    <w:rsid w:val="00416887"/>
    <w:rsid w:val="00416993"/>
    <w:rsid w:val="00416E12"/>
    <w:rsid w:val="00416E3D"/>
    <w:rsid w:val="0041707D"/>
    <w:rsid w:val="004171DF"/>
    <w:rsid w:val="00417247"/>
    <w:rsid w:val="00417315"/>
    <w:rsid w:val="00417322"/>
    <w:rsid w:val="00417415"/>
    <w:rsid w:val="004174D6"/>
    <w:rsid w:val="0041751F"/>
    <w:rsid w:val="00417535"/>
    <w:rsid w:val="004176AF"/>
    <w:rsid w:val="004176C0"/>
    <w:rsid w:val="00417798"/>
    <w:rsid w:val="0041795B"/>
    <w:rsid w:val="004179C4"/>
    <w:rsid w:val="00417A18"/>
    <w:rsid w:val="00417A5C"/>
    <w:rsid w:val="0042010C"/>
    <w:rsid w:val="004201D0"/>
    <w:rsid w:val="00420220"/>
    <w:rsid w:val="004202A8"/>
    <w:rsid w:val="00420380"/>
    <w:rsid w:val="00420561"/>
    <w:rsid w:val="00420AED"/>
    <w:rsid w:val="00420CB0"/>
    <w:rsid w:val="00420CF0"/>
    <w:rsid w:val="00420DCB"/>
    <w:rsid w:val="00420E5B"/>
    <w:rsid w:val="00420E7E"/>
    <w:rsid w:val="00420F85"/>
    <w:rsid w:val="00421329"/>
    <w:rsid w:val="00421580"/>
    <w:rsid w:val="00421619"/>
    <w:rsid w:val="00421663"/>
    <w:rsid w:val="00421886"/>
    <w:rsid w:val="00421919"/>
    <w:rsid w:val="00421C05"/>
    <w:rsid w:val="00421E68"/>
    <w:rsid w:val="004220D5"/>
    <w:rsid w:val="00422102"/>
    <w:rsid w:val="00422209"/>
    <w:rsid w:val="00422462"/>
    <w:rsid w:val="004225AE"/>
    <w:rsid w:val="004225BA"/>
    <w:rsid w:val="004225CC"/>
    <w:rsid w:val="00422661"/>
    <w:rsid w:val="00422B97"/>
    <w:rsid w:val="00422BC4"/>
    <w:rsid w:val="00422C6B"/>
    <w:rsid w:val="00423074"/>
    <w:rsid w:val="00423162"/>
    <w:rsid w:val="00423616"/>
    <w:rsid w:val="004236D9"/>
    <w:rsid w:val="004239CB"/>
    <w:rsid w:val="00423BC7"/>
    <w:rsid w:val="00423EA1"/>
    <w:rsid w:val="00423FDC"/>
    <w:rsid w:val="00423FF1"/>
    <w:rsid w:val="00424232"/>
    <w:rsid w:val="00424258"/>
    <w:rsid w:val="004242D7"/>
    <w:rsid w:val="00424490"/>
    <w:rsid w:val="00424667"/>
    <w:rsid w:val="00424700"/>
    <w:rsid w:val="004249D2"/>
    <w:rsid w:val="00424A2E"/>
    <w:rsid w:val="00424A45"/>
    <w:rsid w:val="00424A9E"/>
    <w:rsid w:val="00424CD2"/>
    <w:rsid w:val="00424E4A"/>
    <w:rsid w:val="00424E87"/>
    <w:rsid w:val="00424FC0"/>
    <w:rsid w:val="00425061"/>
    <w:rsid w:val="00425183"/>
    <w:rsid w:val="004251B4"/>
    <w:rsid w:val="0042520B"/>
    <w:rsid w:val="0042521E"/>
    <w:rsid w:val="00425293"/>
    <w:rsid w:val="004253B3"/>
    <w:rsid w:val="0042548D"/>
    <w:rsid w:val="00425787"/>
    <w:rsid w:val="004257F0"/>
    <w:rsid w:val="00425863"/>
    <w:rsid w:val="004258E6"/>
    <w:rsid w:val="004258E9"/>
    <w:rsid w:val="00425C88"/>
    <w:rsid w:val="00425CC6"/>
    <w:rsid w:val="00425DAF"/>
    <w:rsid w:val="00426097"/>
    <w:rsid w:val="0042622C"/>
    <w:rsid w:val="00426242"/>
    <w:rsid w:val="00426342"/>
    <w:rsid w:val="004263D3"/>
    <w:rsid w:val="004263FB"/>
    <w:rsid w:val="0042642E"/>
    <w:rsid w:val="00426A8A"/>
    <w:rsid w:val="00426ABB"/>
    <w:rsid w:val="00426BCB"/>
    <w:rsid w:val="00426CA3"/>
    <w:rsid w:val="00426CAE"/>
    <w:rsid w:val="00426CB4"/>
    <w:rsid w:val="00426F06"/>
    <w:rsid w:val="00426FB6"/>
    <w:rsid w:val="00426FF4"/>
    <w:rsid w:val="00427051"/>
    <w:rsid w:val="0042716C"/>
    <w:rsid w:val="004272DD"/>
    <w:rsid w:val="00427506"/>
    <w:rsid w:val="00427634"/>
    <w:rsid w:val="0042769A"/>
    <w:rsid w:val="00427739"/>
    <w:rsid w:val="00427743"/>
    <w:rsid w:val="00427881"/>
    <w:rsid w:val="004278E3"/>
    <w:rsid w:val="004279A6"/>
    <w:rsid w:val="00427BBD"/>
    <w:rsid w:val="00427D4A"/>
    <w:rsid w:val="00427DC3"/>
    <w:rsid w:val="00427E2F"/>
    <w:rsid w:val="00427E8D"/>
    <w:rsid w:val="0043017E"/>
    <w:rsid w:val="004302A3"/>
    <w:rsid w:val="00430498"/>
    <w:rsid w:val="004304F6"/>
    <w:rsid w:val="0043053D"/>
    <w:rsid w:val="00430584"/>
    <w:rsid w:val="00430823"/>
    <w:rsid w:val="00430AF0"/>
    <w:rsid w:val="00430C9C"/>
    <w:rsid w:val="00430DA0"/>
    <w:rsid w:val="00430E97"/>
    <w:rsid w:val="00430F6B"/>
    <w:rsid w:val="004310EF"/>
    <w:rsid w:val="0043124F"/>
    <w:rsid w:val="004312C9"/>
    <w:rsid w:val="004316A6"/>
    <w:rsid w:val="004316B1"/>
    <w:rsid w:val="00431731"/>
    <w:rsid w:val="00431911"/>
    <w:rsid w:val="00431A31"/>
    <w:rsid w:val="00431B7F"/>
    <w:rsid w:val="00431C2A"/>
    <w:rsid w:val="00431EF1"/>
    <w:rsid w:val="00431F46"/>
    <w:rsid w:val="00431F54"/>
    <w:rsid w:val="004321E1"/>
    <w:rsid w:val="00432391"/>
    <w:rsid w:val="00432602"/>
    <w:rsid w:val="00432B1A"/>
    <w:rsid w:val="00432CEF"/>
    <w:rsid w:val="00432E15"/>
    <w:rsid w:val="00432F90"/>
    <w:rsid w:val="004330AA"/>
    <w:rsid w:val="004334D2"/>
    <w:rsid w:val="00433A7E"/>
    <w:rsid w:val="00433BBC"/>
    <w:rsid w:val="00433DA1"/>
    <w:rsid w:val="00433DAF"/>
    <w:rsid w:val="00433E35"/>
    <w:rsid w:val="0043440C"/>
    <w:rsid w:val="004345C6"/>
    <w:rsid w:val="004346AF"/>
    <w:rsid w:val="0043476B"/>
    <w:rsid w:val="004347EA"/>
    <w:rsid w:val="004347F7"/>
    <w:rsid w:val="00434927"/>
    <w:rsid w:val="00434D11"/>
    <w:rsid w:val="00434EF6"/>
    <w:rsid w:val="0043503E"/>
    <w:rsid w:val="0043529B"/>
    <w:rsid w:val="00435320"/>
    <w:rsid w:val="0043532F"/>
    <w:rsid w:val="0043535C"/>
    <w:rsid w:val="004355EB"/>
    <w:rsid w:val="00435610"/>
    <w:rsid w:val="004358CF"/>
    <w:rsid w:val="00435A08"/>
    <w:rsid w:val="00435A09"/>
    <w:rsid w:val="00435CCF"/>
    <w:rsid w:val="00435F4E"/>
    <w:rsid w:val="00436156"/>
    <w:rsid w:val="00436418"/>
    <w:rsid w:val="004364B0"/>
    <w:rsid w:val="00436BBA"/>
    <w:rsid w:val="00436D1D"/>
    <w:rsid w:val="00436D92"/>
    <w:rsid w:val="00436FBB"/>
    <w:rsid w:val="00437166"/>
    <w:rsid w:val="0043717B"/>
    <w:rsid w:val="00437266"/>
    <w:rsid w:val="004372C2"/>
    <w:rsid w:val="004373ED"/>
    <w:rsid w:val="004374D7"/>
    <w:rsid w:val="004375B4"/>
    <w:rsid w:val="004375D3"/>
    <w:rsid w:val="004375EF"/>
    <w:rsid w:val="00437731"/>
    <w:rsid w:val="00437742"/>
    <w:rsid w:val="00437C99"/>
    <w:rsid w:val="00437E49"/>
    <w:rsid w:val="0044009B"/>
    <w:rsid w:val="004403F2"/>
    <w:rsid w:val="00440472"/>
    <w:rsid w:val="0044056B"/>
    <w:rsid w:val="0044074E"/>
    <w:rsid w:val="004407CF"/>
    <w:rsid w:val="00440855"/>
    <w:rsid w:val="00440A27"/>
    <w:rsid w:val="00440A95"/>
    <w:rsid w:val="00440E86"/>
    <w:rsid w:val="00440FEB"/>
    <w:rsid w:val="0044102B"/>
    <w:rsid w:val="004411AB"/>
    <w:rsid w:val="00441218"/>
    <w:rsid w:val="004412C4"/>
    <w:rsid w:val="004412EA"/>
    <w:rsid w:val="0044156C"/>
    <w:rsid w:val="004417B3"/>
    <w:rsid w:val="004419DF"/>
    <w:rsid w:val="00441C63"/>
    <w:rsid w:val="00441C78"/>
    <w:rsid w:val="00441D1F"/>
    <w:rsid w:val="00441E3D"/>
    <w:rsid w:val="004422E4"/>
    <w:rsid w:val="00442460"/>
    <w:rsid w:val="00442552"/>
    <w:rsid w:val="00442617"/>
    <w:rsid w:val="0044296D"/>
    <w:rsid w:val="00442CD9"/>
    <w:rsid w:val="00442EDD"/>
    <w:rsid w:val="00443160"/>
    <w:rsid w:val="00443331"/>
    <w:rsid w:val="00443787"/>
    <w:rsid w:val="00443DB0"/>
    <w:rsid w:val="00443E17"/>
    <w:rsid w:val="00443E37"/>
    <w:rsid w:val="00444071"/>
    <w:rsid w:val="00444186"/>
    <w:rsid w:val="004444B2"/>
    <w:rsid w:val="00444786"/>
    <w:rsid w:val="0044481A"/>
    <w:rsid w:val="00444BCA"/>
    <w:rsid w:val="00444E2D"/>
    <w:rsid w:val="00445073"/>
    <w:rsid w:val="0044508D"/>
    <w:rsid w:val="004456EA"/>
    <w:rsid w:val="00445784"/>
    <w:rsid w:val="00445831"/>
    <w:rsid w:val="00445883"/>
    <w:rsid w:val="00445936"/>
    <w:rsid w:val="00445ED0"/>
    <w:rsid w:val="00445F10"/>
    <w:rsid w:val="00446370"/>
    <w:rsid w:val="0044652B"/>
    <w:rsid w:val="00446571"/>
    <w:rsid w:val="004466A9"/>
    <w:rsid w:val="004469C1"/>
    <w:rsid w:val="004469FC"/>
    <w:rsid w:val="00446C15"/>
    <w:rsid w:val="00446E93"/>
    <w:rsid w:val="0044709A"/>
    <w:rsid w:val="00447276"/>
    <w:rsid w:val="004472D2"/>
    <w:rsid w:val="00447525"/>
    <w:rsid w:val="004477A4"/>
    <w:rsid w:val="004477AB"/>
    <w:rsid w:val="00447866"/>
    <w:rsid w:val="004478A8"/>
    <w:rsid w:val="00447947"/>
    <w:rsid w:val="00447A89"/>
    <w:rsid w:val="00447B7C"/>
    <w:rsid w:val="00447D8B"/>
    <w:rsid w:val="00447FBB"/>
    <w:rsid w:val="00450050"/>
    <w:rsid w:val="00450126"/>
    <w:rsid w:val="0045012F"/>
    <w:rsid w:val="00450148"/>
    <w:rsid w:val="004501A4"/>
    <w:rsid w:val="004502ED"/>
    <w:rsid w:val="004505FF"/>
    <w:rsid w:val="004506C8"/>
    <w:rsid w:val="00450760"/>
    <w:rsid w:val="00450C50"/>
    <w:rsid w:val="00450C5F"/>
    <w:rsid w:val="00451116"/>
    <w:rsid w:val="0045125F"/>
    <w:rsid w:val="00451400"/>
    <w:rsid w:val="00451526"/>
    <w:rsid w:val="00451882"/>
    <w:rsid w:val="00451956"/>
    <w:rsid w:val="00451C39"/>
    <w:rsid w:val="00451CFD"/>
    <w:rsid w:val="00451D72"/>
    <w:rsid w:val="00451D9B"/>
    <w:rsid w:val="00452083"/>
    <w:rsid w:val="0045232D"/>
    <w:rsid w:val="004523C7"/>
    <w:rsid w:val="00452404"/>
    <w:rsid w:val="004526EB"/>
    <w:rsid w:val="004527CA"/>
    <w:rsid w:val="0045306E"/>
    <w:rsid w:val="004530FD"/>
    <w:rsid w:val="0045311D"/>
    <w:rsid w:val="00453314"/>
    <w:rsid w:val="00453326"/>
    <w:rsid w:val="00453327"/>
    <w:rsid w:val="004534C4"/>
    <w:rsid w:val="004537F1"/>
    <w:rsid w:val="00453907"/>
    <w:rsid w:val="00453A0C"/>
    <w:rsid w:val="00453A0F"/>
    <w:rsid w:val="00453A5F"/>
    <w:rsid w:val="00453A81"/>
    <w:rsid w:val="00453D61"/>
    <w:rsid w:val="00453E44"/>
    <w:rsid w:val="00453F6A"/>
    <w:rsid w:val="00454092"/>
    <w:rsid w:val="00454159"/>
    <w:rsid w:val="00454399"/>
    <w:rsid w:val="004543E6"/>
    <w:rsid w:val="00454491"/>
    <w:rsid w:val="004544A2"/>
    <w:rsid w:val="004546D2"/>
    <w:rsid w:val="0045472A"/>
    <w:rsid w:val="004548CD"/>
    <w:rsid w:val="004548F3"/>
    <w:rsid w:val="004549AC"/>
    <w:rsid w:val="00454B61"/>
    <w:rsid w:val="00454CEC"/>
    <w:rsid w:val="00454D58"/>
    <w:rsid w:val="00454DB5"/>
    <w:rsid w:val="00454E1E"/>
    <w:rsid w:val="004558E5"/>
    <w:rsid w:val="00455977"/>
    <w:rsid w:val="004559BD"/>
    <w:rsid w:val="004559D8"/>
    <w:rsid w:val="00455A18"/>
    <w:rsid w:val="00455D6D"/>
    <w:rsid w:val="00455E1F"/>
    <w:rsid w:val="00456115"/>
    <w:rsid w:val="00456156"/>
    <w:rsid w:val="004562B6"/>
    <w:rsid w:val="004565BF"/>
    <w:rsid w:val="004565CF"/>
    <w:rsid w:val="0045676A"/>
    <w:rsid w:val="00456918"/>
    <w:rsid w:val="0045694A"/>
    <w:rsid w:val="00456A45"/>
    <w:rsid w:val="00456A62"/>
    <w:rsid w:val="00456BCB"/>
    <w:rsid w:val="00457183"/>
    <w:rsid w:val="00457264"/>
    <w:rsid w:val="00457294"/>
    <w:rsid w:val="00457587"/>
    <w:rsid w:val="004575FF"/>
    <w:rsid w:val="00457630"/>
    <w:rsid w:val="00457664"/>
    <w:rsid w:val="00457826"/>
    <w:rsid w:val="00457BBF"/>
    <w:rsid w:val="00457FAC"/>
    <w:rsid w:val="004603ED"/>
    <w:rsid w:val="004603F0"/>
    <w:rsid w:val="0046075B"/>
    <w:rsid w:val="00460D28"/>
    <w:rsid w:val="0046104F"/>
    <w:rsid w:val="004613F2"/>
    <w:rsid w:val="00461423"/>
    <w:rsid w:val="004616D2"/>
    <w:rsid w:val="0046180C"/>
    <w:rsid w:val="00461844"/>
    <w:rsid w:val="00461A88"/>
    <w:rsid w:val="00461BEC"/>
    <w:rsid w:val="00461FA3"/>
    <w:rsid w:val="004620A3"/>
    <w:rsid w:val="004620A5"/>
    <w:rsid w:val="004622A6"/>
    <w:rsid w:val="00462372"/>
    <w:rsid w:val="00462596"/>
    <w:rsid w:val="00462920"/>
    <w:rsid w:val="004629CA"/>
    <w:rsid w:val="00462A1B"/>
    <w:rsid w:val="00462B1C"/>
    <w:rsid w:val="00462EBC"/>
    <w:rsid w:val="00463032"/>
    <w:rsid w:val="0046304B"/>
    <w:rsid w:val="004633A9"/>
    <w:rsid w:val="00463522"/>
    <w:rsid w:val="0046359A"/>
    <w:rsid w:val="0046364C"/>
    <w:rsid w:val="004636C9"/>
    <w:rsid w:val="004639DA"/>
    <w:rsid w:val="00463A4D"/>
    <w:rsid w:val="00463AD9"/>
    <w:rsid w:val="0046400D"/>
    <w:rsid w:val="00464350"/>
    <w:rsid w:val="004643F3"/>
    <w:rsid w:val="004643F4"/>
    <w:rsid w:val="0046470B"/>
    <w:rsid w:val="00464900"/>
    <w:rsid w:val="00464999"/>
    <w:rsid w:val="00464CB5"/>
    <w:rsid w:val="00464E14"/>
    <w:rsid w:val="00464F58"/>
    <w:rsid w:val="00464FCB"/>
    <w:rsid w:val="00465035"/>
    <w:rsid w:val="004650CC"/>
    <w:rsid w:val="00465193"/>
    <w:rsid w:val="004651A3"/>
    <w:rsid w:val="00465207"/>
    <w:rsid w:val="0046524C"/>
    <w:rsid w:val="004652BE"/>
    <w:rsid w:val="0046552C"/>
    <w:rsid w:val="004655D4"/>
    <w:rsid w:val="0046576A"/>
    <w:rsid w:val="004658A6"/>
    <w:rsid w:val="00465B1E"/>
    <w:rsid w:val="00465EC8"/>
    <w:rsid w:val="00465FAD"/>
    <w:rsid w:val="00466000"/>
    <w:rsid w:val="004660A3"/>
    <w:rsid w:val="00466251"/>
    <w:rsid w:val="00466256"/>
    <w:rsid w:val="004664AE"/>
    <w:rsid w:val="004665A1"/>
    <w:rsid w:val="0046663D"/>
    <w:rsid w:val="00466654"/>
    <w:rsid w:val="0046665A"/>
    <w:rsid w:val="004666C9"/>
    <w:rsid w:val="00466765"/>
    <w:rsid w:val="0046694F"/>
    <w:rsid w:val="00466956"/>
    <w:rsid w:val="00466B32"/>
    <w:rsid w:val="00466DDF"/>
    <w:rsid w:val="00466E0A"/>
    <w:rsid w:val="004675E9"/>
    <w:rsid w:val="00467758"/>
    <w:rsid w:val="00467840"/>
    <w:rsid w:val="004678FF"/>
    <w:rsid w:val="00467904"/>
    <w:rsid w:val="00467B08"/>
    <w:rsid w:val="00467BB8"/>
    <w:rsid w:val="00467D49"/>
    <w:rsid w:val="00467D4A"/>
    <w:rsid w:val="004701B1"/>
    <w:rsid w:val="00470225"/>
    <w:rsid w:val="0047026A"/>
    <w:rsid w:val="004702F5"/>
    <w:rsid w:val="00470327"/>
    <w:rsid w:val="00470600"/>
    <w:rsid w:val="00470626"/>
    <w:rsid w:val="0047073B"/>
    <w:rsid w:val="004709EB"/>
    <w:rsid w:val="00470AE2"/>
    <w:rsid w:val="00470BF7"/>
    <w:rsid w:val="00470CF7"/>
    <w:rsid w:val="00470D02"/>
    <w:rsid w:val="00470EF6"/>
    <w:rsid w:val="0047117D"/>
    <w:rsid w:val="00471208"/>
    <w:rsid w:val="004712D0"/>
    <w:rsid w:val="00471369"/>
    <w:rsid w:val="0047145D"/>
    <w:rsid w:val="0047154F"/>
    <w:rsid w:val="004716A8"/>
    <w:rsid w:val="00471A18"/>
    <w:rsid w:val="00471C2B"/>
    <w:rsid w:val="00471DFE"/>
    <w:rsid w:val="00471FB5"/>
    <w:rsid w:val="00472037"/>
    <w:rsid w:val="004720DA"/>
    <w:rsid w:val="0047226B"/>
    <w:rsid w:val="00472414"/>
    <w:rsid w:val="0047241D"/>
    <w:rsid w:val="004724D4"/>
    <w:rsid w:val="00472D06"/>
    <w:rsid w:val="00472D33"/>
    <w:rsid w:val="00473427"/>
    <w:rsid w:val="00473489"/>
    <w:rsid w:val="004735FA"/>
    <w:rsid w:val="00473738"/>
    <w:rsid w:val="00473A04"/>
    <w:rsid w:val="00473BFF"/>
    <w:rsid w:val="00473C1B"/>
    <w:rsid w:val="00473DAD"/>
    <w:rsid w:val="00473FE0"/>
    <w:rsid w:val="00473FFE"/>
    <w:rsid w:val="00474011"/>
    <w:rsid w:val="004742F1"/>
    <w:rsid w:val="0047458B"/>
    <w:rsid w:val="0047458F"/>
    <w:rsid w:val="0047459D"/>
    <w:rsid w:val="00474778"/>
    <w:rsid w:val="00474793"/>
    <w:rsid w:val="004747A1"/>
    <w:rsid w:val="00474881"/>
    <w:rsid w:val="004749A1"/>
    <w:rsid w:val="00474C28"/>
    <w:rsid w:val="00474CB5"/>
    <w:rsid w:val="00474E4D"/>
    <w:rsid w:val="00474E87"/>
    <w:rsid w:val="00474EBC"/>
    <w:rsid w:val="00475157"/>
    <w:rsid w:val="004751DC"/>
    <w:rsid w:val="00475403"/>
    <w:rsid w:val="0047564E"/>
    <w:rsid w:val="004758E9"/>
    <w:rsid w:val="00475A09"/>
    <w:rsid w:val="00475ABD"/>
    <w:rsid w:val="00475AF1"/>
    <w:rsid w:val="00475BA1"/>
    <w:rsid w:val="00475D8C"/>
    <w:rsid w:val="00475EFE"/>
    <w:rsid w:val="00475F38"/>
    <w:rsid w:val="00475FE0"/>
    <w:rsid w:val="0047620E"/>
    <w:rsid w:val="0047622F"/>
    <w:rsid w:val="0047640B"/>
    <w:rsid w:val="004766BA"/>
    <w:rsid w:val="004768AC"/>
    <w:rsid w:val="004769FC"/>
    <w:rsid w:val="00476A7F"/>
    <w:rsid w:val="00476AAD"/>
    <w:rsid w:val="00476CFF"/>
    <w:rsid w:val="00477081"/>
    <w:rsid w:val="00477505"/>
    <w:rsid w:val="004775DE"/>
    <w:rsid w:val="00477731"/>
    <w:rsid w:val="00477A6E"/>
    <w:rsid w:val="00477B9C"/>
    <w:rsid w:val="00477CB4"/>
    <w:rsid w:val="00480296"/>
    <w:rsid w:val="004802DF"/>
    <w:rsid w:val="004802FC"/>
    <w:rsid w:val="0048043B"/>
    <w:rsid w:val="00480572"/>
    <w:rsid w:val="004806A0"/>
    <w:rsid w:val="004807A1"/>
    <w:rsid w:val="004807A7"/>
    <w:rsid w:val="00480A29"/>
    <w:rsid w:val="00480B6E"/>
    <w:rsid w:val="00480C72"/>
    <w:rsid w:val="00480DEF"/>
    <w:rsid w:val="00480EFC"/>
    <w:rsid w:val="00481090"/>
    <w:rsid w:val="004811C1"/>
    <w:rsid w:val="00481501"/>
    <w:rsid w:val="00481725"/>
    <w:rsid w:val="004817C9"/>
    <w:rsid w:val="00481B77"/>
    <w:rsid w:val="00481BDE"/>
    <w:rsid w:val="00481D2D"/>
    <w:rsid w:val="00481D6E"/>
    <w:rsid w:val="00481E35"/>
    <w:rsid w:val="0048220D"/>
    <w:rsid w:val="00482351"/>
    <w:rsid w:val="00482458"/>
    <w:rsid w:val="00482496"/>
    <w:rsid w:val="004826F7"/>
    <w:rsid w:val="00482984"/>
    <w:rsid w:val="00482AF3"/>
    <w:rsid w:val="00482BD8"/>
    <w:rsid w:val="00482D56"/>
    <w:rsid w:val="00482F7D"/>
    <w:rsid w:val="00483005"/>
    <w:rsid w:val="0048314F"/>
    <w:rsid w:val="004833F7"/>
    <w:rsid w:val="004834D0"/>
    <w:rsid w:val="0048361E"/>
    <w:rsid w:val="00483721"/>
    <w:rsid w:val="00483748"/>
    <w:rsid w:val="004839AE"/>
    <w:rsid w:val="00483D87"/>
    <w:rsid w:val="00483DCB"/>
    <w:rsid w:val="00483F1C"/>
    <w:rsid w:val="00484015"/>
    <w:rsid w:val="00484026"/>
    <w:rsid w:val="004840B0"/>
    <w:rsid w:val="004844D1"/>
    <w:rsid w:val="004846D4"/>
    <w:rsid w:val="00484ADF"/>
    <w:rsid w:val="00484F5F"/>
    <w:rsid w:val="0048500D"/>
    <w:rsid w:val="004850BC"/>
    <w:rsid w:val="004850BE"/>
    <w:rsid w:val="0048521B"/>
    <w:rsid w:val="00485522"/>
    <w:rsid w:val="00485637"/>
    <w:rsid w:val="00485CD9"/>
    <w:rsid w:val="00485CF1"/>
    <w:rsid w:val="00485E12"/>
    <w:rsid w:val="00485EF7"/>
    <w:rsid w:val="00485F82"/>
    <w:rsid w:val="00485F9B"/>
    <w:rsid w:val="004863A0"/>
    <w:rsid w:val="0048655D"/>
    <w:rsid w:val="00486789"/>
    <w:rsid w:val="004867F0"/>
    <w:rsid w:val="004868A5"/>
    <w:rsid w:val="00486A30"/>
    <w:rsid w:val="00486B50"/>
    <w:rsid w:val="00486D92"/>
    <w:rsid w:val="00486DDC"/>
    <w:rsid w:val="00486E2C"/>
    <w:rsid w:val="00486EAD"/>
    <w:rsid w:val="00486ED9"/>
    <w:rsid w:val="00486F84"/>
    <w:rsid w:val="00487092"/>
    <w:rsid w:val="0048711A"/>
    <w:rsid w:val="00487141"/>
    <w:rsid w:val="004871C2"/>
    <w:rsid w:val="00487253"/>
    <w:rsid w:val="00487462"/>
    <w:rsid w:val="00487480"/>
    <w:rsid w:val="00487A21"/>
    <w:rsid w:val="00487AA2"/>
    <w:rsid w:val="00487D14"/>
    <w:rsid w:val="00487F4D"/>
    <w:rsid w:val="004900B8"/>
    <w:rsid w:val="00490136"/>
    <w:rsid w:val="004901DC"/>
    <w:rsid w:val="00490380"/>
    <w:rsid w:val="00490591"/>
    <w:rsid w:val="00490AA8"/>
    <w:rsid w:val="00490D32"/>
    <w:rsid w:val="0049108C"/>
    <w:rsid w:val="0049117B"/>
    <w:rsid w:val="004911A3"/>
    <w:rsid w:val="004911DF"/>
    <w:rsid w:val="004919C8"/>
    <w:rsid w:val="00491A43"/>
    <w:rsid w:val="00491B10"/>
    <w:rsid w:val="00491DA7"/>
    <w:rsid w:val="00491ECD"/>
    <w:rsid w:val="0049215F"/>
    <w:rsid w:val="00492257"/>
    <w:rsid w:val="004925DD"/>
    <w:rsid w:val="004926E1"/>
    <w:rsid w:val="0049278E"/>
    <w:rsid w:val="00492B2D"/>
    <w:rsid w:val="00492EE9"/>
    <w:rsid w:val="00492EFA"/>
    <w:rsid w:val="00493220"/>
    <w:rsid w:val="00493629"/>
    <w:rsid w:val="00493884"/>
    <w:rsid w:val="0049393B"/>
    <w:rsid w:val="00493D3C"/>
    <w:rsid w:val="00493E0E"/>
    <w:rsid w:val="004948BE"/>
    <w:rsid w:val="00494A84"/>
    <w:rsid w:val="00494BAC"/>
    <w:rsid w:val="00494BFE"/>
    <w:rsid w:val="0049500B"/>
    <w:rsid w:val="004954B6"/>
    <w:rsid w:val="00495619"/>
    <w:rsid w:val="00495676"/>
    <w:rsid w:val="00495687"/>
    <w:rsid w:val="004956B9"/>
    <w:rsid w:val="004956D2"/>
    <w:rsid w:val="00495B27"/>
    <w:rsid w:val="00495B44"/>
    <w:rsid w:val="00495C41"/>
    <w:rsid w:val="00495DCA"/>
    <w:rsid w:val="00495F72"/>
    <w:rsid w:val="00496070"/>
    <w:rsid w:val="004960A6"/>
    <w:rsid w:val="0049611B"/>
    <w:rsid w:val="00496135"/>
    <w:rsid w:val="004961CB"/>
    <w:rsid w:val="004962C5"/>
    <w:rsid w:val="004962F2"/>
    <w:rsid w:val="00496377"/>
    <w:rsid w:val="00496508"/>
    <w:rsid w:val="00496546"/>
    <w:rsid w:val="00496594"/>
    <w:rsid w:val="00496943"/>
    <w:rsid w:val="004969D4"/>
    <w:rsid w:val="00496A33"/>
    <w:rsid w:val="00496B7D"/>
    <w:rsid w:val="00496CB9"/>
    <w:rsid w:val="00497075"/>
    <w:rsid w:val="00497206"/>
    <w:rsid w:val="00497239"/>
    <w:rsid w:val="004972B2"/>
    <w:rsid w:val="00497383"/>
    <w:rsid w:val="00497448"/>
    <w:rsid w:val="00497967"/>
    <w:rsid w:val="0049797A"/>
    <w:rsid w:val="00497AA2"/>
    <w:rsid w:val="004A0056"/>
    <w:rsid w:val="004A00AE"/>
    <w:rsid w:val="004A00FB"/>
    <w:rsid w:val="004A01DF"/>
    <w:rsid w:val="004A055B"/>
    <w:rsid w:val="004A06F2"/>
    <w:rsid w:val="004A08D4"/>
    <w:rsid w:val="004A0A7C"/>
    <w:rsid w:val="004A0B1F"/>
    <w:rsid w:val="004A0B23"/>
    <w:rsid w:val="004A0BE7"/>
    <w:rsid w:val="004A0CD2"/>
    <w:rsid w:val="004A12CD"/>
    <w:rsid w:val="004A14D4"/>
    <w:rsid w:val="004A1585"/>
    <w:rsid w:val="004A15D4"/>
    <w:rsid w:val="004A160F"/>
    <w:rsid w:val="004A17AE"/>
    <w:rsid w:val="004A1826"/>
    <w:rsid w:val="004A1835"/>
    <w:rsid w:val="004A1AA0"/>
    <w:rsid w:val="004A1DF7"/>
    <w:rsid w:val="004A1EC7"/>
    <w:rsid w:val="004A1F9B"/>
    <w:rsid w:val="004A24D9"/>
    <w:rsid w:val="004A2729"/>
    <w:rsid w:val="004A2A32"/>
    <w:rsid w:val="004A2BD5"/>
    <w:rsid w:val="004A2E32"/>
    <w:rsid w:val="004A31F2"/>
    <w:rsid w:val="004A3410"/>
    <w:rsid w:val="004A34EC"/>
    <w:rsid w:val="004A356C"/>
    <w:rsid w:val="004A3658"/>
    <w:rsid w:val="004A365E"/>
    <w:rsid w:val="004A3A8A"/>
    <w:rsid w:val="004A3B44"/>
    <w:rsid w:val="004A3BD6"/>
    <w:rsid w:val="004A3C24"/>
    <w:rsid w:val="004A3EA5"/>
    <w:rsid w:val="004A3F8A"/>
    <w:rsid w:val="004A40CC"/>
    <w:rsid w:val="004A4131"/>
    <w:rsid w:val="004A424B"/>
    <w:rsid w:val="004A4525"/>
    <w:rsid w:val="004A45F6"/>
    <w:rsid w:val="004A49E8"/>
    <w:rsid w:val="004A4D99"/>
    <w:rsid w:val="004A5435"/>
    <w:rsid w:val="004A5474"/>
    <w:rsid w:val="004A5539"/>
    <w:rsid w:val="004A561A"/>
    <w:rsid w:val="004A57CD"/>
    <w:rsid w:val="004A5ACC"/>
    <w:rsid w:val="004A5D0F"/>
    <w:rsid w:val="004A669D"/>
    <w:rsid w:val="004A6836"/>
    <w:rsid w:val="004A6E0C"/>
    <w:rsid w:val="004A6F46"/>
    <w:rsid w:val="004A70AF"/>
    <w:rsid w:val="004A7244"/>
    <w:rsid w:val="004A724C"/>
    <w:rsid w:val="004A74A5"/>
    <w:rsid w:val="004A757F"/>
    <w:rsid w:val="004A75FE"/>
    <w:rsid w:val="004A7759"/>
    <w:rsid w:val="004A7C16"/>
    <w:rsid w:val="004A7D75"/>
    <w:rsid w:val="004A7E99"/>
    <w:rsid w:val="004A7F0C"/>
    <w:rsid w:val="004A7F42"/>
    <w:rsid w:val="004A7F79"/>
    <w:rsid w:val="004B001C"/>
    <w:rsid w:val="004B01A4"/>
    <w:rsid w:val="004B01C4"/>
    <w:rsid w:val="004B0233"/>
    <w:rsid w:val="004B0318"/>
    <w:rsid w:val="004B087C"/>
    <w:rsid w:val="004B091F"/>
    <w:rsid w:val="004B0A3E"/>
    <w:rsid w:val="004B0A70"/>
    <w:rsid w:val="004B0B40"/>
    <w:rsid w:val="004B0C77"/>
    <w:rsid w:val="004B0DF0"/>
    <w:rsid w:val="004B0FC9"/>
    <w:rsid w:val="004B106B"/>
    <w:rsid w:val="004B13DC"/>
    <w:rsid w:val="004B15B6"/>
    <w:rsid w:val="004B199A"/>
    <w:rsid w:val="004B1D5E"/>
    <w:rsid w:val="004B1EE1"/>
    <w:rsid w:val="004B21A5"/>
    <w:rsid w:val="004B224B"/>
    <w:rsid w:val="004B22A6"/>
    <w:rsid w:val="004B2373"/>
    <w:rsid w:val="004B2419"/>
    <w:rsid w:val="004B27D2"/>
    <w:rsid w:val="004B2991"/>
    <w:rsid w:val="004B29AC"/>
    <w:rsid w:val="004B2A36"/>
    <w:rsid w:val="004B2CE0"/>
    <w:rsid w:val="004B2E0E"/>
    <w:rsid w:val="004B2E13"/>
    <w:rsid w:val="004B2EA8"/>
    <w:rsid w:val="004B3099"/>
    <w:rsid w:val="004B346F"/>
    <w:rsid w:val="004B3AF6"/>
    <w:rsid w:val="004B3E5C"/>
    <w:rsid w:val="004B3F8C"/>
    <w:rsid w:val="004B40E7"/>
    <w:rsid w:val="004B4214"/>
    <w:rsid w:val="004B42FF"/>
    <w:rsid w:val="004B436E"/>
    <w:rsid w:val="004B4671"/>
    <w:rsid w:val="004B471D"/>
    <w:rsid w:val="004B4D37"/>
    <w:rsid w:val="004B4DB3"/>
    <w:rsid w:val="004B5056"/>
    <w:rsid w:val="004B5146"/>
    <w:rsid w:val="004B5356"/>
    <w:rsid w:val="004B568D"/>
    <w:rsid w:val="004B56C6"/>
    <w:rsid w:val="004B57BD"/>
    <w:rsid w:val="004B58E9"/>
    <w:rsid w:val="004B5976"/>
    <w:rsid w:val="004B5987"/>
    <w:rsid w:val="004B59C5"/>
    <w:rsid w:val="004B5A41"/>
    <w:rsid w:val="004B5A69"/>
    <w:rsid w:val="004B5B03"/>
    <w:rsid w:val="004B5C60"/>
    <w:rsid w:val="004B5E5B"/>
    <w:rsid w:val="004B5F6C"/>
    <w:rsid w:val="004B5F76"/>
    <w:rsid w:val="004B6096"/>
    <w:rsid w:val="004B611A"/>
    <w:rsid w:val="004B6385"/>
    <w:rsid w:val="004B638C"/>
    <w:rsid w:val="004B63C8"/>
    <w:rsid w:val="004B6844"/>
    <w:rsid w:val="004B6930"/>
    <w:rsid w:val="004B69C4"/>
    <w:rsid w:val="004B6B48"/>
    <w:rsid w:val="004B6C76"/>
    <w:rsid w:val="004B6D07"/>
    <w:rsid w:val="004B6E23"/>
    <w:rsid w:val="004B6F0C"/>
    <w:rsid w:val="004B6F3A"/>
    <w:rsid w:val="004B7074"/>
    <w:rsid w:val="004B737B"/>
    <w:rsid w:val="004B7BA5"/>
    <w:rsid w:val="004B7D82"/>
    <w:rsid w:val="004C00C9"/>
    <w:rsid w:val="004C0260"/>
    <w:rsid w:val="004C035F"/>
    <w:rsid w:val="004C06E6"/>
    <w:rsid w:val="004C096F"/>
    <w:rsid w:val="004C0A2D"/>
    <w:rsid w:val="004C0C76"/>
    <w:rsid w:val="004C0EC9"/>
    <w:rsid w:val="004C0F80"/>
    <w:rsid w:val="004C0F98"/>
    <w:rsid w:val="004C0FD3"/>
    <w:rsid w:val="004C11CC"/>
    <w:rsid w:val="004C11D0"/>
    <w:rsid w:val="004C1244"/>
    <w:rsid w:val="004C142F"/>
    <w:rsid w:val="004C1682"/>
    <w:rsid w:val="004C1BB3"/>
    <w:rsid w:val="004C1C19"/>
    <w:rsid w:val="004C1E29"/>
    <w:rsid w:val="004C1F6F"/>
    <w:rsid w:val="004C2065"/>
    <w:rsid w:val="004C23F1"/>
    <w:rsid w:val="004C2406"/>
    <w:rsid w:val="004C2800"/>
    <w:rsid w:val="004C28C2"/>
    <w:rsid w:val="004C2ACE"/>
    <w:rsid w:val="004C2E33"/>
    <w:rsid w:val="004C30C6"/>
    <w:rsid w:val="004C326A"/>
    <w:rsid w:val="004C33C1"/>
    <w:rsid w:val="004C356A"/>
    <w:rsid w:val="004C3793"/>
    <w:rsid w:val="004C3991"/>
    <w:rsid w:val="004C39DB"/>
    <w:rsid w:val="004C3A7B"/>
    <w:rsid w:val="004C3CFA"/>
    <w:rsid w:val="004C3EF3"/>
    <w:rsid w:val="004C41E5"/>
    <w:rsid w:val="004C44EB"/>
    <w:rsid w:val="004C4529"/>
    <w:rsid w:val="004C45E1"/>
    <w:rsid w:val="004C4913"/>
    <w:rsid w:val="004C494D"/>
    <w:rsid w:val="004C4A3F"/>
    <w:rsid w:val="004C4B06"/>
    <w:rsid w:val="004C4CC0"/>
    <w:rsid w:val="004C4CC6"/>
    <w:rsid w:val="004C4EE5"/>
    <w:rsid w:val="004C5053"/>
    <w:rsid w:val="004C5126"/>
    <w:rsid w:val="004C5774"/>
    <w:rsid w:val="004C583E"/>
    <w:rsid w:val="004C5884"/>
    <w:rsid w:val="004C5966"/>
    <w:rsid w:val="004C5CC8"/>
    <w:rsid w:val="004C5E56"/>
    <w:rsid w:val="004C60E7"/>
    <w:rsid w:val="004C60FB"/>
    <w:rsid w:val="004C6775"/>
    <w:rsid w:val="004C695F"/>
    <w:rsid w:val="004C696E"/>
    <w:rsid w:val="004C6AA2"/>
    <w:rsid w:val="004C6C0B"/>
    <w:rsid w:val="004C7250"/>
    <w:rsid w:val="004C7671"/>
    <w:rsid w:val="004C77DF"/>
    <w:rsid w:val="004C7A5A"/>
    <w:rsid w:val="004C7D93"/>
    <w:rsid w:val="004D0211"/>
    <w:rsid w:val="004D02FB"/>
    <w:rsid w:val="004D0390"/>
    <w:rsid w:val="004D03BE"/>
    <w:rsid w:val="004D0434"/>
    <w:rsid w:val="004D0545"/>
    <w:rsid w:val="004D075F"/>
    <w:rsid w:val="004D081E"/>
    <w:rsid w:val="004D088B"/>
    <w:rsid w:val="004D0A82"/>
    <w:rsid w:val="004D0CC1"/>
    <w:rsid w:val="004D13C0"/>
    <w:rsid w:val="004D14B6"/>
    <w:rsid w:val="004D175C"/>
    <w:rsid w:val="004D184D"/>
    <w:rsid w:val="004D186E"/>
    <w:rsid w:val="004D19EE"/>
    <w:rsid w:val="004D1CB0"/>
    <w:rsid w:val="004D1D7B"/>
    <w:rsid w:val="004D1F7D"/>
    <w:rsid w:val="004D2131"/>
    <w:rsid w:val="004D2240"/>
    <w:rsid w:val="004D26EE"/>
    <w:rsid w:val="004D279F"/>
    <w:rsid w:val="004D2897"/>
    <w:rsid w:val="004D28AC"/>
    <w:rsid w:val="004D28DA"/>
    <w:rsid w:val="004D2BED"/>
    <w:rsid w:val="004D2CEE"/>
    <w:rsid w:val="004D2D2A"/>
    <w:rsid w:val="004D3344"/>
    <w:rsid w:val="004D335E"/>
    <w:rsid w:val="004D359C"/>
    <w:rsid w:val="004D35DA"/>
    <w:rsid w:val="004D364B"/>
    <w:rsid w:val="004D37CD"/>
    <w:rsid w:val="004D3CA8"/>
    <w:rsid w:val="004D3EC3"/>
    <w:rsid w:val="004D3FFC"/>
    <w:rsid w:val="004D40E0"/>
    <w:rsid w:val="004D44E4"/>
    <w:rsid w:val="004D45FC"/>
    <w:rsid w:val="004D495B"/>
    <w:rsid w:val="004D497A"/>
    <w:rsid w:val="004D4AC4"/>
    <w:rsid w:val="004D4D02"/>
    <w:rsid w:val="004D4F42"/>
    <w:rsid w:val="004D4F51"/>
    <w:rsid w:val="004D4FD1"/>
    <w:rsid w:val="004D532B"/>
    <w:rsid w:val="004D551F"/>
    <w:rsid w:val="004D574F"/>
    <w:rsid w:val="004D5898"/>
    <w:rsid w:val="004D5917"/>
    <w:rsid w:val="004D5AEC"/>
    <w:rsid w:val="004D5D57"/>
    <w:rsid w:val="004D61B0"/>
    <w:rsid w:val="004D61C3"/>
    <w:rsid w:val="004D62F6"/>
    <w:rsid w:val="004D6420"/>
    <w:rsid w:val="004D6731"/>
    <w:rsid w:val="004D6777"/>
    <w:rsid w:val="004D6858"/>
    <w:rsid w:val="004D68B2"/>
    <w:rsid w:val="004D6BDD"/>
    <w:rsid w:val="004D6E1E"/>
    <w:rsid w:val="004D7041"/>
    <w:rsid w:val="004D70E6"/>
    <w:rsid w:val="004D7369"/>
    <w:rsid w:val="004D73E0"/>
    <w:rsid w:val="004D778C"/>
    <w:rsid w:val="004D78CA"/>
    <w:rsid w:val="004D78D4"/>
    <w:rsid w:val="004D7AFF"/>
    <w:rsid w:val="004D7CE8"/>
    <w:rsid w:val="004D7FE3"/>
    <w:rsid w:val="004E002F"/>
    <w:rsid w:val="004E0073"/>
    <w:rsid w:val="004E01B6"/>
    <w:rsid w:val="004E0217"/>
    <w:rsid w:val="004E025A"/>
    <w:rsid w:val="004E029D"/>
    <w:rsid w:val="004E06C0"/>
    <w:rsid w:val="004E07F7"/>
    <w:rsid w:val="004E0A8F"/>
    <w:rsid w:val="004E0C4A"/>
    <w:rsid w:val="004E0DE3"/>
    <w:rsid w:val="004E0E11"/>
    <w:rsid w:val="004E0F62"/>
    <w:rsid w:val="004E0FAA"/>
    <w:rsid w:val="004E0FF8"/>
    <w:rsid w:val="004E0FFB"/>
    <w:rsid w:val="004E11AF"/>
    <w:rsid w:val="004E11EE"/>
    <w:rsid w:val="004E1323"/>
    <w:rsid w:val="004E1B40"/>
    <w:rsid w:val="004E1C64"/>
    <w:rsid w:val="004E1CCF"/>
    <w:rsid w:val="004E2027"/>
    <w:rsid w:val="004E20BE"/>
    <w:rsid w:val="004E21D4"/>
    <w:rsid w:val="004E21D5"/>
    <w:rsid w:val="004E2231"/>
    <w:rsid w:val="004E22E4"/>
    <w:rsid w:val="004E23D4"/>
    <w:rsid w:val="004E2433"/>
    <w:rsid w:val="004E265C"/>
    <w:rsid w:val="004E31C6"/>
    <w:rsid w:val="004E33FD"/>
    <w:rsid w:val="004E3718"/>
    <w:rsid w:val="004E3C8E"/>
    <w:rsid w:val="004E4016"/>
    <w:rsid w:val="004E457C"/>
    <w:rsid w:val="004E4623"/>
    <w:rsid w:val="004E465E"/>
    <w:rsid w:val="004E4784"/>
    <w:rsid w:val="004E483F"/>
    <w:rsid w:val="004E4A92"/>
    <w:rsid w:val="004E4AC6"/>
    <w:rsid w:val="004E4B95"/>
    <w:rsid w:val="004E4C10"/>
    <w:rsid w:val="004E4DC8"/>
    <w:rsid w:val="004E4FFD"/>
    <w:rsid w:val="004E547E"/>
    <w:rsid w:val="004E5613"/>
    <w:rsid w:val="004E568C"/>
    <w:rsid w:val="004E5762"/>
    <w:rsid w:val="004E5CC5"/>
    <w:rsid w:val="004E5F38"/>
    <w:rsid w:val="004E6172"/>
    <w:rsid w:val="004E66C8"/>
    <w:rsid w:val="004E66F0"/>
    <w:rsid w:val="004E677D"/>
    <w:rsid w:val="004E6885"/>
    <w:rsid w:val="004E6D8C"/>
    <w:rsid w:val="004E6DA6"/>
    <w:rsid w:val="004E6E25"/>
    <w:rsid w:val="004E6E94"/>
    <w:rsid w:val="004E7478"/>
    <w:rsid w:val="004E74C5"/>
    <w:rsid w:val="004E7643"/>
    <w:rsid w:val="004E777A"/>
    <w:rsid w:val="004E7AF0"/>
    <w:rsid w:val="004E7D72"/>
    <w:rsid w:val="004F0019"/>
    <w:rsid w:val="004F014D"/>
    <w:rsid w:val="004F01A8"/>
    <w:rsid w:val="004F0464"/>
    <w:rsid w:val="004F0467"/>
    <w:rsid w:val="004F05EF"/>
    <w:rsid w:val="004F083C"/>
    <w:rsid w:val="004F08AA"/>
    <w:rsid w:val="004F0B99"/>
    <w:rsid w:val="004F0D1C"/>
    <w:rsid w:val="004F0D94"/>
    <w:rsid w:val="004F0DAB"/>
    <w:rsid w:val="004F0E13"/>
    <w:rsid w:val="004F0EAB"/>
    <w:rsid w:val="004F0F8A"/>
    <w:rsid w:val="004F1269"/>
    <w:rsid w:val="004F1297"/>
    <w:rsid w:val="004F13BC"/>
    <w:rsid w:val="004F13CE"/>
    <w:rsid w:val="004F14B6"/>
    <w:rsid w:val="004F15C0"/>
    <w:rsid w:val="004F1664"/>
    <w:rsid w:val="004F16FE"/>
    <w:rsid w:val="004F186E"/>
    <w:rsid w:val="004F1BFD"/>
    <w:rsid w:val="004F1E16"/>
    <w:rsid w:val="004F2248"/>
    <w:rsid w:val="004F23C4"/>
    <w:rsid w:val="004F2FEB"/>
    <w:rsid w:val="004F320B"/>
    <w:rsid w:val="004F3B17"/>
    <w:rsid w:val="004F3BC1"/>
    <w:rsid w:val="004F40F6"/>
    <w:rsid w:val="004F41FE"/>
    <w:rsid w:val="004F43A9"/>
    <w:rsid w:val="004F44C3"/>
    <w:rsid w:val="004F46AA"/>
    <w:rsid w:val="004F4868"/>
    <w:rsid w:val="004F4897"/>
    <w:rsid w:val="004F4CA3"/>
    <w:rsid w:val="004F4D5C"/>
    <w:rsid w:val="004F514B"/>
    <w:rsid w:val="004F515E"/>
    <w:rsid w:val="004F52C7"/>
    <w:rsid w:val="004F55FB"/>
    <w:rsid w:val="004F571C"/>
    <w:rsid w:val="004F5B4B"/>
    <w:rsid w:val="004F5D5B"/>
    <w:rsid w:val="004F5E38"/>
    <w:rsid w:val="004F5F69"/>
    <w:rsid w:val="004F5FDA"/>
    <w:rsid w:val="004F5FE4"/>
    <w:rsid w:val="004F60C8"/>
    <w:rsid w:val="004F6358"/>
    <w:rsid w:val="004F6490"/>
    <w:rsid w:val="004F6801"/>
    <w:rsid w:val="004F68D5"/>
    <w:rsid w:val="004F6ACA"/>
    <w:rsid w:val="004F6CFC"/>
    <w:rsid w:val="004F6D50"/>
    <w:rsid w:val="004F6F50"/>
    <w:rsid w:val="004F6F71"/>
    <w:rsid w:val="004F72EC"/>
    <w:rsid w:val="004F740E"/>
    <w:rsid w:val="004F7A8E"/>
    <w:rsid w:val="004F7CA2"/>
    <w:rsid w:val="0050005D"/>
    <w:rsid w:val="00500565"/>
    <w:rsid w:val="00500671"/>
    <w:rsid w:val="005006AF"/>
    <w:rsid w:val="005006C2"/>
    <w:rsid w:val="00500769"/>
    <w:rsid w:val="00500832"/>
    <w:rsid w:val="00500A53"/>
    <w:rsid w:val="00500A7A"/>
    <w:rsid w:val="00500D2C"/>
    <w:rsid w:val="00500D4F"/>
    <w:rsid w:val="00500FDB"/>
    <w:rsid w:val="00501625"/>
    <w:rsid w:val="00501626"/>
    <w:rsid w:val="0050162B"/>
    <w:rsid w:val="005018A3"/>
    <w:rsid w:val="00501A6D"/>
    <w:rsid w:val="00501C13"/>
    <w:rsid w:val="00501C5D"/>
    <w:rsid w:val="00502070"/>
    <w:rsid w:val="0050211B"/>
    <w:rsid w:val="00502266"/>
    <w:rsid w:val="005023D2"/>
    <w:rsid w:val="0050267F"/>
    <w:rsid w:val="00502B3F"/>
    <w:rsid w:val="00502E1B"/>
    <w:rsid w:val="005033AA"/>
    <w:rsid w:val="00503404"/>
    <w:rsid w:val="0050340B"/>
    <w:rsid w:val="005034BC"/>
    <w:rsid w:val="00503677"/>
    <w:rsid w:val="005036F4"/>
    <w:rsid w:val="005037C6"/>
    <w:rsid w:val="0050391D"/>
    <w:rsid w:val="005039F9"/>
    <w:rsid w:val="00503AE4"/>
    <w:rsid w:val="00503D4D"/>
    <w:rsid w:val="00503E4D"/>
    <w:rsid w:val="00503E81"/>
    <w:rsid w:val="005042C2"/>
    <w:rsid w:val="005049D3"/>
    <w:rsid w:val="00504D50"/>
    <w:rsid w:val="00504DAF"/>
    <w:rsid w:val="00504EF1"/>
    <w:rsid w:val="00504F38"/>
    <w:rsid w:val="00505144"/>
    <w:rsid w:val="00505745"/>
    <w:rsid w:val="00505B4E"/>
    <w:rsid w:val="00505B6A"/>
    <w:rsid w:val="00505C5B"/>
    <w:rsid w:val="005063C0"/>
    <w:rsid w:val="00506494"/>
    <w:rsid w:val="00506555"/>
    <w:rsid w:val="00506AEA"/>
    <w:rsid w:val="00506B32"/>
    <w:rsid w:val="0050704F"/>
    <w:rsid w:val="0050705D"/>
    <w:rsid w:val="0050755C"/>
    <w:rsid w:val="0050757F"/>
    <w:rsid w:val="005079E0"/>
    <w:rsid w:val="00507AE0"/>
    <w:rsid w:val="00507BDA"/>
    <w:rsid w:val="00507D26"/>
    <w:rsid w:val="00507DAF"/>
    <w:rsid w:val="00507F90"/>
    <w:rsid w:val="005102A1"/>
    <w:rsid w:val="005103E6"/>
    <w:rsid w:val="005106E3"/>
    <w:rsid w:val="005106EE"/>
    <w:rsid w:val="00510770"/>
    <w:rsid w:val="005109B4"/>
    <w:rsid w:val="00510A1F"/>
    <w:rsid w:val="00510A6F"/>
    <w:rsid w:val="00510B83"/>
    <w:rsid w:val="00510BC6"/>
    <w:rsid w:val="00510CEB"/>
    <w:rsid w:val="00510DB5"/>
    <w:rsid w:val="00511517"/>
    <w:rsid w:val="005115DA"/>
    <w:rsid w:val="00511852"/>
    <w:rsid w:val="00511D47"/>
    <w:rsid w:val="00511F77"/>
    <w:rsid w:val="00511F9E"/>
    <w:rsid w:val="005123ED"/>
    <w:rsid w:val="00512530"/>
    <w:rsid w:val="0051253E"/>
    <w:rsid w:val="00512612"/>
    <w:rsid w:val="00512B51"/>
    <w:rsid w:val="00512C21"/>
    <w:rsid w:val="00512D1F"/>
    <w:rsid w:val="00512ED1"/>
    <w:rsid w:val="0051300B"/>
    <w:rsid w:val="005134FB"/>
    <w:rsid w:val="00513745"/>
    <w:rsid w:val="00513847"/>
    <w:rsid w:val="00513918"/>
    <w:rsid w:val="00513A28"/>
    <w:rsid w:val="00513B7E"/>
    <w:rsid w:val="00513C39"/>
    <w:rsid w:val="00513C78"/>
    <w:rsid w:val="0051416C"/>
    <w:rsid w:val="00514255"/>
    <w:rsid w:val="005143CB"/>
    <w:rsid w:val="00514811"/>
    <w:rsid w:val="00514965"/>
    <w:rsid w:val="005149C6"/>
    <w:rsid w:val="00514A41"/>
    <w:rsid w:val="00514C05"/>
    <w:rsid w:val="00515340"/>
    <w:rsid w:val="0051556D"/>
    <w:rsid w:val="00515586"/>
    <w:rsid w:val="00515662"/>
    <w:rsid w:val="005156A2"/>
    <w:rsid w:val="00515747"/>
    <w:rsid w:val="005157BB"/>
    <w:rsid w:val="00515985"/>
    <w:rsid w:val="00515C67"/>
    <w:rsid w:val="00515C7D"/>
    <w:rsid w:val="00515E90"/>
    <w:rsid w:val="00515EDB"/>
    <w:rsid w:val="00515EFA"/>
    <w:rsid w:val="005163EF"/>
    <w:rsid w:val="005166D5"/>
    <w:rsid w:val="005167F1"/>
    <w:rsid w:val="0051694F"/>
    <w:rsid w:val="00516A4D"/>
    <w:rsid w:val="00516AF9"/>
    <w:rsid w:val="00516DD7"/>
    <w:rsid w:val="00516E2F"/>
    <w:rsid w:val="00516FB4"/>
    <w:rsid w:val="0051764C"/>
    <w:rsid w:val="00517760"/>
    <w:rsid w:val="0051781C"/>
    <w:rsid w:val="0051783E"/>
    <w:rsid w:val="00517874"/>
    <w:rsid w:val="005178BA"/>
    <w:rsid w:val="00517A51"/>
    <w:rsid w:val="00517F1A"/>
    <w:rsid w:val="00517FA8"/>
    <w:rsid w:val="0052035A"/>
    <w:rsid w:val="00520412"/>
    <w:rsid w:val="005204FA"/>
    <w:rsid w:val="00520819"/>
    <w:rsid w:val="005209FD"/>
    <w:rsid w:val="00520A29"/>
    <w:rsid w:val="00520B3F"/>
    <w:rsid w:val="00520BAC"/>
    <w:rsid w:val="00520C01"/>
    <w:rsid w:val="00520D5B"/>
    <w:rsid w:val="00521021"/>
    <w:rsid w:val="005214A8"/>
    <w:rsid w:val="00521567"/>
    <w:rsid w:val="00521A64"/>
    <w:rsid w:val="00521C71"/>
    <w:rsid w:val="00521D85"/>
    <w:rsid w:val="00521D90"/>
    <w:rsid w:val="00521EC0"/>
    <w:rsid w:val="00521ED9"/>
    <w:rsid w:val="00521F2A"/>
    <w:rsid w:val="00521F75"/>
    <w:rsid w:val="005220C0"/>
    <w:rsid w:val="005220D0"/>
    <w:rsid w:val="005225C3"/>
    <w:rsid w:val="00522898"/>
    <w:rsid w:val="00522AB4"/>
    <w:rsid w:val="00522B0E"/>
    <w:rsid w:val="00522DAC"/>
    <w:rsid w:val="00522ED5"/>
    <w:rsid w:val="00523215"/>
    <w:rsid w:val="00523295"/>
    <w:rsid w:val="0052374D"/>
    <w:rsid w:val="0052396F"/>
    <w:rsid w:val="00523C2E"/>
    <w:rsid w:val="00523C5A"/>
    <w:rsid w:val="00523D0B"/>
    <w:rsid w:val="00524231"/>
    <w:rsid w:val="00524346"/>
    <w:rsid w:val="005246AF"/>
    <w:rsid w:val="00524796"/>
    <w:rsid w:val="005247A4"/>
    <w:rsid w:val="005248C9"/>
    <w:rsid w:val="0052490D"/>
    <w:rsid w:val="00524BDA"/>
    <w:rsid w:val="00524DD8"/>
    <w:rsid w:val="005250D4"/>
    <w:rsid w:val="005252B5"/>
    <w:rsid w:val="0052535F"/>
    <w:rsid w:val="005256E7"/>
    <w:rsid w:val="005256ED"/>
    <w:rsid w:val="00525849"/>
    <w:rsid w:val="0052599F"/>
    <w:rsid w:val="00525BE4"/>
    <w:rsid w:val="00525C9A"/>
    <w:rsid w:val="00525FFC"/>
    <w:rsid w:val="005260FE"/>
    <w:rsid w:val="005261D7"/>
    <w:rsid w:val="005262C1"/>
    <w:rsid w:val="005264D1"/>
    <w:rsid w:val="005269A1"/>
    <w:rsid w:val="00526A2F"/>
    <w:rsid w:val="00526AE7"/>
    <w:rsid w:val="00526B9D"/>
    <w:rsid w:val="00526BC3"/>
    <w:rsid w:val="00526DEA"/>
    <w:rsid w:val="00526E4F"/>
    <w:rsid w:val="00526F8F"/>
    <w:rsid w:val="00527077"/>
    <w:rsid w:val="005270A4"/>
    <w:rsid w:val="0052713F"/>
    <w:rsid w:val="005271C5"/>
    <w:rsid w:val="005272D2"/>
    <w:rsid w:val="0052749E"/>
    <w:rsid w:val="00527549"/>
    <w:rsid w:val="0052761E"/>
    <w:rsid w:val="0052763F"/>
    <w:rsid w:val="005278D2"/>
    <w:rsid w:val="00527A76"/>
    <w:rsid w:val="00527C0C"/>
    <w:rsid w:val="00527DE1"/>
    <w:rsid w:val="00527F21"/>
    <w:rsid w:val="00527F5C"/>
    <w:rsid w:val="0053006F"/>
    <w:rsid w:val="005306B4"/>
    <w:rsid w:val="005306D6"/>
    <w:rsid w:val="005306F8"/>
    <w:rsid w:val="005307EB"/>
    <w:rsid w:val="005308A8"/>
    <w:rsid w:val="00530A14"/>
    <w:rsid w:val="00530AB7"/>
    <w:rsid w:val="00530B53"/>
    <w:rsid w:val="00530F86"/>
    <w:rsid w:val="00531137"/>
    <w:rsid w:val="0053117A"/>
    <w:rsid w:val="005313ED"/>
    <w:rsid w:val="005318F7"/>
    <w:rsid w:val="00531B17"/>
    <w:rsid w:val="00531B5D"/>
    <w:rsid w:val="00531CA8"/>
    <w:rsid w:val="00531D23"/>
    <w:rsid w:val="00531F4F"/>
    <w:rsid w:val="00532364"/>
    <w:rsid w:val="0053252A"/>
    <w:rsid w:val="00532716"/>
    <w:rsid w:val="00532EBF"/>
    <w:rsid w:val="00532FFC"/>
    <w:rsid w:val="005332F5"/>
    <w:rsid w:val="0053333B"/>
    <w:rsid w:val="005334FB"/>
    <w:rsid w:val="0053358A"/>
    <w:rsid w:val="0053381D"/>
    <w:rsid w:val="00533825"/>
    <w:rsid w:val="00533940"/>
    <w:rsid w:val="00533BF7"/>
    <w:rsid w:val="00533C76"/>
    <w:rsid w:val="00533DCA"/>
    <w:rsid w:val="00534087"/>
    <w:rsid w:val="00534340"/>
    <w:rsid w:val="005345A7"/>
    <w:rsid w:val="0053469C"/>
    <w:rsid w:val="005349C0"/>
    <w:rsid w:val="00534B30"/>
    <w:rsid w:val="00535016"/>
    <w:rsid w:val="005351F4"/>
    <w:rsid w:val="005352DB"/>
    <w:rsid w:val="00535343"/>
    <w:rsid w:val="005356B9"/>
    <w:rsid w:val="0053583D"/>
    <w:rsid w:val="00535B5D"/>
    <w:rsid w:val="00535B86"/>
    <w:rsid w:val="00535D48"/>
    <w:rsid w:val="00535F36"/>
    <w:rsid w:val="005360F2"/>
    <w:rsid w:val="005360FF"/>
    <w:rsid w:val="005361B0"/>
    <w:rsid w:val="00536564"/>
    <w:rsid w:val="005365B5"/>
    <w:rsid w:val="00536A64"/>
    <w:rsid w:val="00536D4A"/>
    <w:rsid w:val="00536D76"/>
    <w:rsid w:val="00536DD5"/>
    <w:rsid w:val="00536EC4"/>
    <w:rsid w:val="0053710C"/>
    <w:rsid w:val="00537193"/>
    <w:rsid w:val="005373F7"/>
    <w:rsid w:val="00537474"/>
    <w:rsid w:val="00537539"/>
    <w:rsid w:val="0053759A"/>
    <w:rsid w:val="0053767A"/>
    <w:rsid w:val="0053767C"/>
    <w:rsid w:val="00537882"/>
    <w:rsid w:val="00537968"/>
    <w:rsid w:val="00537BA1"/>
    <w:rsid w:val="00537C8B"/>
    <w:rsid w:val="00537CC0"/>
    <w:rsid w:val="0054001A"/>
    <w:rsid w:val="005401D6"/>
    <w:rsid w:val="005401E8"/>
    <w:rsid w:val="00540343"/>
    <w:rsid w:val="00540501"/>
    <w:rsid w:val="005406E4"/>
    <w:rsid w:val="0054076C"/>
    <w:rsid w:val="00540838"/>
    <w:rsid w:val="005409B2"/>
    <w:rsid w:val="00540A02"/>
    <w:rsid w:val="00540A7E"/>
    <w:rsid w:val="00540B0F"/>
    <w:rsid w:val="00540F11"/>
    <w:rsid w:val="00540F43"/>
    <w:rsid w:val="00540F78"/>
    <w:rsid w:val="005411A6"/>
    <w:rsid w:val="005412CF"/>
    <w:rsid w:val="00541607"/>
    <w:rsid w:val="005416D6"/>
    <w:rsid w:val="00541932"/>
    <w:rsid w:val="00541971"/>
    <w:rsid w:val="00541A01"/>
    <w:rsid w:val="00541D13"/>
    <w:rsid w:val="00541F3B"/>
    <w:rsid w:val="005422D8"/>
    <w:rsid w:val="00542404"/>
    <w:rsid w:val="005428F8"/>
    <w:rsid w:val="00542942"/>
    <w:rsid w:val="00542A69"/>
    <w:rsid w:val="00542CF2"/>
    <w:rsid w:val="00542CF3"/>
    <w:rsid w:val="00542E7D"/>
    <w:rsid w:val="00542EB5"/>
    <w:rsid w:val="00542EDA"/>
    <w:rsid w:val="00542F17"/>
    <w:rsid w:val="0054322D"/>
    <w:rsid w:val="00543472"/>
    <w:rsid w:val="00543581"/>
    <w:rsid w:val="00543821"/>
    <w:rsid w:val="0054391C"/>
    <w:rsid w:val="00543F97"/>
    <w:rsid w:val="00543FEF"/>
    <w:rsid w:val="005441CD"/>
    <w:rsid w:val="0054432C"/>
    <w:rsid w:val="00544356"/>
    <w:rsid w:val="00544372"/>
    <w:rsid w:val="00544448"/>
    <w:rsid w:val="00544464"/>
    <w:rsid w:val="00544469"/>
    <w:rsid w:val="005444E1"/>
    <w:rsid w:val="005445C7"/>
    <w:rsid w:val="00544835"/>
    <w:rsid w:val="00544848"/>
    <w:rsid w:val="005448E5"/>
    <w:rsid w:val="00544966"/>
    <w:rsid w:val="00544AFB"/>
    <w:rsid w:val="00544B04"/>
    <w:rsid w:val="00544BF1"/>
    <w:rsid w:val="00544BF9"/>
    <w:rsid w:val="00544C54"/>
    <w:rsid w:val="00544C87"/>
    <w:rsid w:val="00544CC3"/>
    <w:rsid w:val="00544CF8"/>
    <w:rsid w:val="00544F00"/>
    <w:rsid w:val="00544FBF"/>
    <w:rsid w:val="00544FD6"/>
    <w:rsid w:val="00545203"/>
    <w:rsid w:val="005457C8"/>
    <w:rsid w:val="00545904"/>
    <w:rsid w:val="00545D04"/>
    <w:rsid w:val="00545DB5"/>
    <w:rsid w:val="00546032"/>
    <w:rsid w:val="00546163"/>
    <w:rsid w:val="00546246"/>
    <w:rsid w:val="00546267"/>
    <w:rsid w:val="005462CE"/>
    <w:rsid w:val="005463E8"/>
    <w:rsid w:val="005463F0"/>
    <w:rsid w:val="005467FF"/>
    <w:rsid w:val="005469C1"/>
    <w:rsid w:val="00546BBB"/>
    <w:rsid w:val="00546C7A"/>
    <w:rsid w:val="00546DBF"/>
    <w:rsid w:val="00546DD9"/>
    <w:rsid w:val="00546E3D"/>
    <w:rsid w:val="00546ED9"/>
    <w:rsid w:val="0054711C"/>
    <w:rsid w:val="00547614"/>
    <w:rsid w:val="00547A47"/>
    <w:rsid w:val="00547A4B"/>
    <w:rsid w:val="00550134"/>
    <w:rsid w:val="00550672"/>
    <w:rsid w:val="005506BE"/>
    <w:rsid w:val="0055070B"/>
    <w:rsid w:val="005507D3"/>
    <w:rsid w:val="0055097F"/>
    <w:rsid w:val="00550987"/>
    <w:rsid w:val="00550D41"/>
    <w:rsid w:val="00550EC8"/>
    <w:rsid w:val="00550FA2"/>
    <w:rsid w:val="00551007"/>
    <w:rsid w:val="005511D6"/>
    <w:rsid w:val="005513E5"/>
    <w:rsid w:val="005516B4"/>
    <w:rsid w:val="005517F7"/>
    <w:rsid w:val="00551B46"/>
    <w:rsid w:val="00551B4F"/>
    <w:rsid w:val="00551C73"/>
    <w:rsid w:val="00551D6D"/>
    <w:rsid w:val="00551F34"/>
    <w:rsid w:val="00551FE5"/>
    <w:rsid w:val="0055201D"/>
    <w:rsid w:val="005522C4"/>
    <w:rsid w:val="0055232B"/>
    <w:rsid w:val="005524C8"/>
    <w:rsid w:val="005526AA"/>
    <w:rsid w:val="0055271D"/>
    <w:rsid w:val="0055273D"/>
    <w:rsid w:val="00552A7F"/>
    <w:rsid w:val="00552E6A"/>
    <w:rsid w:val="00552FDF"/>
    <w:rsid w:val="0055307F"/>
    <w:rsid w:val="00553129"/>
    <w:rsid w:val="005533D5"/>
    <w:rsid w:val="005536FC"/>
    <w:rsid w:val="005537D3"/>
    <w:rsid w:val="0055389A"/>
    <w:rsid w:val="005538AF"/>
    <w:rsid w:val="00553B0C"/>
    <w:rsid w:val="00553B13"/>
    <w:rsid w:val="00553BF4"/>
    <w:rsid w:val="00553CD5"/>
    <w:rsid w:val="00553DD8"/>
    <w:rsid w:val="0055408F"/>
    <w:rsid w:val="005540E5"/>
    <w:rsid w:val="00554147"/>
    <w:rsid w:val="0055416A"/>
    <w:rsid w:val="0055422A"/>
    <w:rsid w:val="005546F4"/>
    <w:rsid w:val="00554874"/>
    <w:rsid w:val="005549C5"/>
    <w:rsid w:val="005549C6"/>
    <w:rsid w:val="00554A0A"/>
    <w:rsid w:val="00554AE9"/>
    <w:rsid w:val="00554BF0"/>
    <w:rsid w:val="00554BF4"/>
    <w:rsid w:val="00554D9D"/>
    <w:rsid w:val="00554EC9"/>
    <w:rsid w:val="00555299"/>
    <w:rsid w:val="005552FD"/>
    <w:rsid w:val="0055591A"/>
    <w:rsid w:val="005559BD"/>
    <w:rsid w:val="00555C33"/>
    <w:rsid w:val="00555E41"/>
    <w:rsid w:val="00555F86"/>
    <w:rsid w:val="005560ED"/>
    <w:rsid w:val="0055621F"/>
    <w:rsid w:val="0055623A"/>
    <w:rsid w:val="00556255"/>
    <w:rsid w:val="00556336"/>
    <w:rsid w:val="005564F7"/>
    <w:rsid w:val="00556517"/>
    <w:rsid w:val="00556701"/>
    <w:rsid w:val="005567E0"/>
    <w:rsid w:val="00556AFF"/>
    <w:rsid w:val="00556B97"/>
    <w:rsid w:val="00556C83"/>
    <w:rsid w:val="00556C9B"/>
    <w:rsid w:val="00556D29"/>
    <w:rsid w:val="00556D41"/>
    <w:rsid w:val="00556EEC"/>
    <w:rsid w:val="0055702D"/>
    <w:rsid w:val="0055735E"/>
    <w:rsid w:val="0055752C"/>
    <w:rsid w:val="005575C9"/>
    <w:rsid w:val="0055767A"/>
    <w:rsid w:val="0055794A"/>
    <w:rsid w:val="00557DFA"/>
    <w:rsid w:val="00557E1E"/>
    <w:rsid w:val="00557E53"/>
    <w:rsid w:val="0056008D"/>
    <w:rsid w:val="005603D5"/>
    <w:rsid w:val="005605CE"/>
    <w:rsid w:val="005605FD"/>
    <w:rsid w:val="00560641"/>
    <w:rsid w:val="00560700"/>
    <w:rsid w:val="00560E48"/>
    <w:rsid w:val="00560ED1"/>
    <w:rsid w:val="00560FD6"/>
    <w:rsid w:val="005610CC"/>
    <w:rsid w:val="00561223"/>
    <w:rsid w:val="005614E6"/>
    <w:rsid w:val="005616FD"/>
    <w:rsid w:val="0056173F"/>
    <w:rsid w:val="00561778"/>
    <w:rsid w:val="005617F0"/>
    <w:rsid w:val="00561A2C"/>
    <w:rsid w:val="00561AAD"/>
    <w:rsid w:val="00561D35"/>
    <w:rsid w:val="00561F37"/>
    <w:rsid w:val="00562029"/>
    <w:rsid w:val="00562121"/>
    <w:rsid w:val="0056240F"/>
    <w:rsid w:val="0056263B"/>
    <w:rsid w:val="0056278C"/>
    <w:rsid w:val="005629A2"/>
    <w:rsid w:val="00562AD0"/>
    <w:rsid w:val="00562B1B"/>
    <w:rsid w:val="00562BED"/>
    <w:rsid w:val="00562F1B"/>
    <w:rsid w:val="00562F90"/>
    <w:rsid w:val="00563219"/>
    <w:rsid w:val="00563255"/>
    <w:rsid w:val="005632B4"/>
    <w:rsid w:val="005634B1"/>
    <w:rsid w:val="005635BF"/>
    <w:rsid w:val="0056362F"/>
    <w:rsid w:val="00563804"/>
    <w:rsid w:val="00563AFF"/>
    <w:rsid w:val="00563B18"/>
    <w:rsid w:val="00563CB4"/>
    <w:rsid w:val="00563E6B"/>
    <w:rsid w:val="00563F77"/>
    <w:rsid w:val="005641D8"/>
    <w:rsid w:val="00564343"/>
    <w:rsid w:val="0056435B"/>
    <w:rsid w:val="0056437E"/>
    <w:rsid w:val="00564473"/>
    <w:rsid w:val="0056450B"/>
    <w:rsid w:val="005645A0"/>
    <w:rsid w:val="00564605"/>
    <w:rsid w:val="005647E8"/>
    <w:rsid w:val="005648A8"/>
    <w:rsid w:val="005648D0"/>
    <w:rsid w:val="005649A0"/>
    <w:rsid w:val="00564CCB"/>
    <w:rsid w:val="00564D85"/>
    <w:rsid w:val="00564F27"/>
    <w:rsid w:val="00564F43"/>
    <w:rsid w:val="0056508F"/>
    <w:rsid w:val="0056518A"/>
    <w:rsid w:val="005655BE"/>
    <w:rsid w:val="0056562B"/>
    <w:rsid w:val="00565770"/>
    <w:rsid w:val="00565942"/>
    <w:rsid w:val="00565977"/>
    <w:rsid w:val="00565C1A"/>
    <w:rsid w:val="00565C90"/>
    <w:rsid w:val="00565FFD"/>
    <w:rsid w:val="0056627D"/>
    <w:rsid w:val="00566580"/>
    <w:rsid w:val="005665A2"/>
    <w:rsid w:val="005666BF"/>
    <w:rsid w:val="0056676E"/>
    <w:rsid w:val="00566879"/>
    <w:rsid w:val="00566930"/>
    <w:rsid w:val="00566990"/>
    <w:rsid w:val="00566A0D"/>
    <w:rsid w:val="00566E50"/>
    <w:rsid w:val="00566FBF"/>
    <w:rsid w:val="00566FD9"/>
    <w:rsid w:val="0056751F"/>
    <w:rsid w:val="005675CF"/>
    <w:rsid w:val="00567987"/>
    <w:rsid w:val="00567BC6"/>
    <w:rsid w:val="00567E70"/>
    <w:rsid w:val="00567E82"/>
    <w:rsid w:val="005700B7"/>
    <w:rsid w:val="005700C0"/>
    <w:rsid w:val="005704AC"/>
    <w:rsid w:val="005704B5"/>
    <w:rsid w:val="005704C0"/>
    <w:rsid w:val="00570550"/>
    <w:rsid w:val="00570648"/>
    <w:rsid w:val="005708A4"/>
    <w:rsid w:val="0057096A"/>
    <w:rsid w:val="005709A4"/>
    <w:rsid w:val="00570B1A"/>
    <w:rsid w:val="005711BD"/>
    <w:rsid w:val="0057124A"/>
    <w:rsid w:val="00571AB3"/>
    <w:rsid w:val="00571AD7"/>
    <w:rsid w:val="00571B46"/>
    <w:rsid w:val="00571C5E"/>
    <w:rsid w:val="00571E1A"/>
    <w:rsid w:val="00571ED9"/>
    <w:rsid w:val="0057220F"/>
    <w:rsid w:val="00572322"/>
    <w:rsid w:val="00572514"/>
    <w:rsid w:val="00572544"/>
    <w:rsid w:val="0057254F"/>
    <w:rsid w:val="0057272B"/>
    <w:rsid w:val="005727F2"/>
    <w:rsid w:val="005729E7"/>
    <w:rsid w:val="00572AE8"/>
    <w:rsid w:val="00572F56"/>
    <w:rsid w:val="00572F81"/>
    <w:rsid w:val="00572FAE"/>
    <w:rsid w:val="005731D9"/>
    <w:rsid w:val="0057324C"/>
    <w:rsid w:val="005733D4"/>
    <w:rsid w:val="005735DA"/>
    <w:rsid w:val="005736DB"/>
    <w:rsid w:val="00573E73"/>
    <w:rsid w:val="00573F6D"/>
    <w:rsid w:val="005740AC"/>
    <w:rsid w:val="005740D2"/>
    <w:rsid w:val="0057436D"/>
    <w:rsid w:val="00574606"/>
    <w:rsid w:val="005746A4"/>
    <w:rsid w:val="005746E8"/>
    <w:rsid w:val="0057474F"/>
    <w:rsid w:val="0057476C"/>
    <w:rsid w:val="00574875"/>
    <w:rsid w:val="005751DE"/>
    <w:rsid w:val="005751E8"/>
    <w:rsid w:val="005752CF"/>
    <w:rsid w:val="0057582D"/>
    <w:rsid w:val="005758EA"/>
    <w:rsid w:val="00575992"/>
    <w:rsid w:val="00575AD7"/>
    <w:rsid w:val="00575B06"/>
    <w:rsid w:val="00575C78"/>
    <w:rsid w:val="00575D68"/>
    <w:rsid w:val="00575D9B"/>
    <w:rsid w:val="00575E6D"/>
    <w:rsid w:val="00575FF6"/>
    <w:rsid w:val="0057611E"/>
    <w:rsid w:val="005762D7"/>
    <w:rsid w:val="005767B8"/>
    <w:rsid w:val="005768F2"/>
    <w:rsid w:val="00576928"/>
    <w:rsid w:val="0057696D"/>
    <w:rsid w:val="00576CA2"/>
    <w:rsid w:val="00576CEA"/>
    <w:rsid w:val="00576DF7"/>
    <w:rsid w:val="00576E36"/>
    <w:rsid w:val="0057705B"/>
    <w:rsid w:val="0057727F"/>
    <w:rsid w:val="0057730C"/>
    <w:rsid w:val="00577390"/>
    <w:rsid w:val="005773B0"/>
    <w:rsid w:val="0057745D"/>
    <w:rsid w:val="005775D1"/>
    <w:rsid w:val="005775F3"/>
    <w:rsid w:val="00577709"/>
    <w:rsid w:val="00577C3A"/>
    <w:rsid w:val="00577FDE"/>
    <w:rsid w:val="00577FF8"/>
    <w:rsid w:val="00580122"/>
    <w:rsid w:val="00580155"/>
    <w:rsid w:val="00580403"/>
    <w:rsid w:val="00580408"/>
    <w:rsid w:val="00580451"/>
    <w:rsid w:val="00580707"/>
    <w:rsid w:val="005808F8"/>
    <w:rsid w:val="00580A13"/>
    <w:rsid w:val="00580CDD"/>
    <w:rsid w:val="00580DB7"/>
    <w:rsid w:val="00580E84"/>
    <w:rsid w:val="005811D1"/>
    <w:rsid w:val="00581233"/>
    <w:rsid w:val="0058134E"/>
    <w:rsid w:val="0058142E"/>
    <w:rsid w:val="005814DB"/>
    <w:rsid w:val="00581603"/>
    <w:rsid w:val="005817F0"/>
    <w:rsid w:val="00581854"/>
    <w:rsid w:val="00581978"/>
    <w:rsid w:val="00581A8A"/>
    <w:rsid w:val="00581B8D"/>
    <w:rsid w:val="00581C29"/>
    <w:rsid w:val="00581CFD"/>
    <w:rsid w:val="00581ECF"/>
    <w:rsid w:val="00581EEB"/>
    <w:rsid w:val="005820CF"/>
    <w:rsid w:val="0058218E"/>
    <w:rsid w:val="00582317"/>
    <w:rsid w:val="0058268A"/>
    <w:rsid w:val="00582723"/>
    <w:rsid w:val="005827E4"/>
    <w:rsid w:val="00582885"/>
    <w:rsid w:val="005828C0"/>
    <w:rsid w:val="005828EF"/>
    <w:rsid w:val="00582E8A"/>
    <w:rsid w:val="00582EE9"/>
    <w:rsid w:val="00582F83"/>
    <w:rsid w:val="00583055"/>
    <w:rsid w:val="005832E1"/>
    <w:rsid w:val="00583317"/>
    <w:rsid w:val="00583423"/>
    <w:rsid w:val="0058342E"/>
    <w:rsid w:val="0058345F"/>
    <w:rsid w:val="00583605"/>
    <w:rsid w:val="0058361D"/>
    <w:rsid w:val="0058364C"/>
    <w:rsid w:val="0058374E"/>
    <w:rsid w:val="0058394A"/>
    <w:rsid w:val="00583AFE"/>
    <w:rsid w:val="0058409F"/>
    <w:rsid w:val="00584152"/>
    <w:rsid w:val="005843F1"/>
    <w:rsid w:val="00584492"/>
    <w:rsid w:val="005844FB"/>
    <w:rsid w:val="005845EA"/>
    <w:rsid w:val="005846A8"/>
    <w:rsid w:val="005846B8"/>
    <w:rsid w:val="0058475F"/>
    <w:rsid w:val="00584795"/>
    <w:rsid w:val="0058483F"/>
    <w:rsid w:val="005848EA"/>
    <w:rsid w:val="00584D02"/>
    <w:rsid w:val="00584FBC"/>
    <w:rsid w:val="00585305"/>
    <w:rsid w:val="005853A6"/>
    <w:rsid w:val="00585580"/>
    <w:rsid w:val="00585791"/>
    <w:rsid w:val="00585CAC"/>
    <w:rsid w:val="00585ED9"/>
    <w:rsid w:val="00586310"/>
    <w:rsid w:val="005863AB"/>
    <w:rsid w:val="005864E1"/>
    <w:rsid w:val="005866C5"/>
    <w:rsid w:val="005867AF"/>
    <w:rsid w:val="00586B96"/>
    <w:rsid w:val="00586D71"/>
    <w:rsid w:val="00587156"/>
    <w:rsid w:val="00587319"/>
    <w:rsid w:val="0058739D"/>
    <w:rsid w:val="00587490"/>
    <w:rsid w:val="00587A42"/>
    <w:rsid w:val="00587C35"/>
    <w:rsid w:val="00587D30"/>
    <w:rsid w:val="00587E07"/>
    <w:rsid w:val="00587F12"/>
    <w:rsid w:val="00587F41"/>
    <w:rsid w:val="00587FDC"/>
    <w:rsid w:val="00587FF6"/>
    <w:rsid w:val="005904C1"/>
    <w:rsid w:val="00590500"/>
    <w:rsid w:val="00590506"/>
    <w:rsid w:val="0059062C"/>
    <w:rsid w:val="005906AD"/>
    <w:rsid w:val="00590852"/>
    <w:rsid w:val="00590894"/>
    <w:rsid w:val="00590989"/>
    <w:rsid w:val="00590ABC"/>
    <w:rsid w:val="00590AC6"/>
    <w:rsid w:val="00590DE1"/>
    <w:rsid w:val="00591033"/>
    <w:rsid w:val="005910FB"/>
    <w:rsid w:val="005913E3"/>
    <w:rsid w:val="0059144D"/>
    <w:rsid w:val="005915DC"/>
    <w:rsid w:val="005919DA"/>
    <w:rsid w:val="005919E6"/>
    <w:rsid w:val="00591CC8"/>
    <w:rsid w:val="00591F91"/>
    <w:rsid w:val="00592373"/>
    <w:rsid w:val="00592839"/>
    <w:rsid w:val="00592877"/>
    <w:rsid w:val="005929D8"/>
    <w:rsid w:val="00592A0A"/>
    <w:rsid w:val="00592B41"/>
    <w:rsid w:val="00592B7D"/>
    <w:rsid w:val="00592E4E"/>
    <w:rsid w:val="00592EC1"/>
    <w:rsid w:val="005931FE"/>
    <w:rsid w:val="00593487"/>
    <w:rsid w:val="005935F1"/>
    <w:rsid w:val="005937CC"/>
    <w:rsid w:val="00593B47"/>
    <w:rsid w:val="00593F58"/>
    <w:rsid w:val="00594209"/>
    <w:rsid w:val="005942EE"/>
    <w:rsid w:val="0059449F"/>
    <w:rsid w:val="00594627"/>
    <w:rsid w:val="00594714"/>
    <w:rsid w:val="0059482C"/>
    <w:rsid w:val="005948DF"/>
    <w:rsid w:val="0059492C"/>
    <w:rsid w:val="00594BBC"/>
    <w:rsid w:val="00594C2D"/>
    <w:rsid w:val="00594D7E"/>
    <w:rsid w:val="00594DA0"/>
    <w:rsid w:val="00594E01"/>
    <w:rsid w:val="00594EBC"/>
    <w:rsid w:val="00595109"/>
    <w:rsid w:val="005951C7"/>
    <w:rsid w:val="005951F9"/>
    <w:rsid w:val="0059530B"/>
    <w:rsid w:val="0059535A"/>
    <w:rsid w:val="005954E0"/>
    <w:rsid w:val="005955B2"/>
    <w:rsid w:val="00595B10"/>
    <w:rsid w:val="00595BBC"/>
    <w:rsid w:val="00595DB3"/>
    <w:rsid w:val="00595E07"/>
    <w:rsid w:val="005961AA"/>
    <w:rsid w:val="00596367"/>
    <w:rsid w:val="005964C5"/>
    <w:rsid w:val="0059656A"/>
    <w:rsid w:val="00596628"/>
    <w:rsid w:val="0059686F"/>
    <w:rsid w:val="005968AD"/>
    <w:rsid w:val="00596A03"/>
    <w:rsid w:val="00596A83"/>
    <w:rsid w:val="00597121"/>
    <w:rsid w:val="00597151"/>
    <w:rsid w:val="005972C3"/>
    <w:rsid w:val="00597671"/>
    <w:rsid w:val="005977E9"/>
    <w:rsid w:val="00597827"/>
    <w:rsid w:val="00597919"/>
    <w:rsid w:val="00597BEC"/>
    <w:rsid w:val="00597CE7"/>
    <w:rsid w:val="00597CF3"/>
    <w:rsid w:val="00597DB5"/>
    <w:rsid w:val="00597DEE"/>
    <w:rsid w:val="00597FBD"/>
    <w:rsid w:val="005A0018"/>
    <w:rsid w:val="005A0037"/>
    <w:rsid w:val="005A0221"/>
    <w:rsid w:val="005A02C8"/>
    <w:rsid w:val="005A02E7"/>
    <w:rsid w:val="005A04FA"/>
    <w:rsid w:val="005A05DB"/>
    <w:rsid w:val="005A06CA"/>
    <w:rsid w:val="005A0834"/>
    <w:rsid w:val="005A086C"/>
    <w:rsid w:val="005A092B"/>
    <w:rsid w:val="005A1125"/>
    <w:rsid w:val="005A11F0"/>
    <w:rsid w:val="005A13BF"/>
    <w:rsid w:val="005A166F"/>
    <w:rsid w:val="005A1753"/>
    <w:rsid w:val="005A18DE"/>
    <w:rsid w:val="005A1B32"/>
    <w:rsid w:val="005A2259"/>
    <w:rsid w:val="005A251E"/>
    <w:rsid w:val="005A254C"/>
    <w:rsid w:val="005A262E"/>
    <w:rsid w:val="005A27FA"/>
    <w:rsid w:val="005A2B8C"/>
    <w:rsid w:val="005A2CC0"/>
    <w:rsid w:val="005A2E77"/>
    <w:rsid w:val="005A304C"/>
    <w:rsid w:val="005A326A"/>
    <w:rsid w:val="005A32E0"/>
    <w:rsid w:val="005A3642"/>
    <w:rsid w:val="005A3778"/>
    <w:rsid w:val="005A3916"/>
    <w:rsid w:val="005A3EF5"/>
    <w:rsid w:val="005A4313"/>
    <w:rsid w:val="005A483F"/>
    <w:rsid w:val="005A48E4"/>
    <w:rsid w:val="005A4A4A"/>
    <w:rsid w:val="005A4A81"/>
    <w:rsid w:val="005A4D49"/>
    <w:rsid w:val="005A4D62"/>
    <w:rsid w:val="005A4EE3"/>
    <w:rsid w:val="005A51CC"/>
    <w:rsid w:val="005A521F"/>
    <w:rsid w:val="005A5486"/>
    <w:rsid w:val="005A5613"/>
    <w:rsid w:val="005A5B24"/>
    <w:rsid w:val="005A5D4C"/>
    <w:rsid w:val="005A5E04"/>
    <w:rsid w:val="005A5EB2"/>
    <w:rsid w:val="005A5F81"/>
    <w:rsid w:val="005A6351"/>
    <w:rsid w:val="005A66DC"/>
    <w:rsid w:val="005A68D6"/>
    <w:rsid w:val="005A6A0C"/>
    <w:rsid w:val="005A6CA2"/>
    <w:rsid w:val="005A6D9A"/>
    <w:rsid w:val="005A6E67"/>
    <w:rsid w:val="005A6F7E"/>
    <w:rsid w:val="005A71B1"/>
    <w:rsid w:val="005A71FB"/>
    <w:rsid w:val="005A73C8"/>
    <w:rsid w:val="005A74D6"/>
    <w:rsid w:val="005A759B"/>
    <w:rsid w:val="005A7663"/>
    <w:rsid w:val="005A7743"/>
    <w:rsid w:val="005A7826"/>
    <w:rsid w:val="005A78CF"/>
    <w:rsid w:val="005A7A0B"/>
    <w:rsid w:val="005A7AB6"/>
    <w:rsid w:val="005A7BF0"/>
    <w:rsid w:val="005A7CB1"/>
    <w:rsid w:val="005A7EF2"/>
    <w:rsid w:val="005B03B4"/>
    <w:rsid w:val="005B0457"/>
    <w:rsid w:val="005B04B6"/>
    <w:rsid w:val="005B0521"/>
    <w:rsid w:val="005B0623"/>
    <w:rsid w:val="005B06BB"/>
    <w:rsid w:val="005B0918"/>
    <w:rsid w:val="005B09CF"/>
    <w:rsid w:val="005B0A82"/>
    <w:rsid w:val="005B0DCD"/>
    <w:rsid w:val="005B0EBA"/>
    <w:rsid w:val="005B0F45"/>
    <w:rsid w:val="005B1011"/>
    <w:rsid w:val="005B1085"/>
    <w:rsid w:val="005B1391"/>
    <w:rsid w:val="005B152D"/>
    <w:rsid w:val="005B1542"/>
    <w:rsid w:val="005B15A1"/>
    <w:rsid w:val="005B174E"/>
    <w:rsid w:val="005B188B"/>
    <w:rsid w:val="005B1E09"/>
    <w:rsid w:val="005B1F05"/>
    <w:rsid w:val="005B1F56"/>
    <w:rsid w:val="005B2030"/>
    <w:rsid w:val="005B2039"/>
    <w:rsid w:val="005B2202"/>
    <w:rsid w:val="005B2376"/>
    <w:rsid w:val="005B275C"/>
    <w:rsid w:val="005B2864"/>
    <w:rsid w:val="005B291A"/>
    <w:rsid w:val="005B292B"/>
    <w:rsid w:val="005B29B9"/>
    <w:rsid w:val="005B2F95"/>
    <w:rsid w:val="005B3103"/>
    <w:rsid w:val="005B32F1"/>
    <w:rsid w:val="005B38DD"/>
    <w:rsid w:val="005B3B68"/>
    <w:rsid w:val="005B3BFC"/>
    <w:rsid w:val="005B3CA7"/>
    <w:rsid w:val="005B3FDF"/>
    <w:rsid w:val="005B4026"/>
    <w:rsid w:val="005B42D7"/>
    <w:rsid w:val="005B42F0"/>
    <w:rsid w:val="005B44F3"/>
    <w:rsid w:val="005B482C"/>
    <w:rsid w:val="005B48B9"/>
    <w:rsid w:val="005B492F"/>
    <w:rsid w:val="005B4C84"/>
    <w:rsid w:val="005B4D58"/>
    <w:rsid w:val="005B4F6F"/>
    <w:rsid w:val="005B4F93"/>
    <w:rsid w:val="005B509D"/>
    <w:rsid w:val="005B540B"/>
    <w:rsid w:val="005B54D5"/>
    <w:rsid w:val="005B584B"/>
    <w:rsid w:val="005B5B34"/>
    <w:rsid w:val="005B5B7A"/>
    <w:rsid w:val="005B5EE3"/>
    <w:rsid w:val="005B5FC6"/>
    <w:rsid w:val="005B63DA"/>
    <w:rsid w:val="005B6972"/>
    <w:rsid w:val="005B6F7A"/>
    <w:rsid w:val="005B6F99"/>
    <w:rsid w:val="005B71A0"/>
    <w:rsid w:val="005B7586"/>
    <w:rsid w:val="005B75AF"/>
    <w:rsid w:val="005B76E8"/>
    <w:rsid w:val="005B7891"/>
    <w:rsid w:val="005B7CDE"/>
    <w:rsid w:val="005B7DC3"/>
    <w:rsid w:val="005C0633"/>
    <w:rsid w:val="005C0637"/>
    <w:rsid w:val="005C063B"/>
    <w:rsid w:val="005C06E1"/>
    <w:rsid w:val="005C084F"/>
    <w:rsid w:val="005C0875"/>
    <w:rsid w:val="005C0991"/>
    <w:rsid w:val="005C09F2"/>
    <w:rsid w:val="005C0A00"/>
    <w:rsid w:val="005C0ACD"/>
    <w:rsid w:val="005C0B59"/>
    <w:rsid w:val="005C0BD9"/>
    <w:rsid w:val="005C0BF0"/>
    <w:rsid w:val="005C0C28"/>
    <w:rsid w:val="005C0C7A"/>
    <w:rsid w:val="005C0E64"/>
    <w:rsid w:val="005C0E9A"/>
    <w:rsid w:val="005C0EA8"/>
    <w:rsid w:val="005C1312"/>
    <w:rsid w:val="005C143F"/>
    <w:rsid w:val="005C1503"/>
    <w:rsid w:val="005C1839"/>
    <w:rsid w:val="005C1EA3"/>
    <w:rsid w:val="005C22CE"/>
    <w:rsid w:val="005C236B"/>
    <w:rsid w:val="005C25D3"/>
    <w:rsid w:val="005C260D"/>
    <w:rsid w:val="005C276D"/>
    <w:rsid w:val="005C2899"/>
    <w:rsid w:val="005C28A2"/>
    <w:rsid w:val="005C2A92"/>
    <w:rsid w:val="005C2AF5"/>
    <w:rsid w:val="005C2B31"/>
    <w:rsid w:val="005C2DC6"/>
    <w:rsid w:val="005C3055"/>
    <w:rsid w:val="005C3192"/>
    <w:rsid w:val="005C369A"/>
    <w:rsid w:val="005C37C8"/>
    <w:rsid w:val="005C3BBF"/>
    <w:rsid w:val="005C3C7F"/>
    <w:rsid w:val="005C3CDA"/>
    <w:rsid w:val="005C3CDF"/>
    <w:rsid w:val="005C3DCC"/>
    <w:rsid w:val="005C4045"/>
    <w:rsid w:val="005C4384"/>
    <w:rsid w:val="005C4401"/>
    <w:rsid w:val="005C4825"/>
    <w:rsid w:val="005C4A3A"/>
    <w:rsid w:val="005C5157"/>
    <w:rsid w:val="005C5342"/>
    <w:rsid w:val="005C58B3"/>
    <w:rsid w:val="005C594E"/>
    <w:rsid w:val="005C5B48"/>
    <w:rsid w:val="005C5B7B"/>
    <w:rsid w:val="005C5D33"/>
    <w:rsid w:val="005C5D96"/>
    <w:rsid w:val="005C5F5C"/>
    <w:rsid w:val="005C60DA"/>
    <w:rsid w:val="005C6520"/>
    <w:rsid w:val="005C658A"/>
    <w:rsid w:val="005C6612"/>
    <w:rsid w:val="005C6B14"/>
    <w:rsid w:val="005C6F24"/>
    <w:rsid w:val="005C6F33"/>
    <w:rsid w:val="005C6FA5"/>
    <w:rsid w:val="005C7063"/>
    <w:rsid w:val="005C74E1"/>
    <w:rsid w:val="005C77D0"/>
    <w:rsid w:val="005C79AA"/>
    <w:rsid w:val="005C7A52"/>
    <w:rsid w:val="005C7D47"/>
    <w:rsid w:val="005C7F48"/>
    <w:rsid w:val="005C7FF5"/>
    <w:rsid w:val="005D007A"/>
    <w:rsid w:val="005D022C"/>
    <w:rsid w:val="005D0262"/>
    <w:rsid w:val="005D0447"/>
    <w:rsid w:val="005D0547"/>
    <w:rsid w:val="005D0773"/>
    <w:rsid w:val="005D07C5"/>
    <w:rsid w:val="005D0CBF"/>
    <w:rsid w:val="005D10A0"/>
    <w:rsid w:val="005D1259"/>
    <w:rsid w:val="005D1308"/>
    <w:rsid w:val="005D1489"/>
    <w:rsid w:val="005D15A7"/>
    <w:rsid w:val="005D166D"/>
    <w:rsid w:val="005D1780"/>
    <w:rsid w:val="005D17ED"/>
    <w:rsid w:val="005D199B"/>
    <w:rsid w:val="005D19A8"/>
    <w:rsid w:val="005D1B0C"/>
    <w:rsid w:val="005D1B7E"/>
    <w:rsid w:val="005D1C03"/>
    <w:rsid w:val="005D1C8F"/>
    <w:rsid w:val="005D1D09"/>
    <w:rsid w:val="005D1F7C"/>
    <w:rsid w:val="005D1FAA"/>
    <w:rsid w:val="005D25A1"/>
    <w:rsid w:val="005D27A4"/>
    <w:rsid w:val="005D2934"/>
    <w:rsid w:val="005D2BD4"/>
    <w:rsid w:val="005D2BEF"/>
    <w:rsid w:val="005D2FAA"/>
    <w:rsid w:val="005D3361"/>
    <w:rsid w:val="005D3398"/>
    <w:rsid w:val="005D3820"/>
    <w:rsid w:val="005D386E"/>
    <w:rsid w:val="005D3BEE"/>
    <w:rsid w:val="005D3E6E"/>
    <w:rsid w:val="005D4212"/>
    <w:rsid w:val="005D425C"/>
    <w:rsid w:val="005D4393"/>
    <w:rsid w:val="005D45E4"/>
    <w:rsid w:val="005D46C4"/>
    <w:rsid w:val="005D48AD"/>
    <w:rsid w:val="005D48B4"/>
    <w:rsid w:val="005D4D02"/>
    <w:rsid w:val="005D502C"/>
    <w:rsid w:val="005D50D9"/>
    <w:rsid w:val="005D51AC"/>
    <w:rsid w:val="005D5345"/>
    <w:rsid w:val="005D5397"/>
    <w:rsid w:val="005D5672"/>
    <w:rsid w:val="005D5765"/>
    <w:rsid w:val="005D57BA"/>
    <w:rsid w:val="005D5CED"/>
    <w:rsid w:val="005D5F10"/>
    <w:rsid w:val="005D5F6D"/>
    <w:rsid w:val="005D5FE9"/>
    <w:rsid w:val="005D621D"/>
    <w:rsid w:val="005D63EA"/>
    <w:rsid w:val="005D6400"/>
    <w:rsid w:val="005D6416"/>
    <w:rsid w:val="005D6450"/>
    <w:rsid w:val="005D6B7E"/>
    <w:rsid w:val="005D6D9E"/>
    <w:rsid w:val="005D6DE3"/>
    <w:rsid w:val="005D6FC6"/>
    <w:rsid w:val="005D754F"/>
    <w:rsid w:val="005D7572"/>
    <w:rsid w:val="005D76AE"/>
    <w:rsid w:val="005D7728"/>
    <w:rsid w:val="005D7774"/>
    <w:rsid w:val="005D7B21"/>
    <w:rsid w:val="005D7B47"/>
    <w:rsid w:val="005E0182"/>
    <w:rsid w:val="005E0184"/>
    <w:rsid w:val="005E0199"/>
    <w:rsid w:val="005E0437"/>
    <w:rsid w:val="005E061C"/>
    <w:rsid w:val="005E06B5"/>
    <w:rsid w:val="005E07F9"/>
    <w:rsid w:val="005E088E"/>
    <w:rsid w:val="005E097A"/>
    <w:rsid w:val="005E09D1"/>
    <w:rsid w:val="005E0A31"/>
    <w:rsid w:val="005E0D3D"/>
    <w:rsid w:val="005E11A4"/>
    <w:rsid w:val="005E1243"/>
    <w:rsid w:val="005E1249"/>
    <w:rsid w:val="005E12D7"/>
    <w:rsid w:val="005E1339"/>
    <w:rsid w:val="005E15FA"/>
    <w:rsid w:val="005E1641"/>
    <w:rsid w:val="005E1780"/>
    <w:rsid w:val="005E178D"/>
    <w:rsid w:val="005E1A0B"/>
    <w:rsid w:val="005E1A21"/>
    <w:rsid w:val="005E1ABA"/>
    <w:rsid w:val="005E1EC0"/>
    <w:rsid w:val="005E2052"/>
    <w:rsid w:val="005E2077"/>
    <w:rsid w:val="005E2628"/>
    <w:rsid w:val="005E2682"/>
    <w:rsid w:val="005E27A6"/>
    <w:rsid w:val="005E28D5"/>
    <w:rsid w:val="005E2A98"/>
    <w:rsid w:val="005E2AB4"/>
    <w:rsid w:val="005E2BA4"/>
    <w:rsid w:val="005E2DC1"/>
    <w:rsid w:val="005E3011"/>
    <w:rsid w:val="005E34F0"/>
    <w:rsid w:val="005E353F"/>
    <w:rsid w:val="005E3817"/>
    <w:rsid w:val="005E3875"/>
    <w:rsid w:val="005E3BD9"/>
    <w:rsid w:val="005E3E71"/>
    <w:rsid w:val="005E3FD4"/>
    <w:rsid w:val="005E417F"/>
    <w:rsid w:val="005E433B"/>
    <w:rsid w:val="005E4434"/>
    <w:rsid w:val="005E47CA"/>
    <w:rsid w:val="005E4CB4"/>
    <w:rsid w:val="005E4E2B"/>
    <w:rsid w:val="005E4E46"/>
    <w:rsid w:val="005E5013"/>
    <w:rsid w:val="005E508D"/>
    <w:rsid w:val="005E50FF"/>
    <w:rsid w:val="005E51CF"/>
    <w:rsid w:val="005E54F6"/>
    <w:rsid w:val="005E558A"/>
    <w:rsid w:val="005E5673"/>
    <w:rsid w:val="005E56CB"/>
    <w:rsid w:val="005E5704"/>
    <w:rsid w:val="005E5B35"/>
    <w:rsid w:val="005E5DA3"/>
    <w:rsid w:val="005E5DEF"/>
    <w:rsid w:val="005E5EE2"/>
    <w:rsid w:val="005E5F3D"/>
    <w:rsid w:val="005E61CC"/>
    <w:rsid w:val="005E6576"/>
    <w:rsid w:val="005E65A1"/>
    <w:rsid w:val="005E660E"/>
    <w:rsid w:val="005E67E4"/>
    <w:rsid w:val="005E688F"/>
    <w:rsid w:val="005E6AC9"/>
    <w:rsid w:val="005E6C8B"/>
    <w:rsid w:val="005E6D65"/>
    <w:rsid w:val="005E6DE5"/>
    <w:rsid w:val="005E6E75"/>
    <w:rsid w:val="005E7000"/>
    <w:rsid w:val="005E70B2"/>
    <w:rsid w:val="005E7367"/>
    <w:rsid w:val="005E73C6"/>
    <w:rsid w:val="005E746E"/>
    <w:rsid w:val="005E7590"/>
    <w:rsid w:val="005E76AA"/>
    <w:rsid w:val="005E79D2"/>
    <w:rsid w:val="005E7A67"/>
    <w:rsid w:val="005E7AEE"/>
    <w:rsid w:val="005E7C31"/>
    <w:rsid w:val="005E7C4A"/>
    <w:rsid w:val="005E7D72"/>
    <w:rsid w:val="005E7D8E"/>
    <w:rsid w:val="005E7EF4"/>
    <w:rsid w:val="005E7EFC"/>
    <w:rsid w:val="005F03FD"/>
    <w:rsid w:val="005F08B0"/>
    <w:rsid w:val="005F0909"/>
    <w:rsid w:val="005F0A33"/>
    <w:rsid w:val="005F0B65"/>
    <w:rsid w:val="005F0BA2"/>
    <w:rsid w:val="005F0C5A"/>
    <w:rsid w:val="005F10FF"/>
    <w:rsid w:val="005F11DA"/>
    <w:rsid w:val="005F12CF"/>
    <w:rsid w:val="005F1491"/>
    <w:rsid w:val="005F14AB"/>
    <w:rsid w:val="005F14E1"/>
    <w:rsid w:val="005F1626"/>
    <w:rsid w:val="005F1736"/>
    <w:rsid w:val="005F18DD"/>
    <w:rsid w:val="005F192C"/>
    <w:rsid w:val="005F1975"/>
    <w:rsid w:val="005F1B64"/>
    <w:rsid w:val="005F21B8"/>
    <w:rsid w:val="005F22FB"/>
    <w:rsid w:val="005F2826"/>
    <w:rsid w:val="005F28CB"/>
    <w:rsid w:val="005F2B8E"/>
    <w:rsid w:val="005F2D46"/>
    <w:rsid w:val="005F2E35"/>
    <w:rsid w:val="005F3488"/>
    <w:rsid w:val="005F36A3"/>
    <w:rsid w:val="005F3745"/>
    <w:rsid w:val="005F39FB"/>
    <w:rsid w:val="005F3C07"/>
    <w:rsid w:val="005F3C41"/>
    <w:rsid w:val="005F40FB"/>
    <w:rsid w:val="005F412B"/>
    <w:rsid w:val="005F424A"/>
    <w:rsid w:val="005F433F"/>
    <w:rsid w:val="005F45BC"/>
    <w:rsid w:val="005F4633"/>
    <w:rsid w:val="005F4689"/>
    <w:rsid w:val="005F4ADF"/>
    <w:rsid w:val="005F4D99"/>
    <w:rsid w:val="005F4EEE"/>
    <w:rsid w:val="005F500B"/>
    <w:rsid w:val="005F51D8"/>
    <w:rsid w:val="005F524B"/>
    <w:rsid w:val="005F5404"/>
    <w:rsid w:val="005F5855"/>
    <w:rsid w:val="005F5965"/>
    <w:rsid w:val="005F5B9C"/>
    <w:rsid w:val="005F5C9B"/>
    <w:rsid w:val="005F5CB0"/>
    <w:rsid w:val="005F5D6A"/>
    <w:rsid w:val="005F5DD3"/>
    <w:rsid w:val="005F5F63"/>
    <w:rsid w:val="005F61A9"/>
    <w:rsid w:val="005F6221"/>
    <w:rsid w:val="005F6268"/>
    <w:rsid w:val="005F632A"/>
    <w:rsid w:val="005F63A6"/>
    <w:rsid w:val="005F6400"/>
    <w:rsid w:val="005F6AE7"/>
    <w:rsid w:val="005F6B72"/>
    <w:rsid w:val="005F6E2D"/>
    <w:rsid w:val="005F70EC"/>
    <w:rsid w:val="005F7318"/>
    <w:rsid w:val="005F745D"/>
    <w:rsid w:val="005F784D"/>
    <w:rsid w:val="005F7D6B"/>
    <w:rsid w:val="005F7D9E"/>
    <w:rsid w:val="005F7F69"/>
    <w:rsid w:val="00600297"/>
    <w:rsid w:val="00600555"/>
    <w:rsid w:val="00600742"/>
    <w:rsid w:val="0060074F"/>
    <w:rsid w:val="00600767"/>
    <w:rsid w:val="00600964"/>
    <w:rsid w:val="0060097F"/>
    <w:rsid w:val="00600C69"/>
    <w:rsid w:val="00600CC6"/>
    <w:rsid w:val="00600DC9"/>
    <w:rsid w:val="00600F4C"/>
    <w:rsid w:val="00601027"/>
    <w:rsid w:val="0060125E"/>
    <w:rsid w:val="0060140D"/>
    <w:rsid w:val="006014AA"/>
    <w:rsid w:val="00601521"/>
    <w:rsid w:val="0060180B"/>
    <w:rsid w:val="0060188C"/>
    <w:rsid w:val="00601D95"/>
    <w:rsid w:val="00601FE8"/>
    <w:rsid w:val="00602070"/>
    <w:rsid w:val="006020AE"/>
    <w:rsid w:val="006021BB"/>
    <w:rsid w:val="006022B0"/>
    <w:rsid w:val="006022BA"/>
    <w:rsid w:val="0060234D"/>
    <w:rsid w:val="0060247E"/>
    <w:rsid w:val="006024EF"/>
    <w:rsid w:val="006025A1"/>
    <w:rsid w:val="006027EE"/>
    <w:rsid w:val="006027F0"/>
    <w:rsid w:val="00602A35"/>
    <w:rsid w:val="00602AB6"/>
    <w:rsid w:val="0060314E"/>
    <w:rsid w:val="0060327C"/>
    <w:rsid w:val="00603319"/>
    <w:rsid w:val="00603389"/>
    <w:rsid w:val="00603506"/>
    <w:rsid w:val="006038B4"/>
    <w:rsid w:val="00603C07"/>
    <w:rsid w:val="00603D40"/>
    <w:rsid w:val="00603D6A"/>
    <w:rsid w:val="00603EA0"/>
    <w:rsid w:val="00603F8A"/>
    <w:rsid w:val="00604140"/>
    <w:rsid w:val="0060417A"/>
    <w:rsid w:val="006041B8"/>
    <w:rsid w:val="006045FF"/>
    <w:rsid w:val="00604785"/>
    <w:rsid w:val="00604AA2"/>
    <w:rsid w:val="00604E7D"/>
    <w:rsid w:val="00604EBB"/>
    <w:rsid w:val="00604F0A"/>
    <w:rsid w:val="00604F34"/>
    <w:rsid w:val="00604F77"/>
    <w:rsid w:val="00605091"/>
    <w:rsid w:val="00605735"/>
    <w:rsid w:val="00605822"/>
    <w:rsid w:val="006058C7"/>
    <w:rsid w:val="006058E9"/>
    <w:rsid w:val="00605AF7"/>
    <w:rsid w:val="00605C50"/>
    <w:rsid w:val="00605D4D"/>
    <w:rsid w:val="00605F0B"/>
    <w:rsid w:val="0060610A"/>
    <w:rsid w:val="0060610F"/>
    <w:rsid w:val="00606215"/>
    <w:rsid w:val="00606407"/>
    <w:rsid w:val="006066C8"/>
    <w:rsid w:val="00606884"/>
    <w:rsid w:val="00606CF7"/>
    <w:rsid w:val="00606CF8"/>
    <w:rsid w:val="00606DB0"/>
    <w:rsid w:val="00606E92"/>
    <w:rsid w:val="00607011"/>
    <w:rsid w:val="00607175"/>
    <w:rsid w:val="0060726B"/>
    <w:rsid w:val="00607310"/>
    <w:rsid w:val="00607402"/>
    <w:rsid w:val="00607425"/>
    <w:rsid w:val="006077F7"/>
    <w:rsid w:val="00607DF2"/>
    <w:rsid w:val="00607F29"/>
    <w:rsid w:val="00607F49"/>
    <w:rsid w:val="00607F93"/>
    <w:rsid w:val="00610169"/>
    <w:rsid w:val="006101BD"/>
    <w:rsid w:val="0061031F"/>
    <w:rsid w:val="0061071A"/>
    <w:rsid w:val="0061076E"/>
    <w:rsid w:val="006107D0"/>
    <w:rsid w:val="006108D1"/>
    <w:rsid w:val="00610A44"/>
    <w:rsid w:val="00610BC2"/>
    <w:rsid w:val="00610CD3"/>
    <w:rsid w:val="00610CE2"/>
    <w:rsid w:val="00610FC4"/>
    <w:rsid w:val="006110AD"/>
    <w:rsid w:val="006111B8"/>
    <w:rsid w:val="006114BF"/>
    <w:rsid w:val="006114C2"/>
    <w:rsid w:val="006115EF"/>
    <w:rsid w:val="00611774"/>
    <w:rsid w:val="0061178F"/>
    <w:rsid w:val="00611A3E"/>
    <w:rsid w:val="00611C4E"/>
    <w:rsid w:val="00611C98"/>
    <w:rsid w:val="00611FD0"/>
    <w:rsid w:val="00612051"/>
    <w:rsid w:val="00612074"/>
    <w:rsid w:val="006120FA"/>
    <w:rsid w:val="00612109"/>
    <w:rsid w:val="00612135"/>
    <w:rsid w:val="00612413"/>
    <w:rsid w:val="00612483"/>
    <w:rsid w:val="0061256B"/>
    <w:rsid w:val="0061274A"/>
    <w:rsid w:val="00612B0D"/>
    <w:rsid w:val="00612BEE"/>
    <w:rsid w:val="00612C40"/>
    <w:rsid w:val="00612CAD"/>
    <w:rsid w:val="00612D45"/>
    <w:rsid w:val="00612E46"/>
    <w:rsid w:val="00613061"/>
    <w:rsid w:val="00613221"/>
    <w:rsid w:val="0061384B"/>
    <w:rsid w:val="006138F8"/>
    <w:rsid w:val="00613A05"/>
    <w:rsid w:val="00613B23"/>
    <w:rsid w:val="00613D99"/>
    <w:rsid w:val="00613DBC"/>
    <w:rsid w:val="0061401C"/>
    <w:rsid w:val="00614216"/>
    <w:rsid w:val="00614297"/>
    <w:rsid w:val="006143E5"/>
    <w:rsid w:val="006147B1"/>
    <w:rsid w:val="00614938"/>
    <w:rsid w:val="00614B21"/>
    <w:rsid w:val="00614EA8"/>
    <w:rsid w:val="006154D1"/>
    <w:rsid w:val="00615985"/>
    <w:rsid w:val="00615E23"/>
    <w:rsid w:val="00615EA0"/>
    <w:rsid w:val="00616014"/>
    <w:rsid w:val="006160D7"/>
    <w:rsid w:val="006161B0"/>
    <w:rsid w:val="0061657E"/>
    <w:rsid w:val="00616586"/>
    <w:rsid w:val="0061667A"/>
    <w:rsid w:val="006169E1"/>
    <w:rsid w:val="00616DD9"/>
    <w:rsid w:val="00616E76"/>
    <w:rsid w:val="0061754D"/>
    <w:rsid w:val="0061787D"/>
    <w:rsid w:val="00617C2D"/>
    <w:rsid w:val="00617CEF"/>
    <w:rsid w:val="00617D51"/>
    <w:rsid w:val="00620097"/>
    <w:rsid w:val="00620154"/>
    <w:rsid w:val="00620193"/>
    <w:rsid w:val="0062026D"/>
    <w:rsid w:val="0062037C"/>
    <w:rsid w:val="006206DC"/>
    <w:rsid w:val="0062078C"/>
    <w:rsid w:val="006208D5"/>
    <w:rsid w:val="00620C13"/>
    <w:rsid w:val="00621093"/>
    <w:rsid w:val="00621308"/>
    <w:rsid w:val="00621364"/>
    <w:rsid w:val="00621585"/>
    <w:rsid w:val="0062170A"/>
    <w:rsid w:val="00621856"/>
    <w:rsid w:val="00621B0C"/>
    <w:rsid w:val="00621CA7"/>
    <w:rsid w:val="00621CCD"/>
    <w:rsid w:val="00621FC1"/>
    <w:rsid w:val="0062218A"/>
    <w:rsid w:val="006224E9"/>
    <w:rsid w:val="00622576"/>
    <w:rsid w:val="006226B8"/>
    <w:rsid w:val="00622862"/>
    <w:rsid w:val="00622942"/>
    <w:rsid w:val="006229F9"/>
    <w:rsid w:val="00622E96"/>
    <w:rsid w:val="00622FA8"/>
    <w:rsid w:val="0062308C"/>
    <w:rsid w:val="0062321E"/>
    <w:rsid w:val="00623386"/>
    <w:rsid w:val="00623441"/>
    <w:rsid w:val="006234AA"/>
    <w:rsid w:val="0062358C"/>
    <w:rsid w:val="0062364D"/>
    <w:rsid w:val="00623A00"/>
    <w:rsid w:val="00623D29"/>
    <w:rsid w:val="00623ED7"/>
    <w:rsid w:val="00623F46"/>
    <w:rsid w:val="00624184"/>
    <w:rsid w:val="00624442"/>
    <w:rsid w:val="0062449C"/>
    <w:rsid w:val="006245F0"/>
    <w:rsid w:val="0062481C"/>
    <w:rsid w:val="00624A53"/>
    <w:rsid w:val="00624A73"/>
    <w:rsid w:val="00624CF7"/>
    <w:rsid w:val="00624ECA"/>
    <w:rsid w:val="0062506E"/>
    <w:rsid w:val="006251F0"/>
    <w:rsid w:val="00625533"/>
    <w:rsid w:val="00625787"/>
    <w:rsid w:val="006258FE"/>
    <w:rsid w:val="00625E49"/>
    <w:rsid w:val="00625EC9"/>
    <w:rsid w:val="00625F71"/>
    <w:rsid w:val="00625F94"/>
    <w:rsid w:val="00626135"/>
    <w:rsid w:val="006261AF"/>
    <w:rsid w:val="006263B5"/>
    <w:rsid w:val="006265DD"/>
    <w:rsid w:val="006265FE"/>
    <w:rsid w:val="006266F9"/>
    <w:rsid w:val="0062679D"/>
    <w:rsid w:val="00626805"/>
    <w:rsid w:val="00626901"/>
    <w:rsid w:val="0062696C"/>
    <w:rsid w:val="00626C29"/>
    <w:rsid w:val="00626CC2"/>
    <w:rsid w:val="00626CE2"/>
    <w:rsid w:val="00626D5A"/>
    <w:rsid w:val="00626D64"/>
    <w:rsid w:val="00626DBB"/>
    <w:rsid w:val="00626E73"/>
    <w:rsid w:val="00627000"/>
    <w:rsid w:val="0062717C"/>
    <w:rsid w:val="0062731D"/>
    <w:rsid w:val="006274D5"/>
    <w:rsid w:val="006274E4"/>
    <w:rsid w:val="00627600"/>
    <w:rsid w:val="006276E0"/>
    <w:rsid w:val="00627793"/>
    <w:rsid w:val="00627ACD"/>
    <w:rsid w:val="00627CE2"/>
    <w:rsid w:val="00627CEA"/>
    <w:rsid w:val="00627D66"/>
    <w:rsid w:val="00627D74"/>
    <w:rsid w:val="00627DE2"/>
    <w:rsid w:val="00627E22"/>
    <w:rsid w:val="00627EF3"/>
    <w:rsid w:val="006302FA"/>
    <w:rsid w:val="00630466"/>
    <w:rsid w:val="006309D5"/>
    <w:rsid w:val="00630AAD"/>
    <w:rsid w:val="00630AB0"/>
    <w:rsid w:val="00630B01"/>
    <w:rsid w:val="00630B02"/>
    <w:rsid w:val="00630ED8"/>
    <w:rsid w:val="00631103"/>
    <w:rsid w:val="0063111A"/>
    <w:rsid w:val="00631178"/>
    <w:rsid w:val="0063126A"/>
    <w:rsid w:val="0063134D"/>
    <w:rsid w:val="006313C0"/>
    <w:rsid w:val="00631576"/>
    <w:rsid w:val="00631617"/>
    <w:rsid w:val="0063180F"/>
    <w:rsid w:val="00631DBD"/>
    <w:rsid w:val="00631E11"/>
    <w:rsid w:val="00632135"/>
    <w:rsid w:val="006321B9"/>
    <w:rsid w:val="00632253"/>
    <w:rsid w:val="006322C2"/>
    <w:rsid w:val="00632531"/>
    <w:rsid w:val="006325D9"/>
    <w:rsid w:val="0063293A"/>
    <w:rsid w:val="00632B37"/>
    <w:rsid w:val="006333CA"/>
    <w:rsid w:val="006333FE"/>
    <w:rsid w:val="00633419"/>
    <w:rsid w:val="00633650"/>
    <w:rsid w:val="006338AB"/>
    <w:rsid w:val="006338FA"/>
    <w:rsid w:val="00633992"/>
    <w:rsid w:val="00633A19"/>
    <w:rsid w:val="00633AAE"/>
    <w:rsid w:val="00633AE5"/>
    <w:rsid w:val="00633D2C"/>
    <w:rsid w:val="00634125"/>
    <w:rsid w:val="0063427B"/>
    <w:rsid w:val="006342A9"/>
    <w:rsid w:val="006342C5"/>
    <w:rsid w:val="0063446A"/>
    <w:rsid w:val="0063478F"/>
    <w:rsid w:val="00634796"/>
    <w:rsid w:val="00634873"/>
    <w:rsid w:val="00634AD5"/>
    <w:rsid w:val="00634AE9"/>
    <w:rsid w:val="00634AF8"/>
    <w:rsid w:val="00634B28"/>
    <w:rsid w:val="00634F92"/>
    <w:rsid w:val="00634F9C"/>
    <w:rsid w:val="0063502B"/>
    <w:rsid w:val="00635073"/>
    <w:rsid w:val="0063517F"/>
    <w:rsid w:val="006352D9"/>
    <w:rsid w:val="0063534D"/>
    <w:rsid w:val="00635513"/>
    <w:rsid w:val="00635555"/>
    <w:rsid w:val="006355F4"/>
    <w:rsid w:val="0063568C"/>
    <w:rsid w:val="0063576D"/>
    <w:rsid w:val="006357CC"/>
    <w:rsid w:val="00635D41"/>
    <w:rsid w:val="006365C1"/>
    <w:rsid w:val="00636771"/>
    <w:rsid w:val="00636ABB"/>
    <w:rsid w:val="00636AE0"/>
    <w:rsid w:val="00636F53"/>
    <w:rsid w:val="00637267"/>
    <w:rsid w:val="00637479"/>
    <w:rsid w:val="006375A9"/>
    <w:rsid w:val="0063789D"/>
    <w:rsid w:val="00637A92"/>
    <w:rsid w:val="00640027"/>
    <w:rsid w:val="00640197"/>
    <w:rsid w:val="006403CA"/>
    <w:rsid w:val="0064049D"/>
    <w:rsid w:val="006406B7"/>
    <w:rsid w:val="006406EF"/>
    <w:rsid w:val="006409F2"/>
    <w:rsid w:val="006409F6"/>
    <w:rsid w:val="00640BA6"/>
    <w:rsid w:val="00640D15"/>
    <w:rsid w:val="00640DAA"/>
    <w:rsid w:val="00640EE2"/>
    <w:rsid w:val="00641174"/>
    <w:rsid w:val="006412EC"/>
    <w:rsid w:val="00641338"/>
    <w:rsid w:val="006415D5"/>
    <w:rsid w:val="00641A76"/>
    <w:rsid w:val="00641B21"/>
    <w:rsid w:val="00641BC2"/>
    <w:rsid w:val="00641CF6"/>
    <w:rsid w:val="00641EF2"/>
    <w:rsid w:val="00642095"/>
    <w:rsid w:val="00642273"/>
    <w:rsid w:val="0064230A"/>
    <w:rsid w:val="00642992"/>
    <w:rsid w:val="00642E27"/>
    <w:rsid w:val="00642ECC"/>
    <w:rsid w:val="00643170"/>
    <w:rsid w:val="00643276"/>
    <w:rsid w:val="00643440"/>
    <w:rsid w:val="006435F2"/>
    <w:rsid w:val="00643831"/>
    <w:rsid w:val="00643846"/>
    <w:rsid w:val="006438FB"/>
    <w:rsid w:val="006439ED"/>
    <w:rsid w:val="00643ACE"/>
    <w:rsid w:val="00643B36"/>
    <w:rsid w:val="00643CAB"/>
    <w:rsid w:val="00643CAE"/>
    <w:rsid w:val="0064408B"/>
    <w:rsid w:val="0064415C"/>
    <w:rsid w:val="006444A9"/>
    <w:rsid w:val="0064450F"/>
    <w:rsid w:val="0064455A"/>
    <w:rsid w:val="006446C0"/>
    <w:rsid w:val="00644880"/>
    <w:rsid w:val="00644979"/>
    <w:rsid w:val="00644A22"/>
    <w:rsid w:val="00644B4C"/>
    <w:rsid w:val="00644F98"/>
    <w:rsid w:val="0064517D"/>
    <w:rsid w:val="006452A8"/>
    <w:rsid w:val="0064575E"/>
    <w:rsid w:val="00645BBE"/>
    <w:rsid w:val="00645C41"/>
    <w:rsid w:val="00645C82"/>
    <w:rsid w:val="00645E73"/>
    <w:rsid w:val="00645F9C"/>
    <w:rsid w:val="00646114"/>
    <w:rsid w:val="00646129"/>
    <w:rsid w:val="0064612A"/>
    <w:rsid w:val="006461D1"/>
    <w:rsid w:val="00646306"/>
    <w:rsid w:val="0064634D"/>
    <w:rsid w:val="006463E2"/>
    <w:rsid w:val="0064641A"/>
    <w:rsid w:val="00646503"/>
    <w:rsid w:val="0064653B"/>
    <w:rsid w:val="00646E42"/>
    <w:rsid w:val="00647275"/>
    <w:rsid w:val="006476F8"/>
    <w:rsid w:val="006478C4"/>
    <w:rsid w:val="0064798C"/>
    <w:rsid w:val="00647BCF"/>
    <w:rsid w:val="00647CC9"/>
    <w:rsid w:val="00647D1E"/>
    <w:rsid w:val="00647FEB"/>
    <w:rsid w:val="006502E4"/>
    <w:rsid w:val="00650315"/>
    <w:rsid w:val="00650417"/>
    <w:rsid w:val="00650427"/>
    <w:rsid w:val="00650428"/>
    <w:rsid w:val="00650438"/>
    <w:rsid w:val="00650869"/>
    <w:rsid w:val="00650F33"/>
    <w:rsid w:val="006511B0"/>
    <w:rsid w:val="006511B5"/>
    <w:rsid w:val="006514FD"/>
    <w:rsid w:val="00651703"/>
    <w:rsid w:val="00651754"/>
    <w:rsid w:val="00651781"/>
    <w:rsid w:val="006518EF"/>
    <w:rsid w:val="006519F7"/>
    <w:rsid w:val="00651A4D"/>
    <w:rsid w:val="00651AC2"/>
    <w:rsid w:val="00651B65"/>
    <w:rsid w:val="00651D33"/>
    <w:rsid w:val="00651FF7"/>
    <w:rsid w:val="00652056"/>
    <w:rsid w:val="00652072"/>
    <w:rsid w:val="0065209F"/>
    <w:rsid w:val="006522BF"/>
    <w:rsid w:val="00652342"/>
    <w:rsid w:val="006523C9"/>
    <w:rsid w:val="006523D8"/>
    <w:rsid w:val="00652656"/>
    <w:rsid w:val="006528BC"/>
    <w:rsid w:val="006528F5"/>
    <w:rsid w:val="006529C4"/>
    <w:rsid w:val="00652B65"/>
    <w:rsid w:val="00652C1C"/>
    <w:rsid w:val="00652F6A"/>
    <w:rsid w:val="00653037"/>
    <w:rsid w:val="006532EE"/>
    <w:rsid w:val="0065334C"/>
    <w:rsid w:val="00653488"/>
    <w:rsid w:val="0065365E"/>
    <w:rsid w:val="00653714"/>
    <w:rsid w:val="0065373A"/>
    <w:rsid w:val="0065398B"/>
    <w:rsid w:val="006539B6"/>
    <w:rsid w:val="00653A2F"/>
    <w:rsid w:val="00653AA6"/>
    <w:rsid w:val="00653F5A"/>
    <w:rsid w:val="00654218"/>
    <w:rsid w:val="0065428E"/>
    <w:rsid w:val="006542B1"/>
    <w:rsid w:val="006545B1"/>
    <w:rsid w:val="00654B73"/>
    <w:rsid w:val="00654DE5"/>
    <w:rsid w:val="00654E07"/>
    <w:rsid w:val="006550E5"/>
    <w:rsid w:val="006551BD"/>
    <w:rsid w:val="006553B6"/>
    <w:rsid w:val="006553C7"/>
    <w:rsid w:val="006555FA"/>
    <w:rsid w:val="006556AE"/>
    <w:rsid w:val="00655709"/>
    <w:rsid w:val="0065571B"/>
    <w:rsid w:val="006558C1"/>
    <w:rsid w:val="00655910"/>
    <w:rsid w:val="00655C8E"/>
    <w:rsid w:val="00655CFE"/>
    <w:rsid w:val="00655F00"/>
    <w:rsid w:val="00655F07"/>
    <w:rsid w:val="00655FF8"/>
    <w:rsid w:val="0065608C"/>
    <w:rsid w:val="0065611F"/>
    <w:rsid w:val="0065617A"/>
    <w:rsid w:val="00656456"/>
    <w:rsid w:val="00656603"/>
    <w:rsid w:val="006566CD"/>
    <w:rsid w:val="0065671D"/>
    <w:rsid w:val="0065677E"/>
    <w:rsid w:val="00656A90"/>
    <w:rsid w:val="00656B60"/>
    <w:rsid w:val="00656BA0"/>
    <w:rsid w:val="00656CC0"/>
    <w:rsid w:val="006570CF"/>
    <w:rsid w:val="00657481"/>
    <w:rsid w:val="006574AC"/>
    <w:rsid w:val="00657650"/>
    <w:rsid w:val="006576C3"/>
    <w:rsid w:val="006576E8"/>
    <w:rsid w:val="006577BE"/>
    <w:rsid w:val="00657A0E"/>
    <w:rsid w:val="00657A60"/>
    <w:rsid w:val="00657AB5"/>
    <w:rsid w:val="00657AF6"/>
    <w:rsid w:val="00657CD8"/>
    <w:rsid w:val="00657D0A"/>
    <w:rsid w:val="00657E33"/>
    <w:rsid w:val="00657EE6"/>
    <w:rsid w:val="00660004"/>
    <w:rsid w:val="00660057"/>
    <w:rsid w:val="006601FE"/>
    <w:rsid w:val="00660206"/>
    <w:rsid w:val="006602E5"/>
    <w:rsid w:val="0066058C"/>
    <w:rsid w:val="00660732"/>
    <w:rsid w:val="00660A42"/>
    <w:rsid w:val="00660BC6"/>
    <w:rsid w:val="00660D8A"/>
    <w:rsid w:val="00660E33"/>
    <w:rsid w:val="00660F1E"/>
    <w:rsid w:val="00660FDB"/>
    <w:rsid w:val="00661060"/>
    <w:rsid w:val="006612A3"/>
    <w:rsid w:val="006612A6"/>
    <w:rsid w:val="006613C1"/>
    <w:rsid w:val="006614ED"/>
    <w:rsid w:val="00661557"/>
    <w:rsid w:val="006616C2"/>
    <w:rsid w:val="006617DF"/>
    <w:rsid w:val="00661868"/>
    <w:rsid w:val="006618C0"/>
    <w:rsid w:val="006618F6"/>
    <w:rsid w:val="00661B4B"/>
    <w:rsid w:val="00661CC9"/>
    <w:rsid w:val="00661D3F"/>
    <w:rsid w:val="00661F6C"/>
    <w:rsid w:val="0066224C"/>
    <w:rsid w:val="006627FB"/>
    <w:rsid w:val="00662837"/>
    <w:rsid w:val="006628C1"/>
    <w:rsid w:val="00662A05"/>
    <w:rsid w:val="00662CCB"/>
    <w:rsid w:val="00662D3E"/>
    <w:rsid w:val="0066316A"/>
    <w:rsid w:val="0066320F"/>
    <w:rsid w:val="00663357"/>
    <w:rsid w:val="00663390"/>
    <w:rsid w:val="00663447"/>
    <w:rsid w:val="00663648"/>
    <w:rsid w:val="006638A5"/>
    <w:rsid w:val="00663AB1"/>
    <w:rsid w:val="00663B42"/>
    <w:rsid w:val="00663E68"/>
    <w:rsid w:val="00663F2C"/>
    <w:rsid w:val="00663F6A"/>
    <w:rsid w:val="00663F8C"/>
    <w:rsid w:val="006640C1"/>
    <w:rsid w:val="0066425C"/>
    <w:rsid w:val="0066431C"/>
    <w:rsid w:val="006643ED"/>
    <w:rsid w:val="0066441D"/>
    <w:rsid w:val="006644EB"/>
    <w:rsid w:val="00664536"/>
    <w:rsid w:val="00664958"/>
    <w:rsid w:val="006649BD"/>
    <w:rsid w:val="00664B4D"/>
    <w:rsid w:val="00664E14"/>
    <w:rsid w:val="00664E6D"/>
    <w:rsid w:val="00664F58"/>
    <w:rsid w:val="00665225"/>
    <w:rsid w:val="006656AD"/>
    <w:rsid w:val="0066572F"/>
    <w:rsid w:val="00665808"/>
    <w:rsid w:val="0066588C"/>
    <w:rsid w:val="006658DF"/>
    <w:rsid w:val="00665C5F"/>
    <w:rsid w:val="00665E14"/>
    <w:rsid w:val="0066636A"/>
    <w:rsid w:val="0066651C"/>
    <w:rsid w:val="00666985"/>
    <w:rsid w:val="006669C1"/>
    <w:rsid w:val="00666A6D"/>
    <w:rsid w:val="00666FDE"/>
    <w:rsid w:val="00667009"/>
    <w:rsid w:val="006671AE"/>
    <w:rsid w:val="00667985"/>
    <w:rsid w:val="006706D0"/>
    <w:rsid w:val="00670750"/>
    <w:rsid w:val="00670BDE"/>
    <w:rsid w:val="00670D59"/>
    <w:rsid w:val="00671575"/>
    <w:rsid w:val="00671AB8"/>
    <w:rsid w:val="00671B80"/>
    <w:rsid w:val="00671C58"/>
    <w:rsid w:val="00671E94"/>
    <w:rsid w:val="00671F1A"/>
    <w:rsid w:val="00671F7F"/>
    <w:rsid w:val="00672052"/>
    <w:rsid w:val="00672198"/>
    <w:rsid w:val="006721EF"/>
    <w:rsid w:val="00672389"/>
    <w:rsid w:val="0067252B"/>
    <w:rsid w:val="0067255A"/>
    <w:rsid w:val="006725FA"/>
    <w:rsid w:val="00672760"/>
    <w:rsid w:val="006727F2"/>
    <w:rsid w:val="00672849"/>
    <w:rsid w:val="00672860"/>
    <w:rsid w:val="00672AC6"/>
    <w:rsid w:val="00672BF8"/>
    <w:rsid w:val="00672CAE"/>
    <w:rsid w:val="00672CB6"/>
    <w:rsid w:val="00672DB8"/>
    <w:rsid w:val="00672F03"/>
    <w:rsid w:val="00672F54"/>
    <w:rsid w:val="0067308F"/>
    <w:rsid w:val="006732FA"/>
    <w:rsid w:val="00673366"/>
    <w:rsid w:val="006733B9"/>
    <w:rsid w:val="0067344F"/>
    <w:rsid w:val="00673468"/>
    <w:rsid w:val="00673646"/>
    <w:rsid w:val="0067389D"/>
    <w:rsid w:val="006739F8"/>
    <w:rsid w:val="00673C34"/>
    <w:rsid w:val="00673EB8"/>
    <w:rsid w:val="006740D7"/>
    <w:rsid w:val="0067415B"/>
    <w:rsid w:val="006741DC"/>
    <w:rsid w:val="0067449F"/>
    <w:rsid w:val="006745F7"/>
    <w:rsid w:val="00674771"/>
    <w:rsid w:val="006749E4"/>
    <w:rsid w:val="00674BAD"/>
    <w:rsid w:val="00674BB9"/>
    <w:rsid w:val="00674BE0"/>
    <w:rsid w:val="00674E3A"/>
    <w:rsid w:val="00674F56"/>
    <w:rsid w:val="0067502A"/>
    <w:rsid w:val="0067515B"/>
    <w:rsid w:val="00675252"/>
    <w:rsid w:val="00675298"/>
    <w:rsid w:val="006755E0"/>
    <w:rsid w:val="0067581E"/>
    <w:rsid w:val="00675CA7"/>
    <w:rsid w:val="00675D43"/>
    <w:rsid w:val="00675E10"/>
    <w:rsid w:val="00675E6C"/>
    <w:rsid w:val="00676560"/>
    <w:rsid w:val="00676914"/>
    <w:rsid w:val="00676C0B"/>
    <w:rsid w:val="00676D4B"/>
    <w:rsid w:val="00676E50"/>
    <w:rsid w:val="00676E5C"/>
    <w:rsid w:val="00676FAC"/>
    <w:rsid w:val="00677320"/>
    <w:rsid w:val="006773BE"/>
    <w:rsid w:val="0067748D"/>
    <w:rsid w:val="00677493"/>
    <w:rsid w:val="0067761A"/>
    <w:rsid w:val="0067765D"/>
    <w:rsid w:val="006777F6"/>
    <w:rsid w:val="00677A0C"/>
    <w:rsid w:val="00677A99"/>
    <w:rsid w:val="00677D90"/>
    <w:rsid w:val="00677DB8"/>
    <w:rsid w:val="00680010"/>
    <w:rsid w:val="00680050"/>
    <w:rsid w:val="00680144"/>
    <w:rsid w:val="00680362"/>
    <w:rsid w:val="006804F7"/>
    <w:rsid w:val="00680625"/>
    <w:rsid w:val="00680718"/>
    <w:rsid w:val="00680A31"/>
    <w:rsid w:val="00680A8D"/>
    <w:rsid w:val="00680AC3"/>
    <w:rsid w:val="00680B36"/>
    <w:rsid w:val="00680B54"/>
    <w:rsid w:val="00680C53"/>
    <w:rsid w:val="00680C5C"/>
    <w:rsid w:val="00680CA0"/>
    <w:rsid w:val="00680F88"/>
    <w:rsid w:val="00681164"/>
    <w:rsid w:val="0068116C"/>
    <w:rsid w:val="00681202"/>
    <w:rsid w:val="00681365"/>
    <w:rsid w:val="006813EC"/>
    <w:rsid w:val="006814F4"/>
    <w:rsid w:val="00681623"/>
    <w:rsid w:val="0068173F"/>
    <w:rsid w:val="00681751"/>
    <w:rsid w:val="006818AE"/>
    <w:rsid w:val="00681B00"/>
    <w:rsid w:val="00681B5A"/>
    <w:rsid w:val="00681CBE"/>
    <w:rsid w:val="00681EC8"/>
    <w:rsid w:val="00681F31"/>
    <w:rsid w:val="006821F3"/>
    <w:rsid w:val="00682518"/>
    <w:rsid w:val="00682885"/>
    <w:rsid w:val="00682947"/>
    <w:rsid w:val="00682B0A"/>
    <w:rsid w:val="00682B30"/>
    <w:rsid w:val="00682B33"/>
    <w:rsid w:val="00682F10"/>
    <w:rsid w:val="0068308D"/>
    <w:rsid w:val="00683331"/>
    <w:rsid w:val="006833B7"/>
    <w:rsid w:val="00683592"/>
    <w:rsid w:val="0068366E"/>
    <w:rsid w:val="006837F2"/>
    <w:rsid w:val="006838B1"/>
    <w:rsid w:val="0068395B"/>
    <w:rsid w:val="00683B85"/>
    <w:rsid w:val="00683BCC"/>
    <w:rsid w:val="00683ED7"/>
    <w:rsid w:val="00683F39"/>
    <w:rsid w:val="00684113"/>
    <w:rsid w:val="00684184"/>
    <w:rsid w:val="006841C0"/>
    <w:rsid w:val="00684437"/>
    <w:rsid w:val="006844F2"/>
    <w:rsid w:val="006845AF"/>
    <w:rsid w:val="0068465F"/>
    <w:rsid w:val="0068469E"/>
    <w:rsid w:val="006848D4"/>
    <w:rsid w:val="00684A7A"/>
    <w:rsid w:val="00684BAE"/>
    <w:rsid w:val="00684BB5"/>
    <w:rsid w:val="00684FA9"/>
    <w:rsid w:val="006850CF"/>
    <w:rsid w:val="00685312"/>
    <w:rsid w:val="00685487"/>
    <w:rsid w:val="0068572C"/>
    <w:rsid w:val="0068580A"/>
    <w:rsid w:val="006858F8"/>
    <w:rsid w:val="00685BD6"/>
    <w:rsid w:val="00685C37"/>
    <w:rsid w:val="00685D6B"/>
    <w:rsid w:val="00685ECD"/>
    <w:rsid w:val="00685F54"/>
    <w:rsid w:val="00685F79"/>
    <w:rsid w:val="00685F7E"/>
    <w:rsid w:val="00686063"/>
    <w:rsid w:val="00686362"/>
    <w:rsid w:val="00686679"/>
    <w:rsid w:val="0068687D"/>
    <w:rsid w:val="006868C3"/>
    <w:rsid w:val="006868EC"/>
    <w:rsid w:val="00686AA9"/>
    <w:rsid w:val="00686AD3"/>
    <w:rsid w:val="00686B84"/>
    <w:rsid w:val="00686ED6"/>
    <w:rsid w:val="006874E6"/>
    <w:rsid w:val="0068751A"/>
    <w:rsid w:val="0068756A"/>
    <w:rsid w:val="00687655"/>
    <w:rsid w:val="00687FCB"/>
    <w:rsid w:val="00690061"/>
    <w:rsid w:val="00690143"/>
    <w:rsid w:val="00690202"/>
    <w:rsid w:val="006906B9"/>
    <w:rsid w:val="006907A0"/>
    <w:rsid w:val="00690863"/>
    <w:rsid w:val="00690BC8"/>
    <w:rsid w:val="00690C92"/>
    <w:rsid w:val="00690CA4"/>
    <w:rsid w:val="00690CB2"/>
    <w:rsid w:val="00690CBE"/>
    <w:rsid w:val="00690D06"/>
    <w:rsid w:val="00690DCC"/>
    <w:rsid w:val="00690E93"/>
    <w:rsid w:val="00691426"/>
    <w:rsid w:val="006917B8"/>
    <w:rsid w:val="006917C6"/>
    <w:rsid w:val="006918E6"/>
    <w:rsid w:val="00691D77"/>
    <w:rsid w:val="0069201C"/>
    <w:rsid w:val="006920A4"/>
    <w:rsid w:val="006921BE"/>
    <w:rsid w:val="00692367"/>
    <w:rsid w:val="0069272A"/>
    <w:rsid w:val="00692ACB"/>
    <w:rsid w:val="00692D93"/>
    <w:rsid w:val="0069353F"/>
    <w:rsid w:val="0069366E"/>
    <w:rsid w:val="00693768"/>
    <w:rsid w:val="00693913"/>
    <w:rsid w:val="00693943"/>
    <w:rsid w:val="00693B9B"/>
    <w:rsid w:val="00693C00"/>
    <w:rsid w:val="00693E81"/>
    <w:rsid w:val="00694095"/>
    <w:rsid w:val="006943D5"/>
    <w:rsid w:val="00694448"/>
    <w:rsid w:val="006944EE"/>
    <w:rsid w:val="00694659"/>
    <w:rsid w:val="0069471F"/>
    <w:rsid w:val="00694768"/>
    <w:rsid w:val="00694A54"/>
    <w:rsid w:val="00694BEA"/>
    <w:rsid w:val="00694D94"/>
    <w:rsid w:val="0069510E"/>
    <w:rsid w:val="006951DD"/>
    <w:rsid w:val="00695274"/>
    <w:rsid w:val="00695704"/>
    <w:rsid w:val="00695CBA"/>
    <w:rsid w:val="00695E9A"/>
    <w:rsid w:val="00696026"/>
    <w:rsid w:val="0069626C"/>
    <w:rsid w:val="0069640C"/>
    <w:rsid w:val="0069650F"/>
    <w:rsid w:val="0069654C"/>
    <w:rsid w:val="00696BEF"/>
    <w:rsid w:val="00696CE4"/>
    <w:rsid w:val="00696D25"/>
    <w:rsid w:val="00696E40"/>
    <w:rsid w:val="0069728C"/>
    <w:rsid w:val="0069752C"/>
    <w:rsid w:val="00697540"/>
    <w:rsid w:val="0069770A"/>
    <w:rsid w:val="006978A7"/>
    <w:rsid w:val="00697A85"/>
    <w:rsid w:val="00697D84"/>
    <w:rsid w:val="006A0312"/>
    <w:rsid w:val="006A039C"/>
    <w:rsid w:val="006A05A8"/>
    <w:rsid w:val="006A0706"/>
    <w:rsid w:val="006A073B"/>
    <w:rsid w:val="006A080D"/>
    <w:rsid w:val="006A082C"/>
    <w:rsid w:val="006A0858"/>
    <w:rsid w:val="006A0859"/>
    <w:rsid w:val="006A0D8A"/>
    <w:rsid w:val="006A0EC0"/>
    <w:rsid w:val="006A1001"/>
    <w:rsid w:val="006A1104"/>
    <w:rsid w:val="006A1193"/>
    <w:rsid w:val="006A147F"/>
    <w:rsid w:val="006A14B7"/>
    <w:rsid w:val="006A1661"/>
    <w:rsid w:val="006A17A3"/>
    <w:rsid w:val="006A18AB"/>
    <w:rsid w:val="006A1A97"/>
    <w:rsid w:val="006A1AE6"/>
    <w:rsid w:val="006A1BEA"/>
    <w:rsid w:val="006A1CA2"/>
    <w:rsid w:val="006A1D17"/>
    <w:rsid w:val="006A1E1B"/>
    <w:rsid w:val="006A1EC0"/>
    <w:rsid w:val="006A212A"/>
    <w:rsid w:val="006A2433"/>
    <w:rsid w:val="006A2715"/>
    <w:rsid w:val="006A2960"/>
    <w:rsid w:val="006A2A19"/>
    <w:rsid w:val="006A2D47"/>
    <w:rsid w:val="006A2D51"/>
    <w:rsid w:val="006A2DF6"/>
    <w:rsid w:val="006A2EF9"/>
    <w:rsid w:val="006A316B"/>
    <w:rsid w:val="006A34AC"/>
    <w:rsid w:val="006A3515"/>
    <w:rsid w:val="006A3A42"/>
    <w:rsid w:val="006A3F2E"/>
    <w:rsid w:val="006A425B"/>
    <w:rsid w:val="006A42FC"/>
    <w:rsid w:val="006A44B2"/>
    <w:rsid w:val="006A4550"/>
    <w:rsid w:val="006A46DF"/>
    <w:rsid w:val="006A4D77"/>
    <w:rsid w:val="006A4FE0"/>
    <w:rsid w:val="006A5156"/>
    <w:rsid w:val="006A52D1"/>
    <w:rsid w:val="006A53F5"/>
    <w:rsid w:val="006A546D"/>
    <w:rsid w:val="006A54AA"/>
    <w:rsid w:val="006A5775"/>
    <w:rsid w:val="006A5CC7"/>
    <w:rsid w:val="006A6018"/>
    <w:rsid w:val="006A6064"/>
    <w:rsid w:val="006A637A"/>
    <w:rsid w:val="006A6679"/>
    <w:rsid w:val="006A6916"/>
    <w:rsid w:val="006A695D"/>
    <w:rsid w:val="006A6AC7"/>
    <w:rsid w:val="006A6D20"/>
    <w:rsid w:val="006A6F02"/>
    <w:rsid w:val="006A6F8B"/>
    <w:rsid w:val="006A7020"/>
    <w:rsid w:val="006A719B"/>
    <w:rsid w:val="006A72DC"/>
    <w:rsid w:val="006A72F5"/>
    <w:rsid w:val="006A7531"/>
    <w:rsid w:val="006A754B"/>
    <w:rsid w:val="006A773B"/>
    <w:rsid w:val="006A7841"/>
    <w:rsid w:val="006A7925"/>
    <w:rsid w:val="006A7927"/>
    <w:rsid w:val="006A7962"/>
    <w:rsid w:val="006A7B80"/>
    <w:rsid w:val="006B0033"/>
    <w:rsid w:val="006B0199"/>
    <w:rsid w:val="006B01D4"/>
    <w:rsid w:val="006B02FE"/>
    <w:rsid w:val="006B0398"/>
    <w:rsid w:val="006B05DF"/>
    <w:rsid w:val="006B0669"/>
    <w:rsid w:val="006B06F2"/>
    <w:rsid w:val="006B077A"/>
    <w:rsid w:val="006B089C"/>
    <w:rsid w:val="006B097C"/>
    <w:rsid w:val="006B0B3F"/>
    <w:rsid w:val="006B0DBE"/>
    <w:rsid w:val="006B10C2"/>
    <w:rsid w:val="006B1339"/>
    <w:rsid w:val="006B138B"/>
    <w:rsid w:val="006B1396"/>
    <w:rsid w:val="006B13E9"/>
    <w:rsid w:val="006B157C"/>
    <w:rsid w:val="006B1603"/>
    <w:rsid w:val="006B1917"/>
    <w:rsid w:val="006B1CEA"/>
    <w:rsid w:val="006B1E4F"/>
    <w:rsid w:val="006B1F63"/>
    <w:rsid w:val="006B20EF"/>
    <w:rsid w:val="006B254E"/>
    <w:rsid w:val="006B2763"/>
    <w:rsid w:val="006B2991"/>
    <w:rsid w:val="006B29E0"/>
    <w:rsid w:val="006B2CDA"/>
    <w:rsid w:val="006B2D07"/>
    <w:rsid w:val="006B2D48"/>
    <w:rsid w:val="006B2F58"/>
    <w:rsid w:val="006B2FED"/>
    <w:rsid w:val="006B3247"/>
    <w:rsid w:val="006B3371"/>
    <w:rsid w:val="006B33A2"/>
    <w:rsid w:val="006B3532"/>
    <w:rsid w:val="006B3624"/>
    <w:rsid w:val="006B3669"/>
    <w:rsid w:val="006B3C73"/>
    <w:rsid w:val="006B3E28"/>
    <w:rsid w:val="006B4180"/>
    <w:rsid w:val="006B41C6"/>
    <w:rsid w:val="006B41CE"/>
    <w:rsid w:val="006B41D5"/>
    <w:rsid w:val="006B41F1"/>
    <w:rsid w:val="006B41F5"/>
    <w:rsid w:val="006B42FF"/>
    <w:rsid w:val="006B4509"/>
    <w:rsid w:val="006B4791"/>
    <w:rsid w:val="006B4A5E"/>
    <w:rsid w:val="006B4C1B"/>
    <w:rsid w:val="006B4EAA"/>
    <w:rsid w:val="006B5222"/>
    <w:rsid w:val="006B5408"/>
    <w:rsid w:val="006B5908"/>
    <w:rsid w:val="006B5942"/>
    <w:rsid w:val="006B5C2D"/>
    <w:rsid w:val="006B605C"/>
    <w:rsid w:val="006B613F"/>
    <w:rsid w:val="006B629C"/>
    <w:rsid w:val="006B6302"/>
    <w:rsid w:val="006B649E"/>
    <w:rsid w:val="006B64FC"/>
    <w:rsid w:val="006B67C7"/>
    <w:rsid w:val="006B688D"/>
    <w:rsid w:val="006B69EF"/>
    <w:rsid w:val="006B6A81"/>
    <w:rsid w:val="006B6DB1"/>
    <w:rsid w:val="006B71B6"/>
    <w:rsid w:val="006B74CD"/>
    <w:rsid w:val="006B74DB"/>
    <w:rsid w:val="006B76CB"/>
    <w:rsid w:val="006B78AC"/>
    <w:rsid w:val="006B78FA"/>
    <w:rsid w:val="006B7B54"/>
    <w:rsid w:val="006B7CBF"/>
    <w:rsid w:val="006B7E91"/>
    <w:rsid w:val="006B7F8F"/>
    <w:rsid w:val="006C011E"/>
    <w:rsid w:val="006C02BF"/>
    <w:rsid w:val="006C11C7"/>
    <w:rsid w:val="006C1295"/>
    <w:rsid w:val="006C165F"/>
    <w:rsid w:val="006C1A9E"/>
    <w:rsid w:val="006C1B27"/>
    <w:rsid w:val="006C1D10"/>
    <w:rsid w:val="006C1DF8"/>
    <w:rsid w:val="006C1E4F"/>
    <w:rsid w:val="006C1F21"/>
    <w:rsid w:val="006C1F72"/>
    <w:rsid w:val="006C1FC1"/>
    <w:rsid w:val="006C24D2"/>
    <w:rsid w:val="006C2784"/>
    <w:rsid w:val="006C2940"/>
    <w:rsid w:val="006C2DCB"/>
    <w:rsid w:val="006C309C"/>
    <w:rsid w:val="006C3335"/>
    <w:rsid w:val="006C3706"/>
    <w:rsid w:val="006C37A7"/>
    <w:rsid w:val="006C39F7"/>
    <w:rsid w:val="006C3C5F"/>
    <w:rsid w:val="006C3DA3"/>
    <w:rsid w:val="006C3E07"/>
    <w:rsid w:val="006C3EB0"/>
    <w:rsid w:val="006C4128"/>
    <w:rsid w:val="006C42F5"/>
    <w:rsid w:val="006C4389"/>
    <w:rsid w:val="006C49F5"/>
    <w:rsid w:val="006C4AE2"/>
    <w:rsid w:val="006C4D90"/>
    <w:rsid w:val="006C4DC5"/>
    <w:rsid w:val="006C5174"/>
    <w:rsid w:val="006C51B5"/>
    <w:rsid w:val="006C53F5"/>
    <w:rsid w:val="006C54EC"/>
    <w:rsid w:val="006C5967"/>
    <w:rsid w:val="006C598C"/>
    <w:rsid w:val="006C59E7"/>
    <w:rsid w:val="006C5C26"/>
    <w:rsid w:val="006C5DFA"/>
    <w:rsid w:val="006C646E"/>
    <w:rsid w:val="006C6559"/>
    <w:rsid w:val="006C6849"/>
    <w:rsid w:val="006C6B23"/>
    <w:rsid w:val="006C6B49"/>
    <w:rsid w:val="006C6B5D"/>
    <w:rsid w:val="006C6C6E"/>
    <w:rsid w:val="006C6C72"/>
    <w:rsid w:val="006C6D8B"/>
    <w:rsid w:val="006C6DED"/>
    <w:rsid w:val="006C6E0F"/>
    <w:rsid w:val="006C70D0"/>
    <w:rsid w:val="006C720F"/>
    <w:rsid w:val="006C78A7"/>
    <w:rsid w:val="006C78EC"/>
    <w:rsid w:val="006C791E"/>
    <w:rsid w:val="006C7AA3"/>
    <w:rsid w:val="006C7F05"/>
    <w:rsid w:val="006C7F06"/>
    <w:rsid w:val="006D0207"/>
    <w:rsid w:val="006D02DD"/>
    <w:rsid w:val="006D0317"/>
    <w:rsid w:val="006D03F5"/>
    <w:rsid w:val="006D056E"/>
    <w:rsid w:val="006D0577"/>
    <w:rsid w:val="006D0727"/>
    <w:rsid w:val="006D0893"/>
    <w:rsid w:val="006D0A26"/>
    <w:rsid w:val="006D0A34"/>
    <w:rsid w:val="006D0A54"/>
    <w:rsid w:val="006D0AB2"/>
    <w:rsid w:val="006D0CAB"/>
    <w:rsid w:val="006D0CEC"/>
    <w:rsid w:val="006D0D59"/>
    <w:rsid w:val="006D0F26"/>
    <w:rsid w:val="006D0F42"/>
    <w:rsid w:val="006D0FDF"/>
    <w:rsid w:val="006D1047"/>
    <w:rsid w:val="006D1199"/>
    <w:rsid w:val="006D1637"/>
    <w:rsid w:val="006D165A"/>
    <w:rsid w:val="006D16D3"/>
    <w:rsid w:val="006D193F"/>
    <w:rsid w:val="006D19FD"/>
    <w:rsid w:val="006D1BC8"/>
    <w:rsid w:val="006D23C0"/>
    <w:rsid w:val="006D251B"/>
    <w:rsid w:val="006D2755"/>
    <w:rsid w:val="006D28B3"/>
    <w:rsid w:val="006D290D"/>
    <w:rsid w:val="006D2C02"/>
    <w:rsid w:val="006D2C6E"/>
    <w:rsid w:val="006D2C82"/>
    <w:rsid w:val="006D2FA5"/>
    <w:rsid w:val="006D3010"/>
    <w:rsid w:val="006D31FC"/>
    <w:rsid w:val="006D36F0"/>
    <w:rsid w:val="006D373C"/>
    <w:rsid w:val="006D375E"/>
    <w:rsid w:val="006D3F44"/>
    <w:rsid w:val="006D4234"/>
    <w:rsid w:val="006D43A6"/>
    <w:rsid w:val="006D4AE3"/>
    <w:rsid w:val="006D4AE4"/>
    <w:rsid w:val="006D4B13"/>
    <w:rsid w:val="006D4BBE"/>
    <w:rsid w:val="006D4CFC"/>
    <w:rsid w:val="006D5014"/>
    <w:rsid w:val="006D512D"/>
    <w:rsid w:val="006D5214"/>
    <w:rsid w:val="006D52E8"/>
    <w:rsid w:val="006D5629"/>
    <w:rsid w:val="006D57E6"/>
    <w:rsid w:val="006D5918"/>
    <w:rsid w:val="006D5C1B"/>
    <w:rsid w:val="006D5CD3"/>
    <w:rsid w:val="006D5DD1"/>
    <w:rsid w:val="006D5DEF"/>
    <w:rsid w:val="006D5E2E"/>
    <w:rsid w:val="006D5FFE"/>
    <w:rsid w:val="006D611A"/>
    <w:rsid w:val="006D6148"/>
    <w:rsid w:val="006D6332"/>
    <w:rsid w:val="006D63F6"/>
    <w:rsid w:val="006D6569"/>
    <w:rsid w:val="006D662F"/>
    <w:rsid w:val="006D6750"/>
    <w:rsid w:val="006D68DD"/>
    <w:rsid w:val="006D6CFE"/>
    <w:rsid w:val="006D6E0A"/>
    <w:rsid w:val="006D7362"/>
    <w:rsid w:val="006D740A"/>
    <w:rsid w:val="006D7527"/>
    <w:rsid w:val="006D75B9"/>
    <w:rsid w:val="006D77CA"/>
    <w:rsid w:val="006D787B"/>
    <w:rsid w:val="006D78F9"/>
    <w:rsid w:val="006D7CB7"/>
    <w:rsid w:val="006D7F85"/>
    <w:rsid w:val="006D7FC4"/>
    <w:rsid w:val="006E0001"/>
    <w:rsid w:val="006E004C"/>
    <w:rsid w:val="006E02D5"/>
    <w:rsid w:val="006E030C"/>
    <w:rsid w:val="006E032B"/>
    <w:rsid w:val="006E0392"/>
    <w:rsid w:val="006E0401"/>
    <w:rsid w:val="006E0555"/>
    <w:rsid w:val="006E095C"/>
    <w:rsid w:val="006E09A3"/>
    <w:rsid w:val="006E0B34"/>
    <w:rsid w:val="006E0B39"/>
    <w:rsid w:val="006E0D6E"/>
    <w:rsid w:val="006E0EBF"/>
    <w:rsid w:val="006E0FD6"/>
    <w:rsid w:val="006E11BF"/>
    <w:rsid w:val="006E1576"/>
    <w:rsid w:val="006E15F1"/>
    <w:rsid w:val="006E1667"/>
    <w:rsid w:val="006E18F3"/>
    <w:rsid w:val="006E1A9A"/>
    <w:rsid w:val="006E22FC"/>
    <w:rsid w:val="006E2313"/>
    <w:rsid w:val="006E259D"/>
    <w:rsid w:val="006E264F"/>
    <w:rsid w:val="006E2704"/>
    <w:rsid w:val="006E2D33"/>
    <w:rsid w:val="006E2D36"/>
    <w:rsid w:val="006E2F06"/>
    <w:rsid w:val="006E30DC"/>
    <w:rsid w:val="006E31E0"/>
    <w:rsid w:val="006E3538"/>
    <w:rsid w:val="006E387C"/>
    <w:rsid w:val="006E390C"/>
    <w:rsid w:val="006E390E"/>
    <w:rsid w:val="006E398F"/>
    <w:rsid w:val="006E39AC"/>
    <w:rsid w:val="006E39CF"/>
    <w:rsid w:val="006E3A58"/>
    <w:rsid w:val="006E3AA4"/>
    <w:rsid w:val="006E3AEF"/>
    <w:rsid w:val="006E3B3D"/>
    <w:rsid w:val="006E3C39"/>
    <w:rsid w:val="006E3D15"/>
    <w:rsid w:val="006E3D68"/>
    <w:rsid w:val="006E3DBF"/>
    <w:rsid w:val="006E3E0C"/>
    <w:rsid w:val="006E3F9D"/>
    <w:rsid w:val="006E3FC9"/>
    <w:rsid w:val="006E428F"/>
    <w:rsid w:val="006E437E"/>
    <w:rsid w:val="006E4586"/>
    <w:rsid w:val="006E4587"/>
    <w:rsid w:val="006E4866"/>
    <w:rsid w:val="006E491D"/>
    <w:rsid w:val="006E4BA1"/>
    <w:rsid w:val="006E4C1D"/>
    <w:rsid w:val="006E4D62"/>
    <w:rsid w:val="006E4D6D"/>
    <w:rsid w:val="006E4EA2"/>
    <w:rsid w:val="006E4EB1"/>
    <w:rsid w:val="006E51EF"/>
    <w:rsid w:val="006E54E6"/>
    <w:rsid w:val="006E55F3"/>
    <w:rsid w:val="006E55FC"/>
    <w:rsid w:val="006E565B"/>
    <w:rsid w:val="006E5733"/>
    <w:rsid w:val="006E57BA"/>
    <w:rsid w:val="006E5800"/>
    <w:rsid w:val="006E5B91"/>
    <w:rsid w:val="006E5C6E"/>
    <w:rsid w:val="006E5D38"/>
    <w:rsid w:val="006E5D79"/>
    <w:rsid w:val="006E5F70"/>
    <w:rsid w:val="006E6095"/>
    <w:rsid w:val="006E6119"/>
    <w:rsid w:val="006E6141"/>
    <w:rsid w:val="006E61CB"/>
    <w:rsid w:val="006E63D8"/>
    <w:rsid w:val="006E63ED"/>
    <w:rsid w:val="006E65E0"/>
    <w:rsid w:val="006E6F67"/>
    <w:rsid w:val="006E75C3"/>
    <w:rsid w:val="006E7643"/>
    <w:rsid w:val="006E7924"/>
    <w:rsid w:val="006E7C1E"/>
    <w:rsid w:val="006F006D"/>
    <w:rsid w:val="006F0091"/>
    <w:rsid w:val="006F01F1"/>
    <w:rsid w:val="006F0479"/>
    <w:rsid w:val="006F04F0"/>
    <w:rsid w:val="006F0618"/>
    <w:rsid w:val="006F0A81"/>
    <w:rsid w:val="006F0AD7"/>
    <w:rsid w:val="006F0B31"/>
    <w:rsid w:val="006F0B5B"/>
    <w:rsid w:val="006F0BFF"/>
    <w:rsid w:val="006F0C52"/>
    <w:rsid w:val="006F0DF6"/>
    <w:rsid w:val="006F111C"/>
    <w:rsid w:val="006F12E2"/>
    <w:rsid w:val="006F139E"/>
    <w:rsid w:val="006F146F"/>
    <w:rsid w:val="006F15B9"/>
    <w:rsid w:val="006F1626"/>
    <w:rsid w:val="006F1817"/>
    <w:rsid w:val="006F19C8"/>
    <w:rsid w:val="006F1A05"/>
    <w:rsid w:val="006F1A27"/>
    <w:rsid w:val="006F1A2F"/>
    <w:rsid w:val="006F1A62"/>
    <w:rsid w:val="006F1A8D"/>
    <w:rsid w:val="006F1C65"/>
    <w:rsid w:val="006F1CC5"/>
    <w:rsid w:val="006F1E79"/>
    <w:rsid w:val="006F1F41"/>
    <w:rsid w:val="006F23F8"/>
    <w:rsid w:val="006F2445"/>
    <w:rsid w:val="006F2448"/>
    <w:rsid w:val="006F2491"/>
    <w:rsid w:val="006F2516"/>
    <w:rsid w:val="006F2564"/>
    <w:rsid w:val="006F270C"/>
    <w:rsid w:val="006F27E2"/>
    <w:rsid w:val="006F299D"/>
    <w:rsid w:val="006F2A67"/>
    <w:rsid w:val="006F2B7B"/>
    <w:rsid w:val="006F2D3F"/>
    <w:rsid w:val="006F2D55"/>
    <w:rsid w:val="006F2F6C"/>
    <w:rsid w:val="006F303B"/>
    <w:rsid w:val="006F3382"/>
    <w:rsid w:val="006F33EE"/>
    <w:rsid w:val="006F342A"/>
    <w:rsid w:val="006F3454"/>
    <w:rsid w:val="006F34EB"/>
    <w:rsid w:val="006F3581"/>
    <w:rsid w:val="006F3766"/>
    <w:rsid w:val="006F3DD7"/>
    <w:rsid w:val="006F3E41"/>
    <w:rsid w:val="006F3E86"/>
    <w:rsid w:val="006F3FD9"/>
    <w:rsid w:val="006F4509"/>
    <w:rsid w:val="006F450D"/>
    <w:rsid w:val="006F452F"/>
    <w:rsid w:val="006F4582"/>
    <w:rsid w:val="006F45A9"/>
    <w:rsid w:val="006F45D6"/>
    <w:rsid w:val="006F49B8"/>
    <w:rsid w:val="006F4B3E"/>
    <w:rsid w:val="006F4C02"/>
    <w:rsid w:val="006F4C9C"/>
    <w:rsid w:val="006F4F34"/>
    <w:rsid w:val="006F5065"/>
    <w:rsid w:val="006F5296"/>
    <w:rsid w:val="006F5325"/>
    <w:rsid w:val="006F5332"/>
    <w:rsid w:val="006F53BD"/>
    <w:rsid w:val="006F546B"/>
    <w:rsid w:val="006F5555"/>
    <w:rsid w:val="006F5649"/>
    <w:rsid w:val="006F57FB"/>
    <w:rsid w:val="006F5931"/>
    <w:rsid w:val="006F597E"/>
    <w:rsid w:val="006F5B3D"/>
    <w:rsid w:val="006F5B88"/>
    <w:rsid w:val="006F5C8E"/>
    <w:rsid w:val="006F5D5F"/>
    <w:rsid w:val="006F5F97"/>
    <w:rsid w:val="006F613A"/>
    <w:rsid w:val="006F62CD"/>
    <w:rsid w:val="006F640B"/>
    <w:rsid w:val="006F6708"/>
    <w:rsid w:val="006F68F1"/>
    <w:rsid w:val="006F6AB9"/>
    <w:rsid w:val="006F6E06"/>
    <w:rsid w:val="006F704C"/>
    <w:rsid w:val="006F73E8"/>
    <w:rsid w:val="006F749A"/>
    <w:rsid w:val="006F7F38"/>
    <w:rsid w:val="006F7F40"/>
    <w:rsid w:val="00700126"/>
    <w:rsid w:val="007002FF"/>
    <w:rsid w:val="007003C8"/>
    <w:rsid w:val="007006B4"/>
    <w:rsid w:val="00700732"/>
    <w:rsid w:val="0070073B"/>
    <w:rsid w:val="0070079F"/>
    <w:rsid w:val="0070080F"/>
    <w:rsid w:val="007009DD"/>
    <w:rsid w:val="00700A50"/>
    <w:rsid w:val="00700A63"/>
    <w:rsid w:val="00700ACE"/>
    <w:rsid w:val="00700C1E"/>
    <w:rsid w:val="00700E64"/>
    <w:rsid w:val="0070110F"/>
    <w:rsid w:val="007014C1"/>
    <w:rsid w:val="00701512"/>
    <w:rsid w:val="00701554"/>
    <w:rsid w:val="00701574"/>
    <w:rsid w:val="00701611"/>
    <w:rsid w:val="0070175C"/>
    <w:rsid w:val="0070186D"/>
    <w:rsid w:val="007018AD"/>
    <w:rsid w:val="00701A8A"/>
    <w:rsid w:val="00701C08"/>
    <w:rsid w:val="00701D68"/>
    <w:rsid w:val="00701F24"/>
    <w:rsid w:val="00702114"/>
    <w:rsid w:val="007024E5"/>
    <w:rsid w:val="0070267B"/>
    <w:rsid w:val="00702707"/>
    <w:rsid w:val="00702875"/>
    <w:rsid w:val="00702930"/>
    <w:rsid w:val="00702C6A"/>
    <w:rsid w:val="00702DBA"/>
    <w:rsid w:val="00702F58"/>
    <w:rsid w:val="00702FCD"/>
    <w:rsid w:val="00703044"/>
    <w:rsid w:val="0070308C"/>
    <w:rsid w:val="0070329C"/>
    <w:rsid w:val="007032C3"/>
    <w:rsid w:val="007032D2"/>
    <w:rsid w:val="00703409"/>
    <w:rsid w:val="007034CB"/>
    <w:rsid w:val="00703AB2"/>
    <w:rsid w:val="00703AD4"/>
    <w:rsid w:val="00703AD6"/>
    <w:rsid w:val="00703C8B"/>
    <w:rsid w:val="00703E20"/>
    <w:rsid w:val="00703EFE"/>
    <w:rsid w:val="00704196"/>
    <w:rsid w:val="007041B3"/>
    <w:rsid w:val="007042CB"/>
    <w:rsid w:val="007045F2"/>
    <w:rsid w:val="00704672"/>
    <w:rsid w:val="007047BC"/>
    <w:rsid w:val="00704C1C"/>
    <w:rsid w:val="00704C6A"/>
    <w:rsid w:val="00704E8A"/>
    <w:rsid w:val="00704EC9"/>
    <w:rsid w:val="00705127"/>
    <w:rsid w:val="00705216"/>
    <w:rsid w:val="007052EE"/>
    <w:rsid w:val="007053E1"/>
    <w:rsid w:val="00705415"/>
    <w:rsid w:val="007055CE"/>
    <w:rsid w:val="007055D5"/>
    <w:rsid w:val="00705603"/>
    <w:rsid w:val="00705B5A"/>
    <w:rsid w:val="00705D83"/>
    <w:rsid w:val="00705E27"/>
    <w:rsid w:val="00705EDD"/>
    <w:rsid w:val="00705EF6"/>
    <w:rsid w:val="007060C1"/>
    <w:rsid w:val="007061FC"/>
    <w:rsid w:val="00706288"/>
    <w:rsid w:val="007064FD"/>
    <w:rsid w:val="00706541"/>
    <w:rsid w:val="00706562"/>
    <w:rsid w:val="0070658D"/>
    <w:rsid w:val="0070687B"/>
    <w:rsid w:val="00706957"/>
    <w:rsid w:val="00706A53"/>
    <w:rsid w:val="00706BFF"/>
    <w:rsid w:val="00706D7A"/>
    <w:rsid w:val="00706DD2"/>
    <w:rsid w:val="00706F13"/>
    <w:rsid w:val="00707095"/>
    <w:rsid w:val="00707249"/>
    <w:rsid w:val="0070739B"/>
    <w:rsid w:val="007073CF"/>
    <w:rsid w:val="007078C9"/>
    <w:rsid w:val="0070794A"/>
    <w:rsid w:val="00707C2B"/>
    <w:rsid w:val="00707D13"/>
    <w:rsid w:val="00707E1B"/>
    <w:rsid w:val="0071009D"/>
    <w:rsid w:val="007100CD"/>
    <w:rsid w:val="007102A3"/>
    <w:rsid w:val="00710303"/>
    <w:rsid w:val="00710654"/>
    <w:rsid w:val="00710760"/>
    <w:rsid w:val="0071077F"/>
    <w:rsid w:val="007108AD"/>
    <w:rsid w:val="00710A6C"/>
    <w:rsid w:val="00710B59"/>
    <w:rsid w:val="00710B9C"/>
    <w:rsid w:val="00710C08"/>
    <w:rsid w:val="00710FAD"/>
    <w:rsid w:val="00711009"/>
    <w:rsid w:val="00711377"/>
    <w:rsid w:val="00711923"/>
    <w:rsid w:val="00711AD0"/>
    <w:rsid w:val="00711BDF"/>
    <w:rsid w:val="00711CC1"/>
    <w:rsid w:val="00711FD9"/>
    <w:rsid w:val="00712140"/>
    <w:rsid w:val="00712145"/>
    <w:rsid w:val="00712330"/>
    <w:rsid w:val="00712438"/>
    <w:rsid w:val="00712645"/>
    <w:rsid w:val="007126DB"/>
    <w:rsid w:val="00712711"/>
    <w:rsid w:val="0071279A"/>
    <w:rsid w:val="0071291C"/>
    <w:rsid w:val="0071291D"/>
    <w:rsid w:val="00712985"/>
    <w:rsid w:val="00712AF2"/>
    <w:rsid w:val="00712BE8"/>
    <w:rsid w:val="00712C2E"/>
    <w:rsid w:val="00713187"/>
    <w:rsid w:val="00713607"/>
    <w:rsid w:val="00713616"/>
    <w:rsid w:val="007137BD"/>
    <w:rsid w:val="00713B1C"/>
    <w:rsid w:val="00713BDE"/>
    <w:rsid w:val="00713CEF"/>
    <w:rsid w:val="00713E7B"/>
    <w:rsid w:val="00713F26"/>
    <w:rsid w:val="00713FFB"/>
    <w:rsid w:val="0071404E"/>
    <w:rsid w:val="007140C0"/>
    <w:rsid w:val="00714128"/>
    <w:rsid w:val="007141D1"/>
    <w:rsid w:val="0071466E"/>
    <w:rsid w:val="007147C0"/>
    <w:rsid w:val="0071490C"/>
    <w:rsid w:val="00714BC6"/>
    <w:rsid w:val="00714CA4"/>
    <w:rsid w:val="00714D46"/>
    <w:rsid w:val="00714DA6"/>
    <w:rsid w:val="00714DDC"/>
    <w:rsid w:val="00714E61"/>
    <w:rsid w:val="0071508B"/>
    <w:rsid w:val="007150EA"/>
    <w:rsid w:val="00715466"/>
    <w:rsid w:val="007156BE"/>
    <w:rsid w:val="0071571A"/>
    <w:rsid w:val="00715877"/>
    <w:rsid w:val="00715CC7"/>
    <w:rsid w:val="00715D18"/>
    <w:rsid w:val="00715FF0"/>
    <w:rsid w:val="00716281"/>
    <w:rsid w:val="007163E7"/>
    <w:rsid w:val="007165D4"/>
    <w:rsid w:val="00716782"/>
    <w:rsid w:val="00716C93"/>
    <w:rsid w:val="00716D0E"/>
    <w:rsid w:val="00716D32"/>
    <w:rsid w:val="00716F98"/>
    <w:rsid w:val="00716FD4"/>
    <w:rsid w:val="0071700A"/>
    <w:rsid w:val="00717200"/>
    <w:rsid w:val="007173F7"/>
    <w:rsid w:val="00717A3B"/>
    <w:rsid w:val="00717CC9"/>
    <w:rsid w:val="00717FA2"/>
    <w:rsid w:val="00717FC7"/>
    <w:rsid w:val="00717FD2"/>
    <w:rsid w:val="007200B6"/>
    <w:rsid w:val="0072018F"/>
    <w:rsid w:val="007201F4"/>
    <w:rsid w:val="0072045D"/>
    <w:rsid w:val="00720516"/>
    <w:rsid w:val="00720569"/>
    <w:rsid w:val="0072071C"/>
    <w:rsid w:val="00720936"/>
    <w:rsid w:val="007209BF"/>
    <w:rsid w:val="00720AEC"/>
    <w:rsid w:val="00720C79"/>
    <w:rsid w:val="00720C87"/>
    <w:rsid w:val="00720DD2"/>
    <w:rsid w:val="00720DEE"/>
    <w:rsid w:val="00720E1F"/>
    <w:rsid w:val="007210E7"/>
    <w:rsid w:val="007211F0"/>
    <w:rsid w:val="00721434"/>
    <w:rsid w:val="00721479"/>
    <w:rsid w:val="00721650"/>
    <w:rsid w:val="00721722"/>
    <w:rsid w:val="00721AD8"/>
    <w:rsid w:val="00721CE3"/>
    <w:rsid w:val="00721D62"/>
    <w:rsid w:val="00721E39"/>
    <w:rsid w:val="00721EBE"/>
    <w:rsid w:val="00721FDB"/>
    <w:rsid w:val="00722114"/>
    <w:rsid w:val="0072220E"/>
    <w:rsid w:val="007222B3"/>
    <w:rsid w:val="0072235E"/>
    <w:rsid w:val="00722431"/>
    <w:rsid w:val="00722554"/>
    <w:rsid w:val="0072263C"/>
    <w:rsid w:val="00722715"/>
    <w:rsid w:val="00722725"/>
    <w:rsid w:val="0072291C"/>
    <w:rsid w:val="00722B51"/>
    <w:rsid w:val="00722C69"/>
    <w:rsid w:val="00722E2D"/>
    <w:rsid w:val="00722FB4"/>
    <w:rsid w:val="007231A9"/>
    <w:rsid w:val="007232A0"/>
    <w:rsid w:val="00723494"/>
    <w:rsid w:val="007234F5"/>
    <w:rsid w:val="00723A5D"/>
    <w:rsid w:val="00723E7D"/>
    <w:rsid w:val="00723EC7"/>
    <w:rsid w:val="00723FDC"/>
    <w:rsid w:val="007240D1"/>
    <w:rsid w:val="007246C2"/>
    <w:rsid w:val="00724706"/>
    <w:rsid w:val="00724971"/>
    <w:rsid w:val="00724D09"/>
    <w:rsid w:val="00724DE3"/>
    <w:rsid w:val="00724EAA"/>
    <w:rsid w:val="007251B1"/>
    <w:rsid w:val="007251ED"/>
    <w:rsid w:val="0072520A"/>
    <w:rsid w:val="00725319"/>
    <w:rsid w:val="0072554F"/>
    <w:rsid w:val="00725BB6"/>
    <w:rsid w:val="00725BC6"/>
    <w:rsid w:val="00725C91"/>
    <w:rsid w:val="00725F6E"/>
    <w:rsid w:val="007260FE"/>
    <w:rsid w:val="007263E4"/>
    <w:rsid w:val="0072661F"/>
    <w:rsid w:val="0072697A"/>
    <w:rsid w:val="00726A0E"/>
    <w:rsid w:val="00726B63"/>
    <w:rsid w:val="00726BD8"/>
    <w:rsid w:val="00726D56"/>
    <w:rsid w:val="00726E44"/>
    <w:rsid w:val="00726FD0"/>
    <w:rsid w:val="00727037"/>
    <w:rsid w:val="007272AA"/>
    <w:rsid w:val="00727404"/>
    <w:rsid w:val="0072740B"/>
    <w:rsid w:val="007274A7"/>
    <w:rsid w:val="00727549"/>
    <w:rsid w:val="0072770C"/>
    <w:rsid w:val="00727852"/>
    <w:rsid w:val="00727AC4"/>
    <w:rsid w:val="00727B62"/>
    <w:rsid w:val="00727E9E"/>
    <w:rsid w:val="00727ED8"/>
    <w:rsid w:val="00730109"/>
    <w:rsid w:val="007302B8"/>
    <w:rsid w:val="007306BF"/>
    <w:rsid w:val="0073075A"/>
    <w:rsid w:val="007307B7"/>
    <w:rsid w:val="007307BD"/>
    <w:rsid w:val="00730A72"/>
    <w:rsid w:val="00730ABD"/>
    <w:rsid w:val="00730C63"/>
    <w:rsid w:val="00730CBF"/>
    <w:rsid w:val="00730D7E"/>
    <w:rsid w:val="00730E1D"/>
    <w:rsid w:val="00731045"/>
    <w:rsid w:val="0073109D"/>
    <w:rsid w:val="00731322"/>
    <w:rsid w:val="0073142B"/>
    <w:rsid w:val="00731432"/>
    <w:rsid w:val="00731460"/>
    <w:rsid w:val="007314CA"/>
    <w:rsid w:val="00731705"/>
    <w:rsid w:val="00731722"/>
    <w:rsid w:val="007317E5"/>
    <w:rsid w:val="00731932"/>
    <w:rsid w:val="007319F0"/>
    <w:rsid w:val="00731AFB"/>
    <w:rsid w:val="00731C02"/>
    <w:rsid w:val="00731CE9"/>
    <w:rsid w:val="00731FDA"/>
    <w:rsid w:val="007323AC"/>
    <w:rsid w:val="00732898"/>
    <w:rsid w:val="00732BF5"/>
    <w:rsid w:val="00732ED0"/>
    <w:rsid w:val="00733161"/>
    <w:rsid w:val="007332F4"/>
    <w:rsid w:val="007332FE"/>
    <w:rsid w:val="00733308"/>
    <w:rsid w:val="0073336D"/>
    <w:rsid w:val="0073351E"/>
    <w:rsid w:val="0073391E"/>
    <w:rsid w:val="00733B10"/>
    <w:rsid w:val="00733CDE"/>
    <w:rsid w:val="00733CF8"/>
    <w:rsid w:val="00733FD8"/>
    <w:rsid w:val="00733FF4"/>
    <w:rsid w:val="00734130"/>
    <w:rsid w:val="0073418D"/>
    <w:rsid w:val="00734317"/>
    <w:rsid w:val="007343F2"/>
    <w:rsid w:val="007344BA"/>
    <w:rsid w:val="0073451C"/>
    <w:rsid w:val="00734678"/>
    <w:rsid w:val="00734703"/>
    <w:rsid w:val="00734754"/>
    <w:rsid w:val="00734773"/>
    <w:rsid w:val="00734A0F"/>
    <w:rsid w:val="00734FBA"/>
    <w:rsid w:val="00735262"/>
    <w:rsid w:val="007353C7"/>
    <w:rsid w:val="00735557"/>
    <w:rsid w:val="007355FD"/>
    <w:rsid w:val="007355FE"/>
    <w:rsid w:val="00735663"/>
    <w:rsid w:val="00735664"/>
    <w:rsid w:val="00735924"/>
    <w:rsid w:val="00735A94"/>
    <w:rsid w:val="00735AB7"/>
    <w:rsid w:val="00735B27"/>
    <w:rsid w:val="00735C20"/>
    <w:rsid w:val="00735CE0"/>
    <w:rsid w:val="00735FE9"/>
    <w:rsid w:val="0073615E"/>
    <w:rsid w:val="0073616A"/>
    <w:rsid w:val="0073624B"/>
    <w:rsid w:val="007362D4"/>
    <w:rsid w:val="007363BD"/>
    <w:rsid w:val="00736512"/>
    <w:rsid w:val="007365FE"/>
    <w:rsid w:val="00736644"/>
    <w:rsid w:val="0073697A"/>
    <w:rsid w:val="00736A72"/>
    <w:rsid w:val="00736A89"/>
    <w:rsid w:val="00736A91"/>
    <w:rsid w:val="00736C5A"/>
    <w:rsid w:val="00736CDB"/>
    <w:rsid w:val="007370B1"/>
    <w:rsid w:val="00737179"/>
    <w:rsid w:val="00737235"/>
    <w:rsid w:val="0073735F"/>
    <w:rsid w:val="007373A2"/>
    <w:rsid w:val="00737474"/>
    <w:rsid w:val="00737545"/>
    <w:rsid w:val="007376BE"/>
    <w:rsid w:val="00737715"/>
    <w:rsid w:val="00737BAE"/>
    <w:rsid w:val="00737ED2"/>
    <w:rsid w:val="00737F16"/>
    <w:rsid w:val="00737FD6"/>
    <w:rsid w:val="00737FDB"/>
    <w:rsid w:val="0074009B"/>
    <w:rsid w:val="00740278"/>
    <w:rsid w:val="007404D5"/>
    <w:rsid w:val="0074062A"/>
    <w:rsid w:val="007406E6"/>
    <w:rsid w:val="00740A17"/>
    <w:rsid w:val="00740B40"/>
    <w:rsid w:val="00740BD0"/>
    <w:rsid w:val="00740BDD"/>
    <w:rsid w:val="007410BB"/>
    <w:rsid w:val="00741204"/>
    <w:rsid w:val="00741498"/>
    <w:rsid w:val="00741624"/>
    <w:rsid w:val="00741E24"/>
    <w:rsid w:val="0074210D"/>
    <w:rsid w:val="00742529"/>
    <w:rsid w:val="00742765"/>
    <w:rsid w:val="007427B8"/>
    <w:rsid w:val="00742875"/>
    <w:rsid w:val="007429F1"/>
    <w:rsid w:val="00742B57"/>
    <w:rsid w:val="00742C7E"/>
    <w:rsid w:val="00742CEF"/>
    <w:rsid w:val="00742DED"/>
    <w:rsid w:val="00742E07"/>
    <w:rsid w:val="00742E0C"/>
    <w:rsid w:val="00743006"/>
    <w:rsid w:val="00743282"/>
    <w:rsid w:val="007433BB"/>
    <w:rsid w:val="00743565"/>
    <w:rsid w:val="0074357E"/>
    <w:rsid w:val="00743588"/>
    <w:rsid w:val="00743628"/>
    <w:rsid w:val="00743650"/>
    <w:rsid w:val="0074379D"/>
    <w:rsid w:val="00743C7A"/>
    <w:rsid w:val="00743CB0"/>
    <w:rsid w:val="00743D7E"/>
    <w:rsid w:val="007441FD"/>
    <w:rsid w:val="00744409"/>
    <w:rsid w:val="0074458B"/>
    <w:rsid w:val="00744658"/>
    <w:rsid w:val="0074471B"/>
    <w:rsid w:val="0074478C"/>
    <w:rsid w:val="00744839"/>
    <w:rsid w:val="007448F3"/>
    <w:rsid w:val="00744AC1"/>
    <w:rsid w:val="00744BBF"/>
    <w:rsid w:val="00744C1D"/>
    <w:rsid w:val="00744CDB"/>
    <w:rsid w:val="00744ED2"/>
    <w:rsid w:val="00744F82"/>
    <w:rsid w:val="00745028"/>
    <w:rsid w:val="00745477"/>
    <w:rsid w:val="007458BD"/>
    <w:rsid w:val="00745961"/>
    <w:rsid w:val="00745DBE"/>
    <w:rsid w:val="00745FB4"/>
    <w:rsid w:val="007460EA"/>
    <w:rsid w:val="00746202"/>
    <w:rsid w:val="00746302"/>
    <w:rsid w:val="00746783"/>
    <w:rsid w:val="00746ABD"/>
    <w:rsid w:val="00746CB4"/>
    <w:rsid w:val="00746ED1"/>
    <w:rsid w:val="00746FB8"/>
    <w:rsid w:val="007473E9"/>
    <w:rsid w:val="0074751A"/>
    <w:rsid w:val="00747976"/>
    <w:rsid w:val="00747E94"/>
    <w:rsid w:val="00747EBD"/>
    <w:rsid w:val="00750498"/>
    <w:rsid w:val="00750816"/>
    <w:rsid w:val="007508FF"/>
    <w:rsid w:val="00750B7D"/>
    <w:rsid w:val="00750BC2"/>
    <w:rsid w:val="00750EEA"/>
    <w:rsid w:val="00750FE9"/>
    <w:rsid w:val="00751080"/>
    <w:rsid w:val="007515FB"/>
    <w:rsid w:val="007516D9"/>
    <w:rsid w:val="0075184F"/>
    <w:rsid w:val="00751A46"/>
    <w:rsid w:val="00751B39"/>
    <w:rsid w:val="00751E96"/>
    <w:rsid w:val="00751EC5"/>
    <w:rsid w:val="00751F9D"/>
    <w:rsid w:val="00751FA8"/>
    <w:rsid w:val="00751FFD"/>
    <w:rsid w:val="007521D2"/>
    <w:rsid w:val="007523D4"/>
    <w:rsid w:val="0075252B"/>
    <w:rsid w:val="0075262B"/>
    <w:rsid w:val="00752941"/>
    <w:rsid w:val="00752CDC"/>
    <w:rsid w:val="00752F53"/>
    <w:rsid w:val="007531B9"/>
    <w:rsid w:val="00753327"/>
    <w:rsid w:val="0075332D"/>
    <w:rsid w:val="0075368D"/>
    <w:rsid w:val="0075376D"/>
    <w:rsid w:val="00753885"/>
    <w:rsid w:val="00753B9A"/>
    <w:rsid w:val="00754014"/>
    <w:rsid w:val="00754103"/>
    <w:rsid w:val="00754137"/>
    <w:rsid w:val="00754475"/>
    <w:rsid w:val="00754559"/>
    <w:rsid w:val="007545C5"/>
    <w:rsid w:val="007545CE"/>
    <w:rsid w:val="00754772"/>
    <w:rsid w:val="007547CA"/>
    <w:rsid w:val="00754A5C"/>
    <w:rsid w:val="00755238"/>
    <w:rsid w:val="007553AB"/>
    <w:rsid w:val="007555E1"/>
    <w:rsid w:val="007556ED"/>
    <w:rsid w:val="00755AFE"/>
    <w:rsid w:val="00755C3E"/>
    <w:rsid w:val="00755DE0"/>
    <w:rsid w:val="00756446"/>
    <w:rsid w:val="007567A5"/>
    <w:rsid w:val="00756B9C"/>
    <w:rsid w:val="00756D72"/>
    <w:rsid w:val="00756FAE"/>
    <w:rsid w:val="00757190"/>
    <w:rsid w:val="0075754B"/>
    <w:rsid w:val="00757842"/>
    <w:rsid w:val="00757D43"/>
    <w:rsid w:val="007600FB"/>
    <w:rsid w:val="00760246"/>
    <w:rsid w:val="007602EA"/>
    <w:rsid w:val="007603D9"/>
    <w:rsid w:val="00760568"/>
    <w:rsid w:val="00760571"/>
    <w:rsid w:val="00760731"/>
    <w:rsid w:val="007607D5"/>
    <w:rsid w:val="00760822"/>
    <w:rsid w:val="007608C9"/>
    <w:rsid w:val="00760C12"/>
    <w:rsid w:val="00760DAD"/>
    <w:rsid w:val="0076108C"/>
    <w:rsid w:val="007610EB"/>
    <w:rsid w:val="0076118B"/>
    <w:rsid w:val="00761679"/>
    <w:rsid w:val="00761987"/>
    <w:rsid w:val="00761B23"/>
    <w:rsid w:val="00761CE8"/>
    <w:rsid w:val="00761D3E"/>
    <w:rsid w:val="00761ECC"/>
    <w:rsid w:val="00761EE1"/>
    <w:rsid w:val="00762111"/>
    <w:rsid w:val="007621F4"/>
    <w:rsid w:val="0076224C"/>
    <w:rsid w:val="00762306"/>
    <w:rsid w:val="007626D4"/>
    <w:rsid w:val="0076273B"/>
    <w:rsid w:val="00762A08"/>
    <w:rsid w:val="00762B92"/>
    <w:rsid w:val="00762CE5"/>
    <w:rsid w:val="00762D26"/>
    <w:rsid w:val="00762E69"/>
    <w:rsid w:val="00762F30"/>
    <w:rsid w:val="00762F7B"/>
    <w:rsid w:val="00762FF3"/>
    <w:rsid w:val="0076315D"/>
    <w:rsid w:val="00763824"/>
    <w:rsid w:val="0076388A"/>
    <w:rsid w:val="0076394B"/>
    <w:rsid w:val="00763B14"/>
    <w:rsid w:val="00763B54"/>
    <w:rsid w:val="00763CC1"/>
    <w:rsid w:val="00763F80"/>
    <w:rsid w:val="00764075"/>
    <w:rsid w:val="007640EB"/>
    <w:rsid w:val="00764200"/>
    <w:rsid w:val="00764411"/>
    <w:rsid w:val="007644AC"/>
    <w:rsid w:val="007644C3"/>
    <w:rsid w:val="007644CC"/>
    <w:rsid w:val="007645CC"/>
    <w:rsid w:val="007649A7"/>
    <w:rsid w:val="00764B78"/>
    <w:rsid w:val="00764CDD"/>
    <w:rsid w:val="00764EA4"/>
    <w:rsid w:val="0076519B"/>
    <w:rsid w:val="00765241"/>
    <w:rsid w:val="0076532D"/>
    <w:rsid w:val="007656FF"/>
    <w:rsid w:val="0076594E"/>
    <w:rsid w:val="00765A7E"/>
    <w:rsid w:val="00765C21"/>
    <w:rsid w:val="00765F83"/>
    <w:rsid w:val="007660A5"/>
    <w:rsid w:val="007661E8"/>
    <w:rsid w:val="00766587"/>
    <w:rsid w:val="00766847"/>
    <w:rsid w:val="00766911"/>
    <w:rsid w:val="00766970"/>
    <w:rsid w:val="00766ABB"/>
    <w:rsid w:val="00766BB1"/>
    <w:rsid w:val="00766BBD"/>
    <w:rsid w:val="00766C23"/>
    <w:rsid w:val="00766FFA"/>
    <w:rsid w:val="0076711F"/>
    <w:rsid w:val="007671EB"/>
    <w:rsid w:val="0076721A"/>
    <w:rsid w:val="00767539"/>
    <w:rsid w:val="0076764E"/>
    <w:rsid w:val="00767695"/>
    <w:rsid w:val="00767808"/>
    <w:rsid w:val="0076796C"/>
    <w:rsid w:val="00767B05"/>
    <w:rsid w:val="00767BA8"/>
    <w:rsid w:val="00767D23"/>
    <w:rsid w:val="00767F08"/>
    <w:rsid w:val="00770421"/>
    <w:rsid w:val="00770469"/>
    <w:rsid w:val="00770579"/>
    <w:rsid w:val="00770762"/>
    <w:rsid w:val="00770833"/>
    <w:rsid w:val="00770891"/>
    <w:rsid w:val="007709F5"/>
    <w:rsid w:val="00770AD9"/>
    <w:rsid w:val="00770C24"/>
    <w:rsid w:val="007710A8"/>
    <w:rsid w:val="0077112A"/>
    <w:rsid w:val="00771261"/>
    <w:rsid w:val="00771451"/>
    <w:rsid w:val="00771720"/>
    <w:rsid w:val="0077191E"/>
    <w:rsid w:val="00771FA2"/>
    <w:rsid w:val="0077215F"/>
    <w:rsid w:val="00772345"/>
    <w:rsid w:val="00772390"/>
    <w:rsid w:val="00772447"/>
    <w:rsid w:val="00772471"/>
    <w:rsid w:val="007726E2"/>
    <w:rsid w:val="00772931"/>
    <w:rsid w:val="00772AD3"/>
    <w:rsid w:val="00772CF0"/>
    <w:rsid w:val="007731E3"/>
    <w:rsid w:val="00773280"/>
    <w:rsid w:val="007732BF"/>
    <w:rsid w:val="00773362"/>
    <w:rsid w:val="007733DE"/>
    <w:rsid w:val="0077346A"/>
    <w:rsid w:val="007735A3"/>
    <w:rsid w:val="0077381E"/>
    <w:rsid w:val="0077383C"/>
    <w:rsid w:val="00773BE0"/>
    <w:rsid w:val="00773F2C"/>
    <w:rsid w:val="00773F54"/>
    <w:rsid w:val="00774037"/>
    <w:rsid w:val="00774110"/>
    <w:rsid w:val="00774562"/>
    <w:rsid w:val="00774614"/>
    <w:rsid w:val="007748F3"/>
    <w:rsid w:val="00774CCD"/>
    <w:rsid w:val="00774DFD"/>
    <w:rsid w:val="00775014"/>
    <w:rsid w:val="00775139"/>
    <w:rsid w:val="00775151"/>
    <w:rsid w:val="007751B7"/>
    <w:rsid w:val="00775279"/>
    <w:rsid w:val="007752D1"/>
    <w:rsid w:val="00775760"/>
    <w:rsid w:val="0077576A"/>
    <w:rsid w:val="00775E77"/>
    <w:rsid w:val="00776239"/>
    <w:rsid w:val="00776346"/>
    <w:rsid w:val="00776445"/>
    <w:rsid w:val="007767B1"/>
    <w:rsid w:val="00776857"/>
    <w:rsid w:val="007768C0"/>
    <w:rsid w:val="007769E2"/>
    <w:rsid w:val="00776AD3"/>
    <w:rsid w:val="00776B04"/>
    <w:rsid w:val="00776C67"/>
    <w:rsid w:val="00776D3D"/>
    <w:rsid w:val="00776D6E"/>
    <w:rsid w:val="00776DA9"/>
    <w:rsid w:val="00776EE7"/>
    <w:rsid w:val="00776F23"/>
    <w:rsid w:val="007770DD"/>
    <w:rsid w:val="0077725F"/>
    <w:rsid w:val="00777390"/>
    <w:rsid w:val="0077753B"/>
    <w:rsid w:val="0077782F"/>
    <w:rsid w:val="00777968"/>
    <w:rsid w:val="00777A90"/>
    <w:rsid w:val="00777C3B"/>
    <w:rsid w:val="00777F26"/>
    <w:rsid w:val="00780054"/>
    <w:rsid w:val="00780151"/>
    <w:rsid w:val="00780276"/>
    <w:rsid w:val="007802F1"/>
    <w:rsid w:val="00780584"/>
    <w:rsid w:val="00780684"/>
    <w:rsid w:val="007806EE"/>
    <w:rsid w:val="00780874"/>
    <w:rsid w:val="00780DB3"/>
    <w:rsid w:val="00780EAD"/>
    <w:rsid w:val="00781063"/>
    <w:rsid w:val="00781307"/>
    <w:rsid w:val="00781393"/>
    <w:rsid w:val="00781472"/>
    <w:rsid w:val="00781492"/>
    <w:rsid w:val="00781887"/>
    <w:rsid w:val="0078188D"/>
    <w:rsid w:val="00781AA2"/>
    <w:rsid w:val="00781D2E"/>
    <w:rsid w:val="007822B5"/>
    <w:rsid w:val="0078236C"/>
    <w:rsid w:val="00782458"/>
    <w:rsid w:val="0078248A"/>
    <w:rsid w:val="007826F4"/>
    <w:rsid w:val="007827EE"/>
    <w:rsid w:val="007829F6"/>
    <w:rsid w:val="00782A13"/>
    <w:rsid w:val="00782BB1"/>
    <w:rsid w:val="00782C85"/>
    <w:rsid w:val="00782E33"/>
    <w:rsid w:val="00782FDF"/>
    <w:rsid w:val="0078303E"/>
    <w:rsid w:val="007830A9"/>
    <w:rsid w:val="00783117"/>
    <w:rsid w:val="00783142"/>
    <w:rsid w:val="0078324B"/>
    <w:rsid w:val="00783290"/>
    <w:rsid w:val="007832E7"/>
    <w:rsid w:val="007837B9"/>
    <w:rsid w:val="00783870"/>
    <w:rsid w:val="00783F90"/>
    <w:rsid w:val="0078400F"/>
    <w:rsid w:val="00784191"/>
    <w:rsid w:val="007843B0"/>
    <w:rsid w:val="007849BF"/>
    <w:rsid w:val="00784A8E"/>
    <w:rsid w:val="00784C10"/>
    <w:rsid w:val="007852C4"/>
    <w:rsid w:val="0078565B"/>
    <w:rsid w:val="00785865"/>
    <w:rsid w:val="00785A2E"/>
    <w:rsid w:val="00785B08"/>
    <w:rsid w:val="00785B9D"/>
    <w:rsid w:val="00785EEE"/>
    <w:rsid w:val="00786195"/>
    <w:rsid w:val="007862AB"/>
    <w:rsid w:val="007863EF"/>
    <w:rsid w:val="007863FF"/>
    <w:rsid w:val="00786820"/>
    <w:rsid w:val="00786A28"/>
    <w:rsid w:val="00786C6D"/>
    <w:rsid w:val="00786D1D"/>
    <w:rsid w:val="00786D4B"/>
    <w:rsid w:val="00786EC4"/>
    <w:rsid w:val="00786FA0"/>
    <w:rsid w:val="0078748C"/>
    <w:rsid w:val="007875B0"/>
    <w:rsid w:val="007876C2"/>
    <w:rsid w:val="00787702"/>
    <w:rsid w:val="00787768"/>
    <w:rsid w:val="00787789"/>
    <w:rsid w:val="00787812"/>
    <w:rsid w:val="00787826"/>
    <w:rsid w:val="00787921"/>
    <w:rsid w:val="00787939"/>
    <w:rsid w:val="0078795E"/>
    <w:rsid w:val="00787A3C"/>
    <w:rsid w:val="00787CC6"/>
    <w:rsid w:val="00787E6F"/>
    <w:rsid w:val="00790108"/>
    <w:rsid w:val="00790139"/>
    <w:rsid w:val="00790A50"/>
    <w:rsid w:val="00791025"/>
    <w:rsid w:val="00791164"/>
    <w:rsid w:val="0079134C"/>
    <w:rsid w:val="00791399"/>
    <w:rsid w:val="00791B23"/>
    <w:rsid w:val="00791EAD"/>
    <w:rsid w:val="00791F32"/>
    <w:rsid w:val="00792155"/>
    <w:rsid w:val="00792323"/>
    <w:rsid w:val="00792434"/>
    <w:rsid w:val="00792537"/>
    <w:rsid w:val="00792657"/>
    <w:rsid w:val="00792795"/>
    <w:rsid w:val="00792957"/>
    <w:rsid w:val="00792B5A"/>
    <w:rsid w:val="00792DE5"/>
    <w:rsid w:val="00792EBA"/>
    <w:rsid w:val="00792F76"/>
    <w:rsid w:val="00792FF3"/>
    <w:rsid w:val="0079305E"/>
    <w:rsid w:val="007934FF"/>
    <w:rsid w:val="00793928"/>
    <w:rsid w:val="007940EF"/>
    <w:rsid w:val="007941F1"/>
    <w:rsid w:val="00794403"/>
    <w:rsid w:val="00794769"/>
    <w:rsid w:val="0079492C"/>
    <w:rsid w:val="00794A02"/>
    <w:rsid w:val="00794A42"/>
    <w:rsid w:val="00794A6E"/>
    <w:rsid w:val="00794A9A"/>
    <w:rsid w:val="00794B6C"/>
    <w:rsid w:val="00794C78"/>
    <w:rsid w:val="00794DE9"/>
    <w:rsid w:val="00794FFB"/>
    <w:rsid w:val="0079502B"/>
    <w:rsid w:val="007950E5"/>
    <w:rsid w:val="007951F3"/>
    <w:rsid w:val="007954D3"/>
    <w:rsid w:val="007958A1"/>
    <w:rsid w:val="00795AA6"/>
    <w:rsid w:val="00795BFB"/>
    <w:rsid w:val="00795E45"/>
    <w:rsid w:val="00796092"/>
    <w:rsid w:val="00796317"/>
    <w:rsid w:val="007964A0"/>
    <w:rsid w:val="007965D0"/>
    <w:rsid w:val="00796808"/>
    <w:rsid w:val="00796A67"/>
    <w:rsid w:val="00796BD8"/>
    <w:rsid w:val="00796C21"/>
    <w:rsid w:val="00796C80"/>
    <w:rsid w:val="00796F5E"/>
    <w:rsid w:val="00796F61"/>
    <w:rsid w:val="00796F9B"/>
    <w:rsid w:val="007970D8"/>
    <w:rsid w:val="00797365"/>
    <w:rsid w:val="00797666"/>
    <w:rsid w:val="007976F4"/>
    <w:rsid w:val="0079779E"/>
    <w:rsid w:val="0079793F"/>
    <w:rsid w:val="00797FC3"/>
    <w:rsid w:val="00797FFC"/>
    <w:rsid w:val="007A0163"/>
    <w:rsid w:val="007A02C9"/>
    <w:rsid w:val="007A04C1"/>
    <w:rsid w:val="007A04CA"/>
    <w:rsid w:val="007A08E4"/>
    <w:rsid w:val="007A0AA8"/>
    <w:rsid w:val="007A0CA2"/>
    <w:rsid w:val="007A0E68"/>
    <w:rsid w:val="007A1407"/>
    <w:rsid w:val="007A14B0"/>
    <w:rsid w:val="007A1D9F"/>
    <w:rsid w:val="007A1E56"/>
    <w:rsid w:val="007A20B3"/>
    <w:rsid w:val="007A20B9"/>
    <w:rsid w:val="007A2641"/>
    <w:rsid w:val="007A265B"/>
    <w:rsid w:val="007A27C6"/>
    <w:rsid w:val="007A2814"/>
    <w:rsid w:val="007A2CC6"/>
    <w:rsid w:val="007A2EAF"/>
    <w:rsid w:val="007A3268"/>
    <w:rsid w:val="007A3360"/>
    <w:rsid w:val="007A336F"/>
    <w:rsid w:val="007A337D"/>
    <w:rsid w:val="007A3473"/>
    <w:rsid w:val="007A34A1"/>
    <w:rsid w:val="007A34CF"/>
    <w:rsid w:val="007A358C"/>
    <w:rsid w:val="007A35F3"/>
    <w:rsid w:val="007A3A8F"/>
    <w:rsid w:val="007A3BE1"/>
    <w:rsid w:val="007A3D7C"/>
    <w:rsid w:val="007A3F8B"/>
    <w:rsid w:val="007A43F0"/>
    <w:rsid w:val="007A4BDC"/>
    <w:rsid w:val="007A4C2E"/>
    <w:rsid w:val="007A4CBE"/>
    <w:rsid w:val="007A4CE2"/>
    <w:rsid w:val="007A4EE7"/>
    <w:rsid w:val="007A4FE8"/>
    <w:rsid w:val="007A5224"/>
    <w:rsid w:val="007A5266"/>
    <w:rsid w:val="007A53B5"/>
    <w:rsid w:val="007A53DE"/>
    <w:rsid w:val="007A548F"/>
    <w:rsid w:val="007A550C"/>
    <w:rsid w:val="007A569F"/>
    <w:rsid w:val="007A591E"/>
    <w:rsid w:val="007A5B22"/>
    <w:rsid w:val="007A5C0B"/>
    <w:rsid w:val="007A5CB9"/>
    <w:rsid w:val="007A5DD2"/>
    <w:rsid w:val="007A5FEE"/>
    <w:rsid w:val="007A6134"/>
    <w:rsid w:val="007A614B"/>
    <w:rsid w:val="007A6317"/>
    <w:rsid w:val="007A6A90"/>
    <w:rsid w:val="007A6D13"/>
    <w:rsid w:val="007A6D27"/>
    <w:rsid w:val="007A6FDC"/>
    <w:rsid w:val="007A7049"/>
    <w:rsid w:val="007A7132"/>
    <w:rsid w:val="007A7148"/>
    <w:rsid w:val="007A7188"/>
    <w:rsid w:val="007A7417"/>
    <w:rsid w:val="007A750B"/>
    <w:rsid w:val="007A75B0"/>
    <w:rsid w:val="007A7652"/>
    <w:rsid w:val="007A7716"/>
    <w:rsid w:val="007A778D"/>
    <w:rsid w:val="007A78D6"/>
    <w:rsid w:val="007A7DD7"/>
    <w:rsid w:val="007A7EF3"/>
    <w:rsid w:val="007B014A"/>
    <w:rsid w:val="007B0288"/>
    <w:rsid w:val="007B03AF"/>
    <w:rsid w:val="007B047C"/>
    <w:rsid w:val="007B0676"/>
    <w:rsid w:val="007B082A"/>
    <w:rsid w:val="007B0939"/>
    <w:rsid w:val="007B0AB9"/>
    <w:rsid w:val="007B0BB0"/>
    <w:rsid w:val="007B0CB1"/>
    <w:rsid w:val="007B0E9F"/>
    <w:rsid w:val="007B104E"/>
    <w:rsid w:val="007B1134"/>
    <w:rsid w:val="007B1A9D"/>
    <w:rsid w:val="007B1B02"/>
    <w:rsid w:val="007B1D16"/>
    <w:rsid w:val="007B1D91"/>
    <w:rsid w:val="007B1DA8"/>
    <w:rsid w:val="007B257D"/>
    <w:rsid w:val="007B27A9"/>
    <w:rsid w:val="007B2FBC"/>
    <w:rsid w:val="007B3188"/>
    <w:rsid w:val="007B3231"/>
    <w:rsid w:val="007B3395"/>
    <w:rsid w:val="007B33D2"/>
    <w:rsid w:val="007B3401"/>
    <w:rsid w:val="007B3AE4"/>
    <w:rsid w:val="007B3B7D"/>
    <w:rsid w:val="007B3B9E"/>
    <w:rsid w:val="007B3BDE"/>
    <w:rsid w:val="007B3C19"/>
    <w:rsid w:val="007B3D1C"/>
    <w:rsid w:val="007B3D94"/>
    <w:rsid w:val="007B3FCF"/>
    <w:rsid w:val="007B4352"/>
    <w:rsid w:val="007B4430"/>
    <w:rsid w:val="007B458A"/>
    <w:rsid w:val="007B45EC"/>
    <w:rsid w:val="007B4613"/>
    <w:rsid w:val="007B4679"/>
    <w:rsid w:val="007B4B83"/>
    <w:rsid w:val="007B4EF0"/>
    <w:rsid w:val="007B4F33"/>
    <w:rsid w:val="007B50E6"/>
    <w:rsid w:val="007B5100"/>
    <w:rsid w:val="007B5434"/>
    <w:rsid w:val="007B5718"/>
    <w:rsid w:val="007B59A5"/>
    <w:rsid w:val="007B59B3"/>
    <w:rsid w:val="007B5C93"/>
    <w:rsid w:val="007B5D65"/>
    <w:rsid w:val="007B60E1"/>
    <w:rsid w:val="007B621B"/>
    <w:rsid w:val="007B64C2"/>
    <w:rsid w:val="007B651A"/>
    <w:rsid w:val="007B6974"/>
    <w:rsid w:val="007B6A2A"/>
    <w:rsid w:val="007B6CFD"/>
    <w:rsid w:val="007B6E26"/>
    <w:rsid w:val="007B6F0B"/>
    <w:rsid w:val="007B7642"/>
    <w:rsid w:val="007B77C3"/>
    <w:rsid w:val="007B792D"/>
    <w:rsid w:val="007B7B51"/>
    <w:rsid w:val="007B7BD0"/>
    <w:rsid w:val="007C02B7"/>
    <w:rsid w:val="007C031B"/>
    <w:rsid w:val="007C03D6"/>
    <w:rsid w:val="007C058F"/>
    <w:rsid w:val="007C0818"/>
    <w:rsid w:val="007C097F"/>
    <w:rsid w:val="007C09BB"/>
    <w:rsid w:val="007C0BCC"/>
    <w:rsid w:val="007C0DE5"/>
    <w:rsid w:val="007C0E1D"/>
    <w:rsid w:val="007C0F5B"/>
    <w:rsid w:val="007C1052"/>
    <w:rsid w:val="007C1243"/>
    <w:rsid w:val="007C12CD"/>
    <w:rsid w:val="007C130A"/>
    <w:rsid w:val="007C15A6"/>
    <w:rsid w:val="007C17AB"/>
    <w:rsid w:val="007C1A05"/>
    <w:rsid w:val="007C1BC4"/>
    <w:rsid w:val="007C1C1D"/>
    <w:rsid w:val="007C1C2C"/>
    <w:rsid w:val="007C1D04"/>
    <w:rsid w:val="007C2004"/>
    <w:rsid w:val="007C2021"/>
    <w:rsid w:val="007C21A1"/>
    <w:rsid w:val="007C21FA"/>
    <w:rsid w:val="007C2267"/>
    <w:rsid w:val="007C2345"/>
    <w:rsid w:val="007C239E"/>
    <w:rsid w:val="007C2890"/>
    <w:rsid w:val="007C2CEB"/>
    <w:rsid w:val="007C2D6F"/>
    <w:rsid w:val="007C3023"/>
    <w:rsid w:val="007C3172"/>
    <w:rsid w:val="007C34A3"/>
    <w:rsid w:val="007C34BC"/>
    <w:rsid w:val="007C3914"/>
    <w:rsid w:val="007C3B9E"/>
    <w:rsid w:val="007C3C44"/>
    <w:rsid w:val="007C3EAB"/>
    <w:rsid w:val="007C4018"/>
    <w:rsid w:val="007C407C"/>
    <w:rsid w:val="007C4332"/>
    <w:rsid w:val="007C4373"/>
    <w:rsid w:val="007C441B"/>
    <w:rsid w:val="007C445C"/>
    <w:rsid w:val="007C44E8"/>
    <w:rsid w:val="007C4A89"/>
    <w:rsid w:val="007C4B16"/>
    <w:rsid w:val="007C4BB9"/>
    <w:rsid w:val="007C4CF0"/>
    <w:rsid w:val="007C4D92"/>
    <w:rsid w:val="007C4F32"/>
    <w:rsid w:val="007C4FCA"/>
    <w:rsid w:val="007C5248"/>
    <w:rsid w:val="007C5382"/>
    <w:rsid w:val="007C5536"/>
    <w:rsid w:val="007C57A8"/>
    <w:rsid w:val="007C58ED"/>
    <w:rsid w:val="007C5B37"/>
    <w:rsid w:val="007C5CB8"/>
    <w:rsid w:val="007C5E5B"/>
    <w:rsid w:val="007C5F1B"/>
    <w:rsid w:val="007C6489"/>
    <w:rsid w:val="007C66C9"/>
    <w:rsid w:val="007C6824"/>
    <w:rsid w:val="007C68B4"/>
    <w:rsid w:val="007C68DF"/>
    <w:rsid w:val="007C6904"/>
    <w:rsid w:val="007C6A8B"/>
    <w:rsid w:val="007C6AD9"/>
    <w:rsid w:val="007C6AFD"/>
    <w:rsid w:val="007C6E10"/>
    <w:rsid w:val="007C707F"/>
    <w:rsid w:val="007C72B5"/>
    <w:rsid w:val="007C73C2"/>
    <w:rsid w:val="007C7413"/>
    <w:rsid w:val="007C7592"/>
    <w:rsid w:val="007C77C1"/>
    <w:rsid w:val="007C78D3"/>
    <w:rsid w:val="007C7ABF"/>
    <w:rsid w:val="007C7BA4"/>
    <w:rsid w:val="007C7C14"/>
    <w:rsid w:val="007C7C34"/>
    <w:rsid w:val="007D018B"/>
    <w:rsid w:val="007D01D6"/>
    <w:rsid w:val="007D034D"/>
    <w:rsid w:val="007D03D9"/>
    <w:rsid w:val="007D03F0"/>
    <w:rsid w:val="007D0489"/>
    <w:rsid w:val="007D0542"/>
    <w:rsid w:val="007D05EF"/>
    <w:rsid w:val="007D064C"/>
    <w:rsid w:val="007D079C"/>
    <w:rsid w:val="007D09D2"/>
    <w:rsid w:val="007D0AAA"/>
    <w:rsid w:val="007D0B95"/>
    <w:rsid w:val="007D0CB8"/>
    <w:rsid w:val="007D0F33"/>
    <w:rsid w:val="007D11E3"/>
    <w:rsid w:val="007D11F6"/>
    <w:rsid w:val="007D1249"/>
    <w:rsid w:val="007D1365"/>
    <w:rsid w:val="007D16BB"/>
    <w:rsid w:val="007D1800"/>
    <w:rsid w:val="007D1815"/>
    <w:rsid w:val="007D18D2"/>
    <w:rsid w:val="007D1CB0"/>
    <w:rsid w:val="007D1E06"/>
    <w:rsid w:val="007D1F1D"/>
    <w:rsid w:val="007D2248"/>
    <w:rsid w:val="007D22A6"/>
    <w:rsid w:val="007D232F"/>
    <w:rsid w:val="007D2742"/>
    <w:rsid w:val="007D2E73"/>
    <w:rsid w:val="007D304C"/>
    <w:rsid w:val="007D33F4"/>
    <w:rsid w:val="007D35BC"/>
    <w:rsid w:val="007D399E"/>
    <w:rsid w:val="007D3A63"/>
    <w:rsid w:val="007D3A8C"/>
    <w:rsid w:val="007D3B67"/>
    <w:rsid w:val="007D3B83"/>
    <w:rsid w:val="007D3BAA"/>
    <w:rsid w:val="007D3C0B"/>
    <w:rsid w:val="007D40C4"/>
    <w:rsid w:val="007D4195"/>
    <w:rsid w:val="007D480A"/>
    <w:rsid w:val="007D4898"/>
    <w:rsid w:val="007D4900"/>
    <w:rsid w:val="007D4B07"/>
    <w:rsid w:val="007D4CCC"/>
    <w:rsid w:val="007D4F16"/>
    <w:rsid w:val="007D4FFA"/>
    <w:rsid w:val="007D5628"/>
    <w:rsid w:val="007D5675"/>
    <w:rsid w:val="007D575E"/>
    <w:rsid w:val="007D5994"/>
    <w:rsid w:val="007D5CA9"/>
    <w:rsid w:val="007D5EB4"/>
    <w:rsid w:val="007D61E3"/>
    <w:rsid w:val="007D64E2"/>
    <w:rsid w:val="007D69E3"/>
    <w:rsid w:val="007D6A8C"/>
    <w:rsid w:val="007D6AC5"/>
    <w:rsid w:val="007D6AFD"/>
    <w:rsid w:val="007D6D64"/>
    <w:rsid w:val="007D6FA7"/>
    <w:rsid w:val="007D753E"/>
    <w:rsid w:val="007D76DA"/>
    <w:rsid w:val="007D78BC"/>
    <w:rsid w:val="007D7932"/>
    <w:rsid w:val="007D7AE4"/>
    <w:rsid w:val="007D7C14"/>
    <w:rsid w:val="007D7C6F"/>
    <w:rsid w:val="007E0019"/>
    <w:rsid w:val="007E01A8"/>
    <w:rsid w:val="007E04CA"/>
    <w:rsid w:val="007E0683"/>
    <w:rsid w:val="007E07CE"/>
    <w:rsid w:val="007E0898"/>
    <w:rsid w:val="007E08C8"/>
    <w:rsid w:val="007E0A5D"/>
    <w:rsid w:val="007E0BCA"/>
    <w:rsid w:val="007E0DD2"/>
    <w:rsid w:val="007E0DE1"/>
    <w:rsid w:val="007E100D"/>
    <w:rsid w:val="007E1169"/>
    <w:rsid w:val="007E1249"/>
    <w:rsid w:val="007E134D"/>
    <w:rsid w:val="007E170A"/>
    <w:rsid w:val="007E1742"/>
    <w:rsid w:val="007E1AF0"/>
    <w:rsid w:val="007E1B57"/>
    <w:rsid w:val="007E1C55"/>
    <w:rsid w:val="007E1C90"/>
    <w:rsid w:val="007E1E82"/>
    <w:rsid w:val="007E1FA6"/>
    <w:rsid w:val="007E2156"/>
    <w:rsid w:val="007E22C3"/>
    <w:rsid w:val="007E26B9"/>
    <w:rsid w:val="007E299C"/>
    <w:rsid w:val="007E2A44"/>
    <w:rsid w:val="007E2A90"/>
    <w:rsid w:val="007E2D45"/>
    <w:rsid w:val="007E318B"/>
    <w:rsid w:val="007E39DE"/>
    <w:rsid w:val="007E3B42"/>
    <w:rsid w:val="007E3CDB"/>
    <w:rsid w:val="007E3FA6"/>
    <w:rsid w:val="007E43BE"/>
    <w:rsid w:val="007E43E3"/>
    <w:rsid w:val="007E460A"/>
    <w:rsid w:val="007E4856"/>
    <w:rsid w:val="007E4A3D"/>
    <w:rsid w:val="007E4AC7"/>
    <w:rsid w:val="007E4E90"/>
    <w:rsid w:val="007E4F4C"/>
    <w:rsid w:val="007E5171"/>
    <w:rsid w:val="007E51D2"/>
    <w:rsid w:val="007E5212"/>
    <w:rsid w:val="007E52EE"/>
    <w:rsid w:val="007E5300"/>
    <w:rsid w:val="007E5475"/>
    <w:rsid w:val="007E5717"/>
    <w:rsid w:val="007E579D"/>
    <w:rsid w:val="007E5822"/>
    <w:rsid w:val="007E5A56"/>
    <w:rsid w:val="007E5A9B"/>
    <w:rsid w:val="007E5B8E"/>
    <w:rsid w:val="007E5BE6"/>
    <w:rsid w:val="007E5C39"/>
    <w:rsid w:val="007E5EC2"/>
    <w:rsid w:val="007E61C2"/>
    <w:rsid w:val="007E61CD"/>
    <w:rsid w:val="007E625B"/>
    <w:rsid w:val="007E62E2"/>
    <w:rsid w:val="007E6483"/>
    <w:rsid w:val="007E67E6"/>
    <w:rsid w:val="007E6A17"/>
    <w:rsid w:val="007E6AA5"/>
    <w:rsid w:val="007E6AE9"/>
    <w:rsid w:val="007E6B71"/>
    <w:rsid w:val="007E6BAE"/>
    <w:rsid w:val="007E6CBC"/>
    <w:rsid w:val="007E6DCF"/>
    <w:rsid w:val="007E70ED"/>
    <w:rsid w:val="007E721F"/>
    <w:rsid w:val="007E733D"/>
    <w:rsid w:val="007E7374"/>
    <w:rsid w:val="007E73C0"/>
    <w:rsid w:val="007E77FC"/>
    <w:rsid w:val="007E7870"/>
    <w:rsid w:val="007E7915"/>
    <w:rsid w:val="007E7B77"/>
    <w:rsid w:val="007E7E50"/>
    <w:rsid w:val="007F00D8"/>
    <w:rsid w:val="007F014A"/>
    <w:rsid w:val="007F0484"/>
    <w:rsid w:val="007F06D5"/>
    <w:rsid w:val="007F08A2"/>
    <w:rsid w:val="007F0991"/>
    <w:rsid w:val="007F09AC"/>
    <w:rsid w:val="007F0A1D"/>
    <w:rsid w:val="007F0C3F"/>
    <w:rsid w:val="007F0C51"/>
    <w:rsid w:val="007F0CE4"/>
    <w:rsid w:val="007F0DD7"/>
    <w:rsid w:val="007F0DDD"/>
    <w:rsid w:val="007F1023"/>
    <w:rsid w:val="007F10F9"/>
    <w:rsid w:val="007F1243"/>
    <w:rsid w:val="007F15B9"/>
    <w:rsid w:val="007F1806"/>
    <w:rsid w:val="007F1D43"/>
    <w:rsid w:val="007F1DF0"/>
    <w:rsid w:val="007F1DFF"/>
    <w:rsid w:val="007F1FE9"/>
    <w:rsid w:val="007F2010"/>
    <w:rsid w:val="007F21A6"/>
    <w:rsid w:val="007F232D"/>
    <w:rsid w:val="007F260D"/>
    <w:rsid w:val="007F2672"/>
    <w:rsid w:val="007F2738"/>
    <w:rsid w:val="007F288A"/>
    <w:rsid w:val="007F2A7F"/>
    <w:rsid w:val="007F2CD4"/>
    <w:rsid w:val="007F2E77"/>
    <w:rsid w:val="007F2F7D"/>
    <w:rsid w:val="007F306D"/>
    <w:rsid w:val="007F30A5"/>
    <w:rsid w:val="007F3233"/>
    <w:rsid w:val="007F344C"/>
    <w:rsid w:val="007F3475"/>
    <w:rsid w:val="007F352C"/>
    <w:rsid w:val="007F353D"/>
    <w:rsid w:val="007F35BE"/>
    <w:rsid w:val="007F36CE"/>
    <w:rsid w:val="007F374E"/>
    <w:rsid w:val="007F38A5"/>
    <w:rsid w:val="007F394B"/>
    <w:rsid w:val="007F3B17"/>
    <w:rsid w:val="007F3B77"/>
    <w:rsid w:val="007F3C10"/>
    <w:rsid w:val="007F3C3F"/>
    <w:rsid w:val="007F3F10"/>
    <w:rsid w:val="007F4203"/>
    <w:rsid w:val="007F46C7"/>
    <w:rsid w:val="007F472E"/>
    <w:rsid w:val="007F495A"/>
    <w:rsid w:val="007F49B0"/>
    <w:rsid w:val="007F4ABC"/>
    <w:rsid w:val="007F4BA4"/>
    <w:rsid w:val="007F4CA1"/>
    <w:rsid w:val="007F4DDE"/>
    <w:rsid w:val="007F4E52"/>
    <w:rsid w:val="007F5649"/>
    <w:rsid w:val="007F564A"/>
    <w:rsid w:val="007F5708"/>
    <w:rsid w:val="007F58AB"/>
    <w:rsid w:val="007F59E4"/>
    <w:rsid w:val="007F5AEE"/>
    <w:rsid w:val="007F5CEA"/>
    <w:rsid w:val="007F60D2"/>
    <w:rsid w:val="007F611F"/>
    <w:rsid w:val="007F624B"/>
    <w:rsid w:val="007F62A7"/>
    <w:rsid w:val="007F656E"/>
    <w:rsid w:val="007F663A"/>
    <w:rsid w:val="007F66EE"/>
    <w:rsid w:val="007F671F"/>
    <w:rsid w:val="007F674A"/>
    <w:rsid w:val="007F6793"/>
    <w:rsid w:val="007F6866"/>
    <w:rsid w:val="007F68F5"/>
    <w:rsid w:val="007F6AB6"/>
    <w:rsid w:val="007F6BAE"/>
    <w:rsid w:val="007F74D6"/>
    <w:rsid w:val="007F76FF"/>
    <w:rsid w:val="007F7836"/>
    <w:rsid w:val="007F79BE"/>
    <w:rsid w:val="008001E8"/>
    <w:rsid w:val="008005BE"/>
    <w:rsid w:val="00800893"/>
    <w:rsid w:val="008009F0"/>
    <w:rsid w:val="00800B9C"/>
    <w:rsid w:val="00800DEE"/>
    <w:rsid w:val="00800F84"/>
    <w:rsid w:val="00801137"/>
    <w:rsid w:val="008011CA"/>
    <w:rsid w:val="0080125D"/>
    <w:rsid w:val="00801462"/>
    <w:rsid w:val="00801510"/>
    <w:rsid w:val="008016BB"/>
    <w:rsid w:val="008017D2"/>
    <w:rsid w:val="008018C6"/>
    <w:rsid w:val="008018E2"/>
    <w:rsid w:val="008018FA"/>
    <w:rsid w:val="0080195B"/>
    <w:rsid w:val="00801D89"/>
    <w:rsid w:val="0080204D"/>
    <w:rsid w:val="0080212D"/>
    <w:rsid w:val="00802157"/>
    <w:rsid w:val="008023CB"/>
    <w:rsid w:val="0080258D"/>
    <w:rsid w:val="0080271F"/>
    <w:rsid w:val="008027DA"/>
    <w:rsid w:val="00802A79"/>
    <w:rsid w:val="00802A9B"/>
    <w:rsid w:val="00802CB9"/>
    <w:rsid w:val="00802D16"/>
    <w:rsid w:val="00802DC9"/>
    <w:rsid w:val="008030E4"/>
    <w:rsid w:val="008030F4"/>
    <w:rsid w:val="008031EC"/>
    <w:rsid w:val="0080360A"/>
    <w:rsid w:val="00803739"/>
    <w:rsid w:val="0080376F"/>
    <w:rsid w:val="00803940"/>
    <w:rsid w:val="008039CA"/>
    <w:rsid w:val="00803AD9"/>
    <w:rsid w:val="00803BC1"/>
    <w:rsid w:val="00804348"/>
    <w:rsid w:val="0080435C"/>
    <w:rsid w:val="00804522"/>
    <w:rsid w:val="008046B5"/>
    <w:rsid w:val="00804869"/>
    <w:rsid w:val="008049FB"/>
    <w:rsid w:val="00804AD6"/>
    <w:rsid w:val="00804DA2"/>
    <w:rsid w:val="00804F2D"/>
    <w:rsid w:val="00805119"/>
    <w:rsid w:val="00805187"/>
    <w:rsid w:val="0080548E"/>
    <w:rsid w:val="00805496"/>
    <w:rsid w:val="00805633"/>
    <w:rsid w:val="008056B5"/>
    <w:rsid w:val="008057E8"/>
    <w:rsid w:val="00805871"/>
    <w:rsid w:val="00805A3C"/>
    <w:rsid w:val="00805A47"/>
    <w:rsid w:val="00805B9B"/>
    <w:rsid w:val="00805B9C"/>
    <w:rsid w:val="00805D28"/>
    <w:rsid w:val="00805FB0"/>
    <w:rsid w:val="00806161"/>
    <w:rsid w:val="00806348"/>
    <w:rsid w:val="00806558"/>
    <w:rsid w:val="008065BA"/>
    <w:rsid w:val="00806873"/>
    <w:rsid w:val="0080692A"/>
    <w:rsid w:val="00806C92"/>
    <w:rsid w:val="00806D64"/>
    <w:rsid w:val="00806E8F"/>
    <w:rsid w:val="00806F14"/>
    <w:rsid w:val="00806F78"/>
    <w:rsid w:val="0080715D"/>
    <w:rsid w:val="008072D6"/>
    <w:rsid w:val="00807482"/>
    <w:rsid w:val="00807754"/>
    <w:rsid w:val="0080790F"/>
    <w:rsid w:val="0080794E"/>
    <w:rsid w:val="008079ED"/>
    <w:rsid w:val="00807B1F"/>
    <w:rsid w:val="00807CDC"/>
    <w:rsid w:val="00807E25"/>
    <w:rsid w:val="008102F7"/>
    <w:rsid w:val="00810333"/>
    <w:rsid w:val="00810483"/>
    <w:rsid w:val="0081061A"/>
    <w:rsid w:val="00810672"/>
    <w:rsid w:val="008106DD"/>
    <w:rsid w:val="0081082F"/>
    <w:rsid w:val="00810872"/>
    <w:rsid w:val="008109D4"/>
    <w:rsid w:val="00810AD1"/>
    <w:rsid w:val="00810B51"/>
    <w:rsid w:val="008110A4"/>
    <w:rsid w:val="0081176A"/>
    <w:rsid w:val="0081176D"/>
    <w:rsid w:val="0081184F"/>
    <w:rsid w:val="00811A05"/>
    <w:rsid w:val="00811A64"/>
    <w:rsid w:val="00811ACC"/>
    <w:rsid w:val="00811C1C"/>
    <w:rsid w:val="00811CB7"/>
    <w:rsid w:val="00811DD8"/>
    <w:rsid w:val="00811E47"/>
    <w:rsid w:val="008121AC"/>
    <w:rsid w:val="008124E8"/>
    <w:rsid w:val="0081254C"/>
    <w:rsid w:val="0081258E"/>
    <w:rsid w:val="0081296A"/>
    <w:rsid w:val="00812E84"/>
    <w:rsid w:val="00813055"/>
    <w:rsid w:val="008134CB"/>
    <w:rsid w:val="00813677"/>
    <w:rsid w:val="008137B0"/>
    <w:rsid w:val="008137E2"/>
    <w:rsid w:val="008138BE"/>
    <w:rsid w:val="00813C32"/>
    <w:rsid w:val="00813E27"/>
    <w:rsid w:val="00813E33"/>
    <w:rsid w:val="00813E43"/>
    <w:rsid w:val="00813F1D"/>
    <w:rsid w:val="00814082"/>
    <w:rsid w:val="008140F3"/>
    <w:rsid w:val="00814265"/>
    <w:rsid w:val="008143C8"/>
    <w:rsid w:val="00814472"/>
    <w:rsid w:val="00814531"/>
    <w:rsid w:val="008148E6"/>
    <w:rsid w:val="00814960"/>
    <w:rsid w:val="00814993"/>
    <w:rsid w:val="00814A14"/>
    <w:rsid w:val="00814C51"/>
    <w:rsid w:val="00814D64"/>
    <w:rsid w:val="00814EEB"/>
    <w:rsid w:val="00814FAA"/>
    <w:rsid w:val="00815050"/>
    <w:rsid w:val="0081545D"/>
    <w:rsid w:val="008154BD"/>
    <w:rsid w:val="00815514"/>
    <w:rsid w:val="008155A3"/>
    <w:rsid w:val="00815645"/>
    <w:rsid w:val="0081568B"/>
    <w:rsid w:val="00815B0C"/>
    <w:rsid w:val="00815C08"/>
    <w:rsid w:val="00815C35"/>
    <w:rsid w:val="008160EE"/>
    <w:rsid w:val="008161E2"/>
    <w:rsid w:val="008162A3"/>
    <w:rsid w:val="008165D2"/>
    <w:rsid w:val="0081694F"/>
    <w:rsid w:val="008169F4"/>
    <w:rsid w:val="00816C34"/>
    <w:rsid w:val="00816DAD"/>
    <w:rsid w:val="00816EDF"/>
    <w:rsid w:val="0081734C"/>
    <w:rsid w:val="00817606"/>
    <w:rsid w:val="008176D5"/>
    <w:rsid w:val="00817B31"/>
    <w:rsid w:val="00817C4A"/>
    <w:rsid w:val="00817CAE"/>
    <w:rsid w:val="00817F19"/>
    <w:rsid w:val="00820392"/>
    <w:rsid w:val="008205D6"/>
    <w:rsid w:val="008207ED"/>
    <w:rsid w:val="008208AD"/>
    <w:rsid w:val="00820B48"/>
    <w:rsid w:val="00820BFF"/>
    <w:rsid w:val="00820D7E"/>
    <w:rsid w:val="00820E53"/>
    <w:rsid w:val="00820FD6"/>
    <w:rsid w:val="00821182"/>
    <w:rsid w:val="008212CD"/>
    <w:rsid w:val="00821336"/>
    <w:rsid w:val="008214A3"/>
    <w:rsid w:val="00821620"/>
    <w:rsid w:val="008218AF"/>
    <w:rsid w:val="00821EFE"/>
    <w:rsid w:val="00821FFC"/>
    <w:rsid w:val="00822020"/>
    <w:rsid w:val="0082205F"/>
    <w:rsid w:val="00822149"/>
    <w:rsid w:val="00822415"/>
    <w:rsid w:val="0082288B"/>
    <w:rsid w:val="008228B2"/>
    <w:rsid w:val="008229D7"/>
    <w:rsid w:val="00822CD5"/>
    <w:rsid w:val="00822E66"/>
    <w:rsid w:val="00822E80"/>
    <w:rsid w:val="00822EF9"/>
    <w:rsid w:val="00822F8D"/>
    <w:rsid w:val="008233F9"/>
    <w:rsid w:val="008235B7"/>
    <w:rsid w:val="00823ED6"/>
    <w:rsid w:val="00824523"/>
    <w:rsid w:val="00824610"/>
    <w:rsid w:val="00824864"/>
    <w:rsid w:val="00824885"/>
    <w:rsid w:val="00824B07"/>
    <w:rsid w:val="00824CAB"/>
    <w:rsid w:val="00824D59"/>
    <w:rsid w:val="00824E53"/>
    <w:rsid w:val="00825022"/>
    <w:rsid w:val="00825180"/>
    <w:rsid w:val="0082527B"/>
    <w:rsid w:val="008253D1"/>
    <w:rsid w:val="00825413"/>
    <w:rsid w:val="008254A7"/>
    <w:rsid w:val="0082561F"/>
    <w:rsid w:val="00825A3E"/>
    <w:rsid w:val="00825AA2"/>
    <w:rsid w:val="00825AAC"/>
    <w:rsid w:val="00825ADE"/>
    <w:rsid w:val="00825D1C"/>
    <w:rsid w:val="00826181"/>
    <w:rsid w:val="00826191"/>
    <w:rsid w:val="008261E6"/>
    <w:rsid w:val="008262C8"/>
    <w:rsid w:val="008264E5"/>
    <w:rsid w:val="0082677E"/>
    <w:rsid w:val="0082688F"/>
    <w:rsid w:val="008269A7"/>
    <w:rsid w:val="00826CC8"/>
    <w:rsid w:val="00826D41"/>
    <w:rsid w:val="00826D7B"/>
    <w:rsid w:val="00826D9B"/>
    <w:rsid w:val="00826E4A"/>
    <w:rsid w:val="00826F9E"/>
    <w:rsid w:val="008270DD"/>
    <w:rsid w:val="00827273"/>
    <w:rsid w:val="008276DE"/>
    <w:rsid w:val="00827750"/>
    <w:rsid w:val="00827CEB"/>
    <w:rsid w:val="00827DE5"/>
    <w:rsid w:val="00830203"/>
    <w:rsid w:val="00830320"/>
    <w:rsid w:val="0083036D"/>
    <w:rsid w:val="008304DD"/>
    <w:rsid w:val="00830703"/>
    <w:rsid w:val="0083072A"/>
    <w:rsid w:val="00830862"/>
    <w:rsid w:val="00830EDB"/>
    <w:rsid w:val="00830FA3"/>
    <w:rsid w:val="008311C3"/>
    <w:rsid w:val="00831247"/>
    <w:rsid w:val="00831714"/>
    <w:rsid w:val="00831A10"/>
    <w:rsid w:val="00831A47"/>
    <w:rsid w:val="00831C78"/>
    <w:rsid w:val="00831CCC"/>
    <w:rsid w:val="00831DC8"/>
    <w:rsid w:val="00831E69"/>
    <w:rsid w:val="00831ED7"/>
    <w:rsid w:val="0083203B"/>
    <w:rsid w:val="00832328"/>
    <w:rsid w:val="008328AB"/>
    <w:rsid w:val="00832A3B"/>
    <w:rsid w:val="00832BE7"/>
    <w:rsid w:val="00832C3C"/>
    <w:rsid w:val="00832D64"/>
    <w:rsid w:val="00832D77"/>
    <w:rsid w:val="00832EEB"/>
    <w:rsid w:val="008332E0"/>
    <w:rsid w:val="00833365"/>
    <w:rsid w:val="00833522"/>
    <w:rsid w:val="00833554"/>
    <w:rsid w:val="008335E1"/>
    <w:rsid w:val="008336DD"/>
    <w:rsid w:val="00833994"/>
    <w:rsid w:val="00833DA8"/>
    <w:rsid w:val="00833EB0"/>
    <w:rsid w:val="00833F2B"/>
    <w:rsid w:val="008342E8"/>
    <w:rsid w:val="0083437D"/>
    <w:rsid w:val="0083443B"/>
    <w:rsid w:val="00834655"/>
    <w:rsid w:val="00834835"/>
    <w:rsid w:val="0083487D"/>
    <w:rsid w:val="00834A73"/>
    <w:rsid w:val="00834BAA"/>
    <w:rsid w:val="00834CA1"/>
    <w:rsid w:val="00834D4E"/>
    <w:rsid w:val="00834E6E"/>
    <w:rsid w:val="00834FC7"/>
    <w:rsid w:val="00835110"/>
    <w:rsid w:val="00835118"/>
    <w:rsid w:val="00835200"/>
    <w:rsid w:val="0083540F"/>
    <w:rsid w:val="00835504"/>
    <w:rsid w:val="008356C2"/>
    <w:rsid w:val="00835A6D"/>
    <w:rsid w:val="00835D3F"/>
    <w:rsid w:val="00835EB1"/>
    <w:rsid w:val="008361DC"/>
    <w:rsid w:val="00836250"/>
    <w:rsid w:val="008363D4"/>
    <w:rsid w:val="0083661B"/>
    <w:rsid w:val="0083683B"/>
    <w:rsid w:val="00836A1F"/>
    <w:rsid w:val="00836B8B"/>
    <w:rsid w:val="00836BC5"/>
    <w:rsid w:val="00836C30"/>
    <w:rsid w:val="00836D38"/>
    <w:rsid w:val="00836FC7"/>
    <w:rsid w:val="0083714D"/>
    <w:rsid w:val="0083716A"/>
    <w:rsid w:val="008371D7"/>
    <w:rsid w:val="00837225"/>
    <w:rsid w:val="00837358"/>
    <w:rsid w:val="008374DB"/>
    <w:rsid w:val="008374EA"/>
    <w:rsid w:val="008376C9"/>
    <w:rsid w:val="008376DA"/>
    <w:rsid w:val="008376EE"/>
    <w:rsid w:val="0083781F"/>
    <w:rsid w:val="0083786A"/>
    <w:rsid w:val="00837F05"/>
    <w:rsid w:val="00840205"/>
    <w:rsid w:val="0084027C"/>
    <w:rsid w:val="008402CD"/>
    <w:rsid w:val="008403D3"/>
    <w:rsid w:val="008404B1"/>
    <w:rsid w:val="008406F7"/>
    <w:rsid w:val="0084082B"/>
    <w:rsid w:val="00840833"/>
    <w:rsid w:val="00840995"/>
    <w:rsid w:val="00840AA8"/>
    <w:rsid w:val="00840B99"/>
    <w:rsid w:val="00840CAE"/>
    <w:rsid w:val="00840EC6"/>
    <w:rsid w:val="00840FE9"/>
    <w:rsid w:val="00841004"/>
    <w:rsid w:val="00841055"/>
    <w:rsid w:val="008410FB"/>
    <w:rsid w:val="008411EF"/>
    <w:rsid w:val="0084163F"/>
    <w:rsid w:val="008417BF"/>
    <w:rsid w:val="0084197D"/>
    <w:rsid w:val="00841A03"/>
    <w:rsid w:val="00841C6A"/>
    <w:rsid w:val="00841F40"/>
    <w:rsid w:val="00841FE6"/>
    <w:rsid w:val="0084206F"/>
    <w:rsid w:val="00842081"/>
    <w:rsid w:val="0084231A"/>
    <w:rsid w:val="008423CA"/>
    <w:rsid w:val="00842606"/>
    <w:rsid w:val="00842733"/>
    <w:rsid w:val="00842A37"/>
    <w:rsid w:val="00842B39"/>
    <w:rsid w:val="00842B3E"/>
    <w:rsid w:val="00842BDE"/>
    <w:rsid w:val="00842F38"/>
    <w:rsid w:val="00842F5C"/>
    <w:rsid w:val="00842FE1"/>
    <w:rsid w:val="00843173"/>
    <w:rsid w:val="00843441"/>
    <w:rsid w:val="00843667"/>
    <w:rsid w:val="0084371D"/>
    <w:rsid w:val="00843819"/>
    <w:rsid w:val="008439C2"/>
    <w:rsid w:val="00843AD1"/>
    <w:rsid w:val="00843B87"/>
    <w:rsid w:val="00843C10"/>
    <w:rsid w:val="00843C6F"/>
    <w:rsid w:val="00843DD2"/>
    <w:rsid w:val="00843F56"/>
    <w:rsid w:val="008443B6"/>
    <w:rsid w:val="00844642"/>
    <w:rsid w:val="00844B23"/>
    <w:rsid w:val="00844C90"/>
    <w:rsid w:val="00844CA6"/>
    <w:rsid w:val="00844E06"/>
    <w:rsid w:val="00844EFE"/>
    <w:rsid w:val="00844FF7"/>
    <w:rsid w:val="00845190"/>
    <w:rsid w:val="00845535"/>
    <w:rsid w:val="008457AF"/>
    <w:rsid w:val="008459D5"/>
    <w:rsid w:val="008459FA"/>
    <w:rsid w:val="00845B4E"/>
    <w:rsid w:val="00845BF3"/>
    <w:rsid w:val="00846039"/>
    <w:rsid w:val="00846095"/>
    <w:rsid w:val="008460AD"/>
    <w:rsid w:val="008464E1"/>
    <w:rsid w:val="0084652E"/>
    <w:rsid w:val="00846555"/>
    <w:rsid w:val="008467C6"/>
    <w:rsid w:val="00846874"/>
    <w:rsid w:val="008469CD"/>
    <w:rsid w:val="00846A4A"/>
    <w:rsid w:val="00846B9C"/>
    <w:rsid w:val="00846C2F"/>
    <w:rsid w:val="00846C46"/>
    <w:rsid w:val="00846C7E"/>
    <w:rsid w:val="00846E4F"/>
    <w:rsid w:val="00846F3A"/>
    <w:rsid w:val="00846FDF"/>
    <w:rsid w:val="00847051"/>
    <w:rsid w:val="008470BA"/>
    <w:rsid w:val="008474C4"/>
    <w:rsid w:val="008477E1"/>
    <w:rsid w:val="0084787E"/>
    <w:rsid w:val="00847B10"/>
    <w:rsid w:val="00847BC7"/>
    <w:rsid w:val="00847E95"/>
    <w:rsid w:val="00847F1F"/>
    <w:rsid w:val="00850054"/>
    <w:rsid w:val="00850136"/>
    <w:rsid w:val="00850142"/>
    <w:rsid w:val="00850189"/>
    <w:rsid w:val="00850237"/>
    <w:rsid w:val="008502AB"/>
    <w:rsid w:val="00850399"/>
    <w:rsid w:val="00850602"/>
    <w:rsid w:val="00850A64"/>
    <w:rsid w:val="00850B40"/>
    <w:rsid w:val="00850D41"/>
    <w:rsid w:val="00850F79"/>
    <w:rsid w:val="00851233"/>
    <w:rsid w:val="00851278"/>
    <w:rsid w:val="008512D8"/>
    <w:rsid w:val="008516B4"/>
    <w:rsid w:val="00851742"/>
    <w:rsid w:val="008517DB"/>
    <w:rsid w:val="00851A2F"/>
    <w:rsid w:val="00851A83"/>
    <w:rsid w:val="00851B2F"/>
    <w:rsid w:val="00851ED1"/>
    <w:rsid w:val="0085237C"/>
    <w:rsid w:val="00852485"/>
    <w:rsid w:val="008524BD"/>
    <w:rsid w:val="00852605"/>
    <w:rsid w:val="00852871"/>
    <w:rsid w:val="00852A0A"/>
    <w:rsid w:val="00852B70"/>
    <w:rsid w:val="00852FCF"/>
    <w:rsid w:val="0085318B"/>
    <w:rsid w:val="00853247"/>
    <w:rsid w:val="008535E4"/>
    <w:rsid w:val="00853678"/>
    <w:rsid w:val="00853695"/>
    <w:rsid w:val="00853989"/>
    <w:rsid w:val="00853B5A"/>
    <w:rsid w:val="00853B87"/>
    <w:rsid w:val="00853C49"/>
    <w:rsid w:val="00853C6A"/>
    <w:rsid w:val="00853CD7"/>
    <w:rsid w:val="00853D07"/>
    <w:rsid w:val="00853D5B"/>
    <w:rsid w:val="00853D9E"/>
    <w:rsid w:val="00853F04"/>
    <w:rsid w:val="00853F52"/>
    <w:rsid w:val="008541E8"/>
    <w:rsid w:val="008542F4"/>
    <w:rsid w:val="00854333"/>
    <w:rsid w:val="008546FC"/>
    <w:rsid w:val="00854A66"/>
    <w:rsid w:val="00854DF2"/>
    <w:rsid w:val="00854EA2"/>
    <w:rsid w:val="0085509C"/>
    <w:rsid w:val="00855243"/>
    <w:rsid w:val="00855287"/>
    <w:rsid w:val="008552AF"/>
    <w:rsid w:val="008552EE"/>
    <w:rsid w:val="00855AA2"/>
    <w:rsid w:val="00855E0C"/>
    <w:rsid w:val="00855FE4"/>
    <w:rsid w:val="0085602F"/>
    <w:rsid w:val="00856663"/>
    <w:rsid w:val="0085673F"/>
    <w:rsid w:val="008569BD"/>
    <w:rsid w:val="00856B95"/>
    <w:rsid w:val="00856ED4"/>
    <w:rsid w:val="00856FD7"/>
    <w:rsid w:val="0085707E"/>
    <w:rsid w:val="0085715A"/>
    <w:rsid w:val="008571D5"/>
    <w:rsid w:val="0085748A"/>
    <w:rsid w:val="0085781A"/>
    <w:rsid w:val="00857945"/>
    <w:rsid w:val="008579F6"/>
    <w:rsid w:val="00857B7E"/>
    <w:rsid w:val="00857D43"/>
    <w:rsid w:val="00857D57"/>
    <w:rsid w:val="00857DC1"/>
    <w:rsid w:val="00857DDA"/>
    <w:rsid w:val="00857E69"/>
    <w:rsid w:val="00857F63"/>
    <w:rsid w:val="00857F82"/>
    <w:rsid w:val="00860207"/>
    <w:rsid w:val="00860208"/>
    <w:rsid w:val="00860B29"/>
    <w:rsid w:val="00860E27"/>
    <w:rsid w:val="00860EFD"/>
    <w:rsid w:val="00860EFF"/>
    <w:rsid w:val="0086119B"/>
    <w:rsid w:val="008611C8"/>
    <w:rsid w:val="00861233"/>
    <w:rsid w:val="00861381"/>
    <w:rsid w:val="0086142F"/>
    <w:rsid w:val="008614FC"/>
    <w:rsid w:val="008615CF"/>
    <w:rsid w:val="0086184F"/>
    <w:rsid w:val="008618C7"/>
    <w:rsid w:val="00861943"/>
    <w:rsid w:val="0086196D"/>
    <w:rsid w:val="008619F1"/>
    <w:rsid w:val="00861A32"/>
    <w:rsid w:val="00861E69"/>
    <w:rsid w:val="00861EC7"/>
    <w:rsid w:val="00861ED5"/>
    <w:rsid w:val="00862127"/>
    <w:rsid w:val="00862230"/>
    <w:rsid w:val="008625BA"/>
    <w:rsid w:val="008626EA"/>
    <w:rsid w:val="00862799"/>
    <w:rsid w:val="0086288C"/>
    <w:rsid w:val="0086292A"/>
    <w:rsid w:val="00862A36"/>
    <w:rsid w:val="00862DA8"/>
    <w:rsid w:val="00862E00"/>
    <w:rsid w:val="0086326D"/>
    <w:rsid w:val="008635F1"/>
    <w:rsid w:val="00863867"/>
    <w:rsid w:val="00863CCF"/>
    <w:rsid w:val="00863EC2"/>
    <w:rsid w:val="008641D9"/>
    <w:rsid w:val="00864337"/>
    <w:rsid w:val="008645F8"/>
    <w:rsid w:val="0086466E"/>
    <w:rsid w:val="008646A6"/>
    <w:rsid w:val="008646B3"/>
    <w:rsid w:val="0086489F"/>
    <w:rsid w:val="008648ED"/>
    <w:rsid w:val="00864968"/>
    <w:rsid w:val="008649D7"/>
    <w:rsid w:val="00864C64"/>
    <w:rsid w:val="00864D76"/>
    <w:rsid w:val="00865108"/>
    <w:rsid w:val="0086549F"/>
    <w:rsid w:val="0086557C"/>
    <w:rsid w:val="00865657"/>
    <w:rsid w:val="008656E1"/>
    <w:rsid w:val="0086574B"/>
    <w:rsid w:val="008658A1"/>
    <w:rsid w:val="00865ADB"/>
    <w:rsid w:val="00865B0D"/>
    <w:rsid w:val="00865B92"/>
    <w:rsid w:val="00865FCA"/>
    <w:rsid w:val="00866142"/>
    <w:rsid w:val="00866225"/>
    <w:rsid w:val="00866430"/>
    <w:rsid w:val="008665F9"/>
    <w:rsid w:val="0086669D"/>
    <w:rsid w:val="008668E3"/>
    <w:rsid w:val="00866A9E"/>
    <w:rsid w:val="00866B58"/>
    <w:rsid w:val="00866BFC"/>
    <w:rsid w:val="00866CAB"/>
    <w:rsid w:val="00866CBF"/>
    <w:rsid w:val="00866D5A"/>
    <w:rsid w:val="00866E94"/>
    <w:rsid w:val="0086711E"/>
    <w:rsid w:val="0086712C"/>
    <w:rsid w:val="00867174"/>
    <w:rsid w:val="00867339"/>
    <w:rsid w:val="008674DE"/>
    <w:rsid w:val="008677BA"/>
    <w:rsid w:val="00867823"/>
    <w:rsid w:val="00867F52"/>
    <w:rsid w:val="00867FDF"/>
    <w:rsid w:val="008700DA"/>
    <w:rsid w:val="00870129"/>
    <w:rsid w:val="0087030A"/>
    <w:rsid w:val="0087048B"/>
    <w:rsid w:val="00870544"/>
    <w:rsid w:val="008707C2"/>
    <w:rsid w:val="00870B35"/>
    <w:rsid w:val="00870B55"/>
    <w:rsid w:val="00870E0A"/>
    <w:rsid w:val="008710CA"/>
    <w:rsid w:val="0087121E"/>
    <w:rsid w:val="0087148D"/>
    <w:rsid w:val="00871529"/>
    <w:rsid w:val="008719DA"/>
    <w:rsid w:val="00871BE8"/>
    <w:rsid w:val="00871DCF"/>
    <w:rsid w:val="00871E40"/>
    <w:rsid w:val="00872172"/>
    <w:rsid w:val="008721FC"/>
    <w:rsid w:val="00872228"/>
    <w:rsid w:val="00872600"/>
    <w:rsid w:val="008726E2"/>
    <w:rsid w:val="00872757"/>
    <w:rsid w:val="008728A5"/>
    <w:rsid w:val="00872AE1"/>
    <w:rsid w:val="00872BC0"/>
    <w:rsid w:val="00872CCA"/>
    <w:rsid w:val="00872E94"/>
    <w:rsid w:val="00872EAE"/>
    <w:rsid w:val="00872EE8"/>
    <w:rsid w:val="00872F07"/>
    <w:rsid w:val="00872FD0"/>
    <w:rsid w:val="0087309E"/>
    <w:rsid w:val="008730F9"/>
    <w:rsid w:val="00873391"/>
    <w:rsid w:val="0087355D"/>
    <w:rsid w:val="008736DF"/>
    <w:rsid w:val="0087383A"/>
    <w:rsid w:val="00873902"/>
    <w:rsid w:val="00873AB0"/>
    <w:rsid w:val="00873B51"/>
    <w:rsid w:val="00873C09"/>
    <w:rsid w:val="00874147"/>
    <w:rsid w:val="00874205"/>
    <w:rsid w:val="00874206"/>
    <w:rsid w:val="008746A6"/>
    <w:rsid w:val="008747C4"/>
    <w:rsid w:val="00874825"/>
    <w:rsid w:val="00874995"/>
    <w:rsid w:val="00874B10"/>
    <w:rsid w:val="00874BBB"/>
    <w:rsid w:val="00874C2B"/>
    <w:rsid w:val="00874F06"/>
    <w:rsid w:val="00874FC4"/>
    <w:rsid w:val="0087504E"/>
    <w:rsid w:val="00875183"/>
    <w:rsid w:val="008753EE"/>
    <w:rsid w:val="0087543D"/>
    <w:rsid w:val="008754E2"/>
    <w:rsid w:val="0087573A"/>
    <w:rsid w:val="00875A8C"/>
    <w:rsid w:val="00875CBB"/>
    <w:rsid w:val="00875D55"/>
    <w:rsid w:val="00875F21"/>
    <w:rsid w:val="00875F38"/>
    <w:rsid w:val="0087606D"/>
    <w:rsid w:val="00876338"/>
    <w:rsid w:val="008763AF"/>
    <w:rsid w:val="0087652D"/>
    <w:rsid w:val="0087655E"/>
    <w:rsid w:val="0087679D"/>
    <w:rsid w:val="00876842"/>
    <w:rsid w:val="00876D0C"/>
    <w:rsid w:val="00876E17"/>
    <w:rsid w:val="00877070"/>
    <w:rsid w:val="00877161"/>
    <w:rsid w:val="00877171"/>
    <w:rsid w:val="00877275"/>
    <w:rsid w:val="0087731A"/>
    <w:rsid w:val="008773FA"/>
    <w:rsid w:val="00877508"/>
    <w:rsid w:val="008778FF"/>
    <w:rsid w:val="00877AA4"/>
    <w:rsid w:val="0088003D"/>
    <w:rsid w:val="008802DA"/>
    <w:rsid w:val="008804D7"/>
    <w:rsid w:val="008804F4"/>
    <w:rsid w:val="00880611"/>
    <w:rsid w:val="0088083C"/>
    <w:rsid w:val="00880861"/>
    <w:rsid w:val="00880905"/>
    <w:rsid w:val="00880BBE"/>
    <w:rsid w:val="00880C64"/>
    <w:rsid w:val="00881116"/>
    <w:rsid w:val="00881266"/>
    <w:rsid w:val="0088131A"/>
    <w:rsid w:val="00881356"/>
    <w:rsid w:val="008813EB"/>
    <w:rsid w:val="00881736"/>
    <w:rsid w:val="0088176A"/>
    <w:rsid w:val="00881A3E"/>
    <w:rsid w:val="00881B01"/>
    <w:rsid w:val="00881C37"/>
    <w:rsid w:val="008821DC"/>
    <w:rsid w:val="0088244F"/>
    <w:rsid w:val="008824B5"/>
    <w:rsid w:val="0088276A"/>
    <w:rsid w:val="008827FC"/>
    <w:rsid w:val="0088299B"/>
    <w:rsid w:val="00882B92"/>
    <w:rsid w:val="00882EC2"/>
    <w:rsid w:val="0088325F"/>
    <w:rsid w:val="008835F2"/>
    <w:rsid w:val="008836E1"/>
    <w:rsid w:val="00883973"/>
    <w:rsid w:val="00883DC2"/>
    <w:rsid w:val="00883E40"/>
    <w:rsid w:val="00883E7D"/>
    <w:rsid w:val="00883FC6"/>
    <w:rsid w:val="00884028"/>
    <w:rsid w:val="008841A1"/>
    <w:rsid w:val="00884225"/>
    <w:rsid w:val="0088471A"/>
    <w:rsid w:val="00884762"/>
    <w:rsid w:val="008848A4"/>
    <w:rsid w:val="00884ADB"/>
    <w:rsid w:val="00884D1B"/>
    <w:rsid w:val="00884E95"/>
    <w:rsid w:val="00884FAA"/>
    <w:rsid w:val="00885212"/>
    <w:rsid w:val="00885389"/>
    <w:rsid w:val="008856BC"/>
    <w:rsid w:val="008856C6"/>
    <w:rsid w:val="008857DF"/>
    <w:rsid w:val="0088582D"/>
    <w:rsid w:val="00885917"/>
    <w:rsid w:val="00885A21"/>
    <w:rsid w:val="00885AF8"/>
    <w:rsid w:val="00886093"/>
    <w:rsid w:val="00886142"/>
    <w:rsid w:val="008861DC"/>
    <w:rsid w:val="0088634D"/>
    <w:rsid w:val="008863F5"/>
    <w:rsid w:val="00886408"/>
    <w:rsid w:val="008864CD"/>
    <w:rsid w:val="008867CB"/>
    <w:rsid w:val="0088687F"/>
    <w:rsid w:val="00886A89"/>
    <w:rsid w:val="00886A8F"/>
    <w:rsid w:val="00886A96"/>
    <w:rsid w:val="00886BBB"/>
    <w:rsid w:val="00886DAE"/>
    <w:rsid w:val="00886EB2"/>
    <w:rsid w:val="0088716D"/>
    <w:rsid w:val="0088719A"/>
    <w:rsid w:val="008871B7"/>
    <w:rsid w:val="00887214"/>
    <w:rsid w:val="008878B7"/>
    <w:rsid w:val="0088796F"/>
    <w:rsid w:val="008879FF"/>
    <w:rsid w:val="00887B4D"/>
    <w:rsid w:val="00887D58"/>
    <w:rsid w:val="00887DFE"/>
    <w:rsid w:val="00887FB3"/>
    <w:rsid w:val="00887FED"/>
    <w:rsid w:val="008900BD"/>
    <w:rsid w:val="008905AF"/>
    <w:rsid w:val="008906AF"/>
    <w:rsid w:val="008909CA"/>
    <w:rsid w:val="00890C09"/>
    <w:rsid w:val="00890C10"/>
    <w:rsid w:val="00890CCC"/>
    <w:rsid w:val="00890DCC"/>
    <w:rsid w:val="00891045"/>
    <w:rsid w:val="00891046"/>
    <w:rsid w:val="008911B2"/>
    <w:rsid w:val="008911FD"/>
    <w:rsid w:val="0089124C"/>
    <w:rsid w:val="00891296"/>
    <w:rsid w:val="00891B85"/>
    <w:rsid w:val="00891CAE"/>
    <w:rsid w:val="00891D87"/>
    <w:rsid w:val="00891E20"/>
    <w:rsid w:val="00891E75"/>
    <w:rsid w:val="00891F14"/>
    <w:rsid w:val="00891FB9"/>
    <w:rsid w:val="00892146"/>
    <w:rsid w:val="008921B2"/>
    <w:rsid w:val="00892445"/>
    <w:rsid w:val="008925C3"/>
    <w:rsid w:val="008927CD"/>
    <w:rsid w:val="008927FD"/>
    <w:rsid w:val="0089282F"/>
    <w:rsid w:val="008928DD"/>
    <w:rsid w:val="008929C0"/>
    <w:rsid w:val="00892A09"/>
    <w:rsid w:val="00892A67"/>
    <w:rsid w:val="00892F3A"/>
    <w:rsid w:val="00893084"/>
    <w:rsid w:val="0089308E"/>
    <w:rsid w:val="008933AE"/>
    <w:rsid w:val="00893490"/>
    <w:rsid w:val="008934B6"/>
    <w:rsid w:val="008935EA"/>
    <w:rsid w:val="0089372B"/>
    <w:rsid w:val="00893904"/>
    <w:rsid w:val="00893983"/>
    <w:rsid w:val="00893AA4"/>
    <w:rsid w:val="00893D44"/>
    <w:rsid w:val="00893E0E"/>
    <w:rsid w:val="00893F73"/>
    <w:rsid w:val="00893F75"/>
    <w:rsid w:val="00894030"/>
    <w:rsid w:val="00894300"/>
    <w:rsid w:val="008944B4"/>
    <w:rsid w:val="00894584"/>
    <w:rsid w:val="0089472F"/>
    <w:rsid w:val="00894825"/>
    <w:rsid w:val="00894945"/>
    <w:rsid w:val="00894963"/>
    <w:rsid w:val="00894A2A"/>
    <w:rsid w:val="00894C42"/>
    <w:rsid w:val="00894D95"/>
    <w:rsid w:val="00894F2A"/>
    <w:rsid w:val="00895383"/>
    <w:rsid w:val="00895392"/>
    <w:rsid w:val="0089541B"/>
    <w:rsid w:val="008957AF"/>
    <w:rsid w:val="00895B13"/>
    <w:rsid w:val="00895D4F"/>
    <w:rsid w:val="00896094"/>
    <w:rsid w:val="0089642E"/>
    <w:rsid w:val="00896499"/>
    <w:rsid w:val="00896630"/>
    <w:rsid w:val="0089694E"/>
    <w:rsid w:val="008969AC"/>
    <w:rsid w:val="00896A05"/>
    <w:rsid w:val="00896BD9"/>
    <w:rsid w:val="00896E6C"/>
    <w:rsid w:val="00897287"/>
    <w:rsid w:val="008972D0"/>
    <w:rsid w:val="00897C98"/>
    <w:rsid w:val="00897DEB"/>
    <w:rsid w:val="008A0109"/>
    <w:rsid w:val="008A0131"/>
    <w:rsid w:val="008A02A1"/>
    <w:rsid w:val="008A0593"/>
    <w:rsid w:val="008A08BA"/>
    <w:rsid w:val="008A091F"/>
    <w:rsid w:val="008A0B90"/>
    <w:rsid w:val="008A0CB0"/>
    <w:rsid w:val="008A0F69"/>
    <w:rsid w:val="008A120D"/>
    <w:rsid w:val="008A12A9"/>
    <w:rsid w:val="008A150D"/>
    <w:rsid w:val="008A15E9"/>
    <w:rsid w:val="008A1691"/>
    <w:rsid w:val="008A191F"/>
    <w:rsid w:val="008A1A6D"/>
    <w:rsid w:val="008A1CF0"/>
    <w:rsid w:val="008A1DAF"/>
    <w:rsid w:val="008A1F1E"/>
    <w:rsid w:val="008A2001"/>
    <w:rsid w:val="008A2011"/>
    <w:rsid w:val="008A2069"/>
    <w:rsid w:val="008A21C2"/>
    <w:rsid w:val="008A25AB"/>
    <w:rsid w:val="008A25E4"/>
    <w:rsid w:val="008A2967"/>
    <w:rsid w:val="008A2B39"/>
    <w:rsid w:val="008A2B3C"/>
    <w:rsid w:val="008A2C2C"/>
    <w:rsid w:val="008A2E5B"/>
    <w:rsid w:val="008A32AD"/>
    <w:rsid w:val="008A335D"/>
    <w:rsid w:val="008A33E0"/>
    <w:rsid w:val="008A34B8"/>
    <w:rsid w:val="008A34E7"/>
    <w:rsid w:val="008A34F5"/>
    <w:rsid w:val="008A350B"/>
    <w:rsid w:val="008A3A36"/>
    <w:rsid w:val="008A3B12"/>
    <w:rsid w:val="008A3BDB"/>
    <w:rsid w:val="008A3BE4"/>
    <w:rsid w:val="008A4009"/>
    <w:rsid w:val="008A418F"/>
    <w:rsid w:val="008A4326"/>
    <w:rsid w:val="008A4397"/>
    <w:rsid w:val="008A451B"/>
    <w:rsid w:val="008A4784"/>
    <w:rsid w:val="008A4C07"/>
    <w:rsid w:val="008A4CF3"/>
    <w:rsid w:val="008A4F60"/>
    <w:rsid w:val="008A54DB"/>
    <w:rsid w:val="008A552C"/>
    <w:rsid w:val="008A56F9"/>
    <w:rsid w:val="008A5876"/>
    <w:rsid w:val="008A58E2"/>
    <w:rsid w:val="008A5B7B"/>
    <w:rsid w:val="008A5C00"/>
    <w:rsid w:val="008A5FA8"/>
    <w:rsid w:val="008A627D"/>
    <w:rsid w:val="008A649B"/>
    <w:rsid w:val="008A6565"/>
    <w:rsid w:val="008A6A3D"/>
    <w:rsid w:val="008A6B38"/>
    <w:rsid w:val="008A6B5B"/>
    <w:rsid w:val="008A703A"/>
    <w:rsid w:val="008A70F4"/>
    <w:rsid w:val="008A7167"/>
    <w:rsid w:val="008A718A"/>
    <w:rsid w:val="008A72DF"/>
    <w:rsid w:val="008A7406"/>
    <w:rsid w:val="008A77E4"/>
    <w:rsid w:val="008A79A4"/>
    <w:rsid w:val="008A7D72"/>
    <w:rsid w:val="008B009D"/>
    <w:rsid w:val="008B0284"/>
    <w:rsid w:val="008B06CF"/>
    <w:rsid w:val="008B08BA"/>
    <w:rsid w:val="008B08BB"/>
    <w:rsid w:val="008B0A28"/>
    <w:rsid w:val="008B0C18"/>
    <w:rsid w:val="008B0C1E"/>
    <w:rsid w:val="008B0CD2"/>
    <w:rsid w:val="008B0D3E"/>
    <w:rsid w:val="008B1086"/>
    <w:rsid w:val="008B10E3"/>
    <w:rsid w:val="008B11C8"/>
    <w:rsid w:val="008B12E5"/>
    <w:rsid w:val="008B165F"/>
    <w:rsid w:val="008B1687"/>
    <w:rsid w:val="008B19B2"/>
    <w:rsid w:val="008B1A7C"/>
    <w:rsid w:val="008B2073"/>
    <w:rsid w:val="008B20A3"/>
    <w:rsid w:val="008B221C"/>
    <w:rsid w:val="008B27A0"/>
    <w:rsid w:val="008B291E"/>
    <w:rsid w:val="008B2B9A"/>
    <w:rsid w:val="008B30C5"/>
    <w:rsid w:val="008B31C5"/>
    <w:rsid w:val="008B3318"/>
    <w:rsid w:val="008B3329"/>
    <w:rsid w:val="008B33A3"/>
    <w:rsid w:val="008B35B7"/>
    <w:rsid w:val="008B39D9"/>
    <w:rsid w:val="008B3BC3"/>
    <w:rsid w:val="008B3CFD"/>
    <w:rsid w:val="008B3D82"/>
    <w:rsid w:val="008B3E5A"/>
    <w:rsid w:val="008B401E"/>
    <w:rsid w:val="008B4251"/>
    <w:rsid w:val="008B4472"/>
    <w:rsid w:val="008B4516"/>
    <w:rsid w:val="008B47CC"/>
    <w:rsid w:val="008B4816"/>
    <w:rsid w:val="008B484C"/>
    <w:rsid w:val="008B4994"/>
    <w:rsid w:val="008B4A5D"/>
    <w:rsid w:val="008B4AB1"/>
    <w:rsid w:val="008B4B19"/>
    <w:rsid w:val="008B52B1"/>
    <w:rsid w:val="008B5484"/>
    <w:rsid w:val="008B5688"/>
    <w:rsid w:val="008B57AA"/>
    <w:rsid w:val="008B57E6"/>
    <w:rsid w:val="008B5974"/>
    <w:rsid w:val="008B5AA1"/>
    <w:rsid w:val="008B5B8B"/>
    <w:rsid w:val="008B5E0A"/>
    <w:rsid w:val="008B5EF5"/>
    <w:rsid w:val="008B6163"/>
    <w:rsid w:val="008B6491"/>
    <w:rsid w:val="008B682C"/>
    <w:rsid w:val="008B68AB"/>
    <w:rsid w:val="008B69EB"/>
    <w:rsid w:val="008B6BF6"/>
    <w:rsid w:val="008B6FF5"/>
    <w:rsid w:val="008B70E8"/>
    <w:rsid w:val="008B739A"/>
    <w:rsid w:val="008B7552"/>
    <w:rsid w:val="008B757B"/>
    <w:rsid w:val="008B7613"/>
    <w:rsid w:val="008B7A13"/>
    <w:rsid w:val="008B7D0A"/>
    <w:rsid w:val="008B7DBC"/>
    <w:rsid w:val="008C0527"/>
    <w:rsid w:val="008C061C"/>
    <w:rsid w:val="008C0A31"/>
    <w:rsid w:val="008C0AB5"/>
    <w:rsid w:val="008C0B12"/>
    <w:rsid w:val="008C0CAA"/>
    <w:rsid w:val="008C0F9E"/>
    <w:rsid w:val="008C0FD2"/>
    <w:rsid w:val="008C1397"/>
    <w:rsid w:val="008C13F7"/>
    <w:rsid w:val="008C15C9"/>
    <w:rsid w:val="008C17EA"/>
    <w:rsid w:val="008C1C0B"/>
    <w:rsid w:val="008C20AA"/>
    <w:rsid w:val="008C252A"/>
    <w:rsid w:val="008C253B"/>
    <w:rsid w:val="008C26FD"/>
    <w:rsid w:val="008C289D"/>
    <w:rsid w:val="008C290B"/>
    <w:rsid w:val="008C2987"/>
    <w:rsid w:val="008C2A4F"/>
    <w:rsid w:val="008C2B66"/>
    <w:rsid w:val="008C2B9A"/>
    <w:rsid w:val="008C2BA9"/>
    <w:rsid w:val="008C2EA4"/>
    <w:rsid w:val="008C2ED5"/>
    <w:rsid w:val="008C3074"/>
    <w:rsid w:val="008C308E"/>
    <w:rsid w:val="008C3102"/>
    <w:rsid w:val="008C321B"/>
    <w:rsid w:val="008C3A40"/>
    <w:rsid w:val="008C3CD4"/>
    <w:rsid w:val="008C4584"/>
    <w:rsid w:val="008C45CE"/>
    <w:rsid w:val="008C4696"/>
    <w:rsid w:val="008C4AE9"/>
    <w:rsid w:val="008C4D31"/>
    <w:rsid w:val="008C4D5A"/>
    <w:rsid w:val="008C4E14"/>
    <w:rsid w:val="008C4E40"/>
    <w:rsid w:val="008C4F5C"/>
    <w:rsid w:val="008C5026"/>
    <w:rsid w:val="008C5085"/>
    <w:rsid w:val="008C51B9"/>
    <w:rsid w:val="008C520E"/>
    <w:rsid w:val="008C5250"/>
    <w:rsid w:val="008C5476"/>
    <w:rsid w:val="008C556C"/>
    <w:rsid w:val="008C5AF1"/>
    <w:rsid w:val="008C5C13"/>
    <w:rsid w:val="008C5C2A"/>
    <w:rsid w:val="008C5D11"/>
    <w:rsid w:val="008C5F4A"/>
    <w:rsid w:val="008C611F"/>
    <w:rsid w:val="008C6208"/>
    <w:rsid w:val="008C666C"/>
    <w:rsid w:val="008C6684"/>
    <w:rsid w:val="008C6966"/>
    <w:rsid w:val="008C69A3"/>
    <w:rsid w:val="008C6A6C"/>
    <w:rsid w:val="008C6AA9"/>
    <w:rsid w:val="008C6CFA"/>
    <w:rsid w:val="008C6E21"/>
    <w:rsid w:val="008C74E3"/>
    <w:rsid w:val="008C752F"/>
    <w:rsid w:val="008C779E"/>
    <w:rsid w:val="008C7A0B"/>
    <w:rsid w:val="008C7A55"/>
    <w:rsid w:val="008C7D39"/>
    <w:rsid w:val="008C7D92"/>
    <w:rsid w:val="008C7E7C"/>
    <w:rsid w:val="008D0119"/>
    <w:rsid w:val="008D023D"/>
    <w:rsid w:val="008D0286"/>
    <w:rsid w:val="008D0494"/>
    <w:rsid w:val="008D0636"/>
    <w:rsid w:val="008D0671"/>
    <w:rsid w:val="008D0A90"/>
    <w:rsid w:val="008D0C42"/>
    <w:rsid w:val="008D0E54"/>
    <w:rsid w:val="008D0EB8"/>
    <w:rsid w:val="008D1053"/>
    <w:rsid w:val="008D123D"/>
    <w:rsid w:val="008D1272"/>
    <w:rsid w:val="008D127D"/>
    <w:rsid w:val="008D1317"/>
    <w:rsid w:val="008D16B5"/>
    <w:rsid w:val="008D1852"/>
    <w:rsid w:val="008D196B"/>
    <w:rsid w:val="008D1A2B"/>
    <w:rsid w:val="008D1A5B"/>
    <w:rsid w:val="008D1BA9"/>
    <w:rsid w:val="008D1EF5"/>
    <w:rsid w:val="008D1EF7"/>
    <w:rsid w:val="008D1F03"/>
    <w:rsid w:val="008D206F"/>
    <w:rsid w:val="008D20E8"/>
    <w:rsid w:val="008D2339"/>
    <w:rsid w:val="008D23B0"/>
    <w:rsid w:val="008D23CC"/>
    <w:rsid w:val="008D25F3"/>
    <w:rsid w:val="008D265E"/>
    <w:rsid w:val="008D283D"/>
    <w:rsid w:val="008D28AB"/>
    <w:rsid w:val="008D2DFB"/>
    <w:rsid w:val="008D2F94"/>
    <w:rsid w:val="008D31B3"/>
    <w:rsid w:val="008D31BC"/>
    <w:rsid w:val="008D327B"/>
    <w:rsid w:val="008D35FB"/>
    <w:rsid w:val="008D35FE"/>
    <w:rsid w:val="008D39A8"/>
    <w:rsid w:val="008D39F5"/>
    <w:rsid w:val="008D3A69"/>
    <w:rsid w:val="008D3C4F"/>
    <w:rsid w:val="008D3CE2"/>
    <w:rsid w:val="008D3DAE"/>
    <w:rsid w:val="008D3F4C"/>
    <w:rsid w:val="008D402D"/>
    <w:rsid w:val="008D42C6"/>
    <w:rsid w:val="008D43BB"/>
    <w:rsid w:val="008D47E6"/>
    <w:rsid w:val="008D4848"/>
    <w:rsid w:val="008D4962"/>
    <w:rsid w:val="008D49E9"/>
    <w:rsid w:val="008D4E66"/>
    <w:rsid w:val="008D4F7A"/>
    <w:rsid w:val="008D50F7"/>
    <w:rsid w:val="008D513F"/>
    <w:rsid w:val="008D5385"/>
    <w:rsid w:val="008D53C5"/>
    <w:rsid w:val="008D57B3"/>
    <w:rsid w:val="008D5849"/>
    <w:rsid w:val="008D58A4"/>
    <w:rsid w:val="008D5929"/>
    <w:rsid w:val="008D596D"/>
    <w:rsid w:val="008D5A0E"/>
    <w:rsid w:val="008D5E5F"/>
    <w:rsid w:val="008D5EF1"/>
    <w:rsid w:val="008D61B9"/>
    <w:rsid w:val="008D61D0"/>
    <w:rsid w:val="008D6365"/>
    <w:rsid w:val="008D641C"/>
    <w:rsid w:val="008D6447"/>
    <w:rsid w:val="008D644E"/>
    <w:rsid w:val="008D6691"/>
    <w:rsid w:val="008D6834"/>
    <w:rsid w:val="008D693D"/>
    <w:rsid w:val="008D6A06"/>
    <w:rsid w:val="008D6B66"/>
    <w:rsid w:val="008D6E75"/>
    <w:rsid w:val="008D6FE6"/>
    <w:rsid w:val="008D7008"/>
    <w:rsid w:val="008D724E"/>
    <w:rsid w:val="008D72F7"/>
    <w:rsid w:val="008D7359"/>
    <w:rsid w:val="008D73DC"/>
    <w:rsid w:val="008D7A34"/>
    <w:rsid w:val="008D7B36"/>
    <w:rsid w:val="008D7B3C"/>
    <w:rsid w:val="008D7ED7"/>
    <w:rsid w:val="008E0009"/>
    <w:rsid w:val="008E014D"/>
    <w:rsid w:val="008E0247"/>
    <w:rsid w:val="008E0557"/>
    <w:rsid w:val="008E0BBB"/>
    <w:rsid w:val="008E0C41"/>
    <w:rsid w:val="008E0C74"/>
    <w:rsid w:val="008E0E98"/>
    <w:rsid w:val="008E0F4E"/>
    <w:rsid w:val="008E1019"/>
    <w:rsid w:val="008E1265"/>
    <w:rsid w:val="008E16C5"/>
    <w:rsid w:val="008E1836"/>
    <w:rsid w:val="008E1D24"/>
    <w:rsid w:val="008E1E26"/>
    <w:rsid w:val="008E2346"/>
    <w:rsid w:val="008E24B9"/>
    <w:rsid w:val="008E2803"/>
    <w:rsid w:val="008E2A26"/>
    <w:rsid w:val="008E2D3D"/>
    <w:rsid w:val="008E2F8E"/>
    <w:rsid w:val="008E3202"/>
    <w:rsid w:val="008E32BD"/>
    <w:rsid w:val="008E336D"/>
    <w:rsid w:val="008E3875"/>
    <w:rsid w:val="008E397D"/>
    <w:rsid w:val="008E39E6"/>
    <w:rsid w:val="008E3ABD"/>
    <w:rsid w:val="008E3C61"/>
    <w:rsid w:val="008E3F74"/>
    <w:rsid w:val="008E45AE"/>
    <w:rsid w:val="008E48FB"/>
    <w:rsid w:val="008E4C90"/>
    <w:rsid w:val="008E4E37"/>
    <w:rsid w:val="008E4F5B"/>
    <w:rsid w:val="008E4F63"/>
    <w:rsid w:val="008E4FB6"/>
    <w:rsid w:val="008E5295"/>
    <w:rsid w:val="008E53C5"/>
    <w:rsid w:val="008E54C7"/>
    <w:rsid w:val="008E5625"/>
    <w:rsid w:val="008E5735"/>
    <w:rsid w:val="008E5759"/>
    <w:rsid w:val="008E5C11"/>
    <w:rsid w:val="008E5DF4"/>
    <w:rsid w:val="008E5FD7"/>
    <w:rsid w:val="008E615A"/>
    <w:rsid w:val="008E6435"/>
    <w:rsid w:val="008E6440"/>
    <w:rsid w:val="008E657B"/>
    <w:rsid w:val="008E6616"/>
    <w:rsid w:val="008E6617"/>
    <w:rsid w:val="008E6619"/>
    <w:rsid w:val="008E66B0"/>
    <w:rsid w:val="008E6731"/>
    <w:rsid w:val="008E695C"/>
    <w:rsid w:val="008E6B31"/>
    <w:rsid w:val="008E6CA4"/>
    <w:rsid w:val="008E6E53"/>
    <w:rsid w:val="008E6FEE"/>
    <w:rsid w:val="008E7023"/>
    <w:rsid w:val="008E71C9"/>
    <w:rsid w:val="008E7368"/>
    <w:rsid w:val="008E743F"/>
    <w:rsid w:val="008E7572"/>
    <w:rsid w:val="008E7576"/>
    <w:rsid w:val="008E7584"/>
    <w:rsid w:val="008E759E"/>
    <w:rsid w:val="008E769B"/>
    <w:rsid w:val="008E7927"/>
    <w:rsid w:val="008E7B19"/>
    <w:rsid w:val="008E7F44"/>
    <w:rsid w:val="008E7F96"/>
    <w:rsid w:val="008E7FA1"/>
    <w:rsid w:val="008F026F"/>
    <w:rsid w:val="008F02C0"/>
    <w:rsid w:val="008F05B3"/>
    <w:rsid w:val="008F0619"/>
    <w:rsid w:val="008F0695"/>
    <w:rsid w:val="008F088E"/>
    <w:rsid w:val="008F09AB"/>
    <w:rsid w:val="008F0A3E"/>
    <w:rsid w:val="008F0C21"/>
    <w:rsid w:val="008F0CBF"/>
    <w:rsid w:val="008F0E30"/>
    <w:rsid w:val="008F0EF6"/>
    <w:rsid w:val="008F10B6"/>
    <w:rsid w:val="008F16CD"/>
    <w:rsid w:val="008F16FC"/>
    <w:rsid w:val="008F17CA"/>
    <w:rsid w:val="008F1A00"/>
    <w:rsid w:val="008F1D42"/>
    <w:rsid w:val="008F221C"/>
    <w:rsid w:val="008F22E1"/>
    <w:rsid w:val="008F238C"/>
    <w:rsid w:val="008F261C"/>
    <w:rsid w:val="008F2C1C"/>
    <w:rsid w:val="008F2C81"/>
    <w:rsid w:val="008F3221"/>
    <w:rsid w:val="008F3376"/>
    <w:rsid w:val="008F339E"/>
    <w:rsid w:val="008F34CC"/>
    <w:rsid w:val="008F35C7"/>
    <w:rsid w:val="008F3B4B"/>
    <w:rsid w:val="008F3C27"/>
    <w:rsid w:val="008F3E1A"/>
    <w:rsid w:val="008F3F3B"/>
    <w:rsid w:val="008F4145"/>
    <w:rsid w:val="008F418B"/>
    <w:rsid w:val="008F45EA"/>
    <w:rsid w:val="008F465F"/>
    <w:rsid w:val="008F4AE2"/>
    <w:rsid w:val="008F4BF2"/>
    <w:rsid w:val="008F4C54"/>
    <w:rsid w:val="008F4D81"/>
    <w:rsid w:val="008F4F3E"/>
    <w:rsid w:val="008F5463"/>
    <w:rsid w:val="008F5490"/>
    <w:rsid w:val="008F569D"/>
    <w:rsid w:val="008F56D7"/>
    <w:rsid w:val="008F5A7C"/>
    <w:rsid w:val="008F5CDF"/>
    <w:rsid w:val="008F5D03"/>
    <w:rsid w:val="008F5D73"/>
    <w:rsid w:val="008F6030"/>
    <w:rsid w:val="008F60EA"/>
    <w:rsid w:val="008F60F9"/>
    <w:rsid w:val="008F65BC"/>
    <w:rsid w:val="008F6609"/>
    <w:rsid w:val="008F6655"/>
    <w:rsid w:val="008F6A3F"/>
    <w:rsid w:val="008F6A44"/>
    <w:rsid w:val="008F6A72"/>
    <w:rsid w:val="008F6A83"/>
    <w:rsid w:val="008F6AB4"/>
    <w:rsid w:val="008F6C53"/>
    <w:rsid w:val="008F6CA0"/>
    <w:rsid w:val="008F6FA8"/>
    <w:rsid w:val="008F706D"/>
    <w:rsid w:val="008F727E"/>
    <w:rsid w:val="008F7348"/>
    <w:rsid w:val="008F7381"/>
    <w:rsid w:val="008F73DB"/>
    <w:rsid w:val="008F7788"/>
    <w:rsid w:val="008F796B"/>
    <w:rsid w:val="008F7ADA"/>
    <w:rsid w:val="008F7EB6"/>
    <w:rsid w:val="008F7EF9"/>
    <w:rsid w:val="00900131"/>
    <w:rsid w:val="009003F7"/>
    <w:rsid w:val="009004F9"/>
    <w:rsid w:val="0090071C"/>
    <w:rsid w:val="00900721"/>
    <w:rsid w:val="009007CE"/>
    <w:rsid w:val="00900BB5"/>
    <w:rsid w:val="00900C40"/>
    <w:rsid w:val="00900C55"/>
    <w:rsid w:val="009010B1"/>
    <w:rsid w:val="0090113C"/>
    <w:rsid w:val="00901166"/>
    <w:rsid w:val="00901333"/>
    <w:rsid w:val="00901718"/>
    <w:rsid w:val="009019CD"/>
    <w:rsid w:val="009019DB"/>
    <w:rsid w:val="00901D5F"/>
    <w:rsid w:val="00901E89"/>
    <w:rsid w:val="00902251"/>
    <w:rsid w:val="0090229C"/>
    <w:rsid w:val="00902821"/>
    <w:rsid w:val="00902AAB"/>
    <w:rsid w:val="0090309D"/>
    <w:rsid w:val="009031A1"/>
    <w:rsid w:val="00903226"/>
    <w:rsid w:val="00903258"/>
    <w:rsid w:val="00903485"/>
    <w:rsid w:val="00903AFF"/>
    <w:rsid w:val="00903B91"/>
    <w:rsid w:val="00903C44"/>
    <w:rsid w:val="00903DA6"/>
    <w:rsid w:val="00903E27"/>
    <w:rsid w:val="0090422A"/>
    <w:rsid w:val="00904321"/>
    <w:rsid w:val="0090447D"/>
    <w:rsid w:val="009045B0"/>
    <w:rsid w:val="00904656"/>
    <w:rsid w:val="009046A3"/>
    <w:rsid w:val="0090480D"/>
    <w:rsid w:val="009048B4"/>
    <w:rsid w:val="009048CA"/>
    <w:rsid w:val="00904A7C"/>
    <w:rsid w:val="00904DED"/>
    <w:rsid w:val="00904E16"/>
    <w:rsid w:val="00904F59"/>
    <w:rsid w:val="00904FA8"/>
    <w:rsid w:val="009050DF"/>
    <w:rsid w:val="00905391"/>
    <w:rsid w:val="0090549E"/>
    <w:rsid w:val="009054D3"/>
    <w:rsid w:val="0090565C"/>
    <w:rsid w:val="00905663"/>
    <w:rsid w:val="009056BC"/>
    <w:rsid w:val="00905E57"/>
    <w:rsid w:val="0090605F"/>
    <w:rsid w:val="00906258"/>
    <w:rsid w:val="0090628E"/>
    <w:rsid w:val="009062B1"/>
    <w:rsid w:val="00906491"/>
    <w:rsid w:val="0090679F"/>
    <w:rsid w:val="0090684E"/>
    <w:rsid w:val="00906A05"/>
    <w:rsid w:val="00906A0F"/>
    <w:rsid w:val="00906CAE"/>
    <w:rsid w:val="00906D12"/>
    <w:rsid w:val="00906E8D"/>
    <w:rsid w:val="00906FD9"/>
    <w:rsid w:val="00907133"/>
    <w:rsid w:val="009071A0"/>
    <w:rsid w:val="00907501"/>
    <w:rsid w:val="00907651"/>
    <w:rsid w:val="00907BE9"/>
    <w:rsid w:val="00907D91"/>
    <w:rsid w:val="00907E23"/>
    <w:rsid w:val="00907E83"/>
    <w:rsid w:val="00907FB7"/>
    <w:rsid w:val="00910052"/>
    <w:rsid w:val="00910184"/>
    <w:rsid w:val="009101DA"/>
    <w:rsid w:val="0091024C"/>
    <w:rsid w:val="009102B1"/>
    <w:rsid w:val="009103F8"/>
    <w:rsid w:val="0091044E"/>
    <w:rsid w:val="00910602"/>
    <w:rsid w:val="0091060F"/>
    <w:rsid w:val="0091068F"/>
    <w:rsid w:val="0091091C"/>
    <w:rsid w:val="009109C9"/>
    <w:rsid w:val="00910AAC"/>
    <w:rsid w:val="00910AF1"/>
    <w:rsid w:val="00910B46"/>
    <w:rsid w:val="00910BA8"/>
    <w:rsid w:val="00910CEB"/>
    <w:rsid w:val="00910F83"/>
    <w:rsid w:val="00910FA5"/>
    <w:rsid w:val="00910FCF"/>
    <w:rsid w:val="009110BE"/>
    <w:rsid w:val="009111D7"/>
    <w:rsid w:val="00911258"/>
    <w:rsid w:val="009114E2"/>
    <w:rsid w:val="00911545"/>
    <w:rsid w:val="00911624"/>
    <w:rsid w:val="00911813"/>
    <w:rsid w:val="00911884"/>
    <w:rsid w:val="0091190C"/>
    <w:rsid w:val="009119B5"/>
    <w:rsid w:val="009119F8"/>
    <w:rsid w:val="00911D13"/>
    <w:rsid w:val="00911F51"/>
    <w:rsid w:val="009120B8"/>
    <w:rsid w:val="009120BF"/>
    <w:rsid w:val="0091216A"/>
    <w:rsid w:val="00912210"/>
    <w:rsid w:val="00912361"/>
    <w:rsid w:val="009123B1"/>
    <w:rsid w:val="00912D95"/>
    <w:rsid w:val="00912E27"/>
    <w:rsid w:val="00912ECE"/>
    <w:rsid w:val="00913237"/>
    <w:rsid w:val="0091337C"/>
    <w:rsid w:val="00913466"/>
    <w:rsid w:val="009136ED"/>
    <w:rsid w:val="00913992"/>
    <w:rsid w:val="0091399C"/>
    <w:rsid w:val="00913DC9"/>
    <w:rsid w:val="00913DE9"/>
    <w:rsid w:val="00913EDF"/>
    <w:rsid w:val="00914011"/>
    <w:rsid w:val="0091411B"/>
    <w:rsid w:val="00914258"/>
    <w:rsid w:val="00914413"/>
    <w:rsid w:val="009144AA"/>
    <w:rsid w:val="009144C6"/>
    <w:rsid w:val="00914821"/>
    <w:rsid w:val="00914990"/>
    <w:rsid w:val="00914B60"/>
    <w:rsid w:val="00914D6E"/>
    <w:rsid w:val="00914E36"/>
    <w:rsid w:val="00914EEF"/>
    <w:rsid w:val="00915171"/>
    <w:rsid w:val="00915292"/>
    <w:rsid w:val="009153E7"/>
    <w:rsid w:val="009157EF"/>
    <w:rsid w:val="0091588A"/>
    <w:rsid w:val="00915C64"/>
    <w:rsid w:val="00915C7E"/>
    <w:rsid w:val="00915C87"/>
    <w:rsid w:val="00915CE7"/>
    <w:rsid w:val="00915D35"/>
    <w:rsid w:val="00915EAD"/>
    <w:rsid w:val="009160BD"/>
    <w:rsid w:val="009161AF"/>
    <w:rsid w:val="009167F5"/>
    <w:rsid w:val="0091688B"/>
    <w:rsid w:val="00916AAB"/>
    <w:rsid w:val="00916CDB"/>
    <w:rsid w:val="00916F23"/>
    <w:rsid w:val="00916FA9"/>
    <w:rsid w:val="00916FC6"/>
    <w:rsid w:val="00917015"/>
    <w:rsid w:val="00917075"/>
    <w:rsid w:val="009172A4"/>
    <w:rsid w:val="009173A9"/>
    <w:rsid w:val="0091757D"/>
    <w:rsid w:val="009176A5"/>
    <w:rsid w:val="00917788"/>
    <w:rsid w:val="00917847"/>
    <w:rsid w:val="00917D3F"/>
    <w:rsid w:val="00917E24"/>
    <w:rsid w:val="009200E5"/>
    <w:rsid w:val="009202AC"/>
    <w:rsid w:val="009207A2"/>
    <w:rsid w:val="00920AB5"/>
    <w:rsid w:val="00920ACD"/>
    <w:rsid w:val="00920C5C"/>
    <w:rsid w:val="00920CC8"/>
    <w:rsid w:val="00920D89"/>
    <w:rsid w:val="00920E94"/>
    <w:rsid w:val="0092111A"/>
    <w:rsid w:val="009213AF"/>
    <w:rsid w:val="009213F5"/>
    <w:rsid w:val="0092148E"/>
    <w:rsid w:val="009214E7"/>
    <w:rsid w:val="00921C67"/>
    <w:rsid w:val="00921EDE"/>
    <w:rsid w:val="00922280"/>
    <w:rsid w:val="00922634"/>
    <w:rsid w:val="0092264F"/>
    <w:rsid w:val="00922761"/>
    <w:rsid w:val="009227CE"/>
    <w:rsid w:val="00922934"/>
    <w:rsid w:val="00922ADC"/>
    <w:rsid w:val="00922B44"/>
    <w:rsid w:val="00922D21"/>
    <w:rsid w:val="00922D6E"/>
    <w:rsid w:val="00922E91"/>
    <w:rsid w:val="00923072"/>
    <w:rsid w:val="00923137"/>
    <w:rsid w:val="009231CE"/>
    <w:rsid w:val="009231E0"/>
    <w:rsid w:val="00923454"/>
    <w:rsid w:val="009234B9"/>
    <w:rsid w:val="00923633"/>
    <w:rsid w:val="009236CF"/>
    <w:rsid w:val="00923709"/>
    <w:rsid w:val="009239B5"/>
    <w:rsid w:val="00923BAD"/>
    <w:rsid w:val="00924271"/>
    <w:rsid w:val="009242A6"/>
    <w:rsid w:val="0092446C"/>
    <w:rsid w:val="009246F1"/>
    <w:rsid w:val="009247AF"/>
    <w:rsid w:val="009247B1"/>
    <w:rsid w:val="009249CE"/>
    <w:rsid w:val="009249DD"/>
    <w:rsid w:val="00924A11"/>
    <w:rsid w:val="00924D40"/>
    <w:rsid w:val="00924EDA"/>
    <w:rsid w:val="00925135"/>
    <w:rsid w:val="009251E9"/>
    <w:rsid w:val="00925474"/>
    <w:rsid w:val="009256EF"/>
    <w:rsid w:val="009258E1"/>
    <w:rsid w:val="00925937"/>
    <w:rsid w:val="00925996"/>
    <w:rsid w:val="00925AA9"/>
    <w:rsid w:val="00925B6D"/>
    <w:rsid w:val="009262F8"/>
    <w:rsid w:val="009263AA"/>
    <w:rsid w:val="00926597"/>
    <w:rsid w:val="00926858"/>
    <w:rsid w:val="009268E7"/>
    <w:rsid w:val="00926A97"/>
    <w:rsid w:val="00926B48"/>
    <w:rsid w:val="00926D6B"/>
    <w:rsid w:val="00926DB2"/>
    <w:rsid w:val="00926EAE"/>
    <w:rsid w:val="009273D9"/>
    <w:rsid w:val="00927448"/>
    <w:rsid w:val="00927460"/>
    <w:rsid w:val="009275CB"/>
    <w:rsid w:val="00927880"/>
    <w:rsid w:val="0092797A"/>
    <w:rsid w:val="009279AD"/>
    <w:rsid w:val="009279C6"/>
    <w:rsid w:val="009279FE"/>
    <w:rsid w:val="00927AD4"/>
    <w:rsid w:val="00930078"/>
    <w:rsid w:val="00930162"/>
    <w:rsid w:val="009301CD"/>
    <w:rsid w:val="009303EF"/>
    <w:rsid w:val="0093087C"/>
    <w:rsid w:val="009309B3"/>
    <w:rsid w:val="00930BB8"/>
    <w:rsid w:val="00930C80"/>
    <w:rsid w:val="00930E97"/>
    <w:rsid w:val="00931119"/>
    <w:rsid w:val="0093145E"/>
    <w:rsid w:val="00931539"/>
    <w:rsid w:val="009315FD"/>
    <w:rsid w:val="009317D4"/>
    <w:rsid w:val="00931D56"/>
    <w:rsid w:val="00931E06"/>
    <w:rsid w:val="00931F0C"/>
    <w:rsid w:val="00932086"/>
    <w:rsid w:val="00932213"/>
    <w:rsid w:val="00932229"/>
    <w:rsid w:val="00932249"/>
    <w:rsid w:val="00932532"/>
    <w:rsid w:val="009326E9"/>
    <w:rsid w:val="00932829"/>
    <w:rsid w:val="00932CBE"/>
    <w:rsid w:val="00933135"/>
    <w:rsid w:val="0093318B"/>
    <w:rsid w:val="009333D0"/>
    <w:rsid w:val="0093359B"/>
    <w:rsid w:val="009335EA"/>
    <w:rsid w:val="0093380C"/>
    <w:rsid w:val="00933B5D"/>
    <w:rsid w:val="00933BFC"/>
    <w:rsid w:val="00933F23"/>
    <w:rsid w:val="00934218"/>
    <w:rsid w:val="00934234"/>
    <w:rsid w:val="0093436F"/>
    <w:rsid w:val="00934520"/>
    <w:rsid w:val="0093480E"/>
    <w:rsid w:val="00934A22"/>
    <w:rsid w:val="00934AA7"/>
    <w:rsid w:val="00935198"/>
    <w:rsid w:val="00935260"/>
    <w:rsid w:val="00935606"/>
    <w:rsid w:val="0093585B"/>
    <w:rsid w:val="009359F6"/>
    <w:rsid w:val="00935B21"/>
    <w:rsid w:val="00935BE4"/>
    <w:rsid w:val="00935D08"/>
    <w:rsid w:val="00935EBC"/>
    <w:rsid w:val="00935EDD"/>
    <w:rsid w:val="00935F20"/>
    <w:rsid w:val="00935FD0"/>
    <w:rsid w:val="00936147"/>
    <w:rsid w:val="0093647C"/>
    <w:rsid w:val="00936499"/>
    <w:rsid w:val="009367E5"/>
    <w:rsid w:val="009368E4"/>
    <w:rsid w:val="00936B21"/>
    <w:rsid w:val="00936CCD"/>
    <w:rsid w:val="00936D8F"/>
    <w:rsid w:val="00936ED8"/>
    <w:rsid w:val="00936FA0"/>
    <w:rsid w:val="009373A9"/>
    <w:rsid w:val="009374B6"/>
    <w:rsid w:val="00937700"/>
    <w:rsid w:val="009377DB"/>
    <w:rsid w:val="009377FD"/>
    <w:rsid w:val="00937985"/>
    <w:rsid w:val="00937A19"/>
    <w:rsid w:val="00937ADA"/>
    <w:rsid w:val="00937CD3"/>
    <w:rsid w:val="00937D3B"/>
    <w:rsid w:val="00937EBA"/>
    <w:rsid w:val="0094056D"/>
    <w:rsid w:val="00940989"/>
    <w:rsid w:val="00940994"/>
    <w:rsid w:val="00940A44"/>
    <w:rsid w:val="00940A49"/>
    <w:rsid w:val="00940C3C"/>
    <w:rsid w:val="00940D35"/>
    <w:rsid w:val="00940DD8"/>
    <w:rsid w:val="00940DDE"/>
    <w:rsid w:val="00940F4D"/>
    <w:rsid w:val="00940FA8"/>
    <w:rsid w:val="009413A3"/>
    <w:rsid w:val="00941407"/>
    <w:rsid w:val="009418D1"/>
    <w:rsid w:val="00941963"/>
    <w:rsid w:val="00941C1C"/>
    <w:rsid w:val="00941F67"/>
    <w:rsid w:val="0094203E"/>
    <w:rsid w:val="009423C9"/>
    <w:rsid w:val="009428AA"/>
    <w:rsid w:val="00942932"/>
    <w:rsid w:val="00942C76"/>
    <w:rsid w:val="00942E17"/>
    <w:rsid w:val="0094324A"/>
    <w:rsid w:val="009432D0"/>
    <w:rsid w:val="009432E2"/>
    <w:rsid w:val="0094389F"/>
    <w:rsid w:val="0094402E"/>
    <w:rsid w:val="009440CD"/>
    <w:rsid w:val="00944140"/>
    <w:rsid w:val="009443E0"/>
    <w:rsid w:val="00944446"/>
    <w:rsid w:val="009444CB"/>
    <w:rsid w:val="00944546"/>
    <w:rsid w:val="00944AAD"/>
    <w:rsid w:val="00944B8C"/>
    <w:rsid w:val="00944E9A"/>
    <w:rsid w:val="009450C3"/>
    <w:rsid w:val="0094535B"/>
    <w:rsid w:val="00945513"/>
    <w:rsid w:val="00945560"/>
    <w:rsid w:val="009457EC"/>
    <w:rsid w:val="009458E7"/>
    <w:rsid w:val="00945F18"/>
    <w:rsid w:val="00945F4B"/>
    <w:rsid w:val="009460D9"/>
    <w:rsid w:val="0094628F"/>
    <w:rsid w:val="009463D1"/>
    <w:rsid w:val="0094645C"/>
    <w:rsid w:val="00946476"/>
    <w:rsid w:val="0094658A"/>
    <w:rsid w:val="00946844"/>
    <w:rsid w:val="009468D7"/>
    <w:rsid w:val="0094699B"/>
    <w:rsid w:val="00946A81"/>
    <w:rsid w:val="00946AB3"/>
    <w:rsid w:val="00946BE3"/>
    <w:rsid w:val="00946C7C"/>
    <w:rsid w:val="00946CEA"/>
    <w:rsid w:val="00946D5B"/>
    <w:rsid w:val="00946E0C"/>
    <w:rsid w:val="00946F21"/>
    <w:rsid w:val="009474E1"/>
    <w:rsid w:val="009476D8"/>
    <w:rsid w:val="00947789"/>
    <w:rsid w:val="009478A6"/>
    <w:rsid w:val="009478B8"/>
    <w:rsid w:val="009479B1"/>
    <w:rsid w:val="00950013"/>
    <w:rsid w:val="0095002E"/>
    <w:rsid w:val="0095030D"/>
    <w:rsid w:val="00950362"/>
    <w:rsid w:val="00950485"/>
    <w:rsid w:val="0095063A"/>
    <w:rsid w:val="00950878"/>
    <w:rsid w:val="00950AD2"/>
    <w:rsid w:val="00950B40"/>
    <w:rsid w:val="00950C13"/>
    <w:rsid w:val="00950C4C"/>
    <w:rsid w:val="00950CF5"/>
    <w:rsid w:val="009511ED"/>
    <w:rsid w:val="00951214"/>
    <w:rsid w:val="00951391"/>
    <w:rsid w:val="00951480"/>
    <w:rsid w:val="00951502"/>
    <w:rsid w:val="0095183B"/>
    <w:rsid w:val="00951840"/>
    <w:rsid w:val="00951877"/>
    <w:rsid w:val="00951936"/>
    <w:rsid w:val="00951C22"/>
    <w:rsid w:val="00951E0C"/>
    <w:rsid w:val="00951E3B"/>
    <w:rsid w:val="00951E3C"/>
    <w:rsid w:val="0095201E"/>
    <w:rsid w:val="00952296"/>
    <w:rsid w:val="009523BE"/>
    <w:rsid w:val="00952416"/>
    <w:rsid w:val="0095272E"/>
    <w:rsid w:val="0095293F"/>
    <w:rsid w:val="00952BC6"/>
    <w:rsid w:val="00952BDB"/>
    <w:rsid w:val="00952C58"/>
    <w:rsid w:val="00952DF7"/>
    <w:rsid w:val="00952EA2"/>
    <w:rsid w:val="00952F5C"/>
    <w:rsid w:val="00952FB6"/>
    <w:rsid w:val="00953055"/>
    <w:rsid w:val="00953077"/>
    <w:rsid w:val="009532CC"/>
    <w:rsid w:val="0095376B"/>
    <w:rsid w:val="00953788"/>
    <w:rsid w:val="00953AD6"/>
    <w:rsid w:val="00953B45"/>
    <w:rsid w:val="00953C31"/>
    <w:rsid w:val="00953D4D"/>
    <w:rsid w:val="00953DFB"/>
    <w:rsid w:val="0095401F"/>
    <w:rsid w:val="00954035"/>
    <w:rsid w:val="00954091"/>
    <w:rsid w:val="00954147"/>
    <w:rsid w:val="009541B8"/>
    <w:rsid w:val="009543F1"/>
    <w:rsid w:val="009544B2"/>
    <w:rsid w:val="009544C8"/>
    <w:rsid w:val="00954683"/>
    <w:rsid w:val="0095483A"/>
    <w:rsid w:val="00954AB5"/>
    <w:rsid w:val="00954E29"/>
    <w:rsid w:val="00954F79"/>
    <w:rsid w:val="00955081"/>
    <w:rsid w:val="00955103"/>
    <w:rsid w:val="009551B6"/>
    <w:rsid w:val="00955254"/>
    <w:rsid w:val="009552D1"/>
    <w:rsid w:val="00955442"/>
    <w:rsid w:val="00955501"/>
    <w:rsid w:val="0095551A"/>
    <w:rsid w:val="009555E4"/>
    <w:rsid w:val="00955713"/>
    <w:rsid w:val="00955778"/>
    <w:rsid w:val="00955A8A"/>
    <w:rsid w:val="00955C18"/>
    <w:rsid w:val="00955CF8"/>
    <w:rsid w:val="00955F22"/>
    <w:rsid w:val="00955FAC"/>
    <w:rsid w:val="009560BA"/>
    <w:rsid w:val="009560E0"/>
    <w:rsid w:val="009560E2"/>
    <w:rsid w:val="0095633C"/>
    <w:rsid w:val="00956407"/>
    <w:rsid w:val="009565E0"/>
    <w:rsid w:val="00956704"/>
    <w:rsid w:val="00956997"/>
    <w:rsid w:val="00956E9A"/>
    <w:rsid w:val="00957024"/>
    <w:rsid w:val="00957227"/>
    <w:rsid w:val="009572E3"/>
    <w:rsid w:val="0095730F"/>
    <w:rsid w:val="00957337"/>
    <w:rsid w:val="009574DC"/>
    <w:rsid w:val="00957745"/>
    <w:rsid w:val="00957A40"/>
    <w:rsid w:val="00957C19"/>
    <w:rsid w:val="00957C72"/>
    <w:rsid w:val="00957DA1"/>
    <w:rsid w:val="00957F6F"/>
    <w:rsid w:val="00957F8F"/>
    <w:rsid w:val="00960028"/>
    <w:rsid w:val="0096006A"/>
    <w:rsid w:val="009602D0"/>
    <w:rsid w:val="0096033A"/>
    <w:rsid w:val="00960494"/>
    <w:rsid w:val="00960AF9"/>
    <w:rsid w:val="00960BB3"/>
    <w:rsid w:val="009610A1"/>
    <w:rsid w:val="009610B9"/>
    <w:rsid w:val="009615B1"/>
    <w:rsid w:val="009615E7"/>
    <w:rsid w:val="00961A4B"/>
    <w:rsid w:val="00961A54"/>
    <w:rsid w:val="00961EF2"/>
    <w:rsid w:val="00962244"/>
    <w:rsid w:val="0096225E"/>
    <w:rsid w:val="009623B0"/>
    <w:rsid w:val="009623C9"/>
    <w:rsid w:val="009625CF"/>
    <w:rsid w:val="009626DA"/>
    <w:rsid w:val="00962A9D"/>
    <w:rsid w:val="00962AC2"/>
    <w:rsid w:val="00962D08"/>
    <w:rsid w:val="00962E8F"/>
    <w:rsid w:val="00962EE7"/>
    <w:rsid w:val="00962F57"/>
    <w:rsid w:val="00962FC2"/>
    <w:rsid w:val="0096300C"/>
    <w:rsid w:val="0096311E"/>
    <w:rsid w:val="00963249"/>
    <w:rsid w:val="00963282"/>
    <w:rsid w:val="009632DE"/>
    <w:rsid w:val="0096364D"/>
    <w:rsid w:val="00963755"/>
    <w:rsid w:val="00963CD1"/>
    <w:rsid w:val="00963D1B"/>
    <w:rsid w:val="009640EF"/>
    <w:rsid w:val="009642C8"/>
    <w:rsid w:val="00964462"/>
    <w:rsid w:val="009648B3"/>
    <w:rsid w:val="00964970"/>
    <w:rsid w:val="009649F1"/>
    <w:rsid w:val="00964A72"/>
    <w:rsid w:val="00964AD9"/>
    <w:rsid w:val="00965014"/>
    <w:rsid w:val="009651C1"/>
    <w:rsid w:val="0096520A"/>
    <w:rsid w:val="00965402"/>
    <w:rsid w:val="0096541F"/>
    <w:rsid w:val="00965957"/>
    <w:rsid w:val="009659F9"/>
    <w:rsid w:val="00965BF6"/>
    <w:rsid w:val="00965C68"/>
    <w:rsid w:val="00965FFC"/>
    <w:rsid w:val="00966231"/>
    <w:rsid w:val="009664E4"/>
    <w:rsid w:val="009665B8"/>
    <w:rsid w:val="00966898"/>
    <w:rsid w:val="009668ED"/>
    <w:rsid w:val="00966916"/>
    <w:rsid w:val="00966B8D"/>
    <w:rsid w:val="00966F0A"/>
    <w:rsid w:val="00966F2C"/>
    <w:rsid w:val="0096700A"/>
    <w:rsid w:val="00967066"/>
    <w:rsid w:val="0096708F"/>
    <w:rsid w:val="0096796D"/>
    <w:rsid w:val="009679E3"/>
    <w:rsid w:val="00967F88"/>
    <w:rsid w:val="00967FEE"/>
    <w:rsid w:val="00970423"/>
    <w:rsid w:val="0097043B"/>
    <w:rsid w:val="0097062F"/>
    <w:rsid w:val="009707A7"/>
    <w:rsid w:val="00970CC7"/>
    <w:rsid w:val="00970DAC"/>
    <w:rsid w:val="00970E60"/>
    <w:rsid w:val="00971110"/>
    <w:rsid w:val="0097114F"/>
    <w:rsid w:val="009712A8"/>
    <w:rsid w:val="00971691"/>
    <w:rsid w:val="00971AB9"/>
    <w:rsid w:val="00971C56"/>
    <w:rsid w:val="00971CE0"/>
    <w:rsid w:val="00971E74"/>
    <w:rsid w:val="00971EC7"/>
    <w:rsid w:val="00972067"/>
    <w:rsid w:val="00972252"/>
    <w:rsid w:val="009722B0"/>
    <w:rsid w:val="00972313"/>
    <w:rsid w:val="00972684"/>
    <w:rsid w:val="0097294F"/>
    <w:rsid w:val="00972989"/>
    <w:rsid w:val="00972BF0"/>
    <w:rsid w:val="00972D84"/>
    <w:rsid w:val="00972D9D"/>
    <w:rsid w:val="009730CE"/>
    <w:rsid w:val="0097310A"/>
    <w:rsid w:val="009733A4"/>
    <w:rsid w:val="00973780"/>
    <w:rsid w:val="00973837"/>
    <w:rsid w:val="00973851"/>
    <w:rsid w:val="00973854"/>
    <w:rsid w:val="009739CB"/>
    <w:rsid w:val="00973A32"/>
    <w:rsid w:val="00973B09"/>
    <w:rsid w:val="00973E1A"/>
    <w:rsid w:val="00973E80"/>
    <w:rsid w:val="00973FC8"/>
    <w:rsid w:val="009743C7"/>
    <w:rsid w:val="009744A6"/>
    <w:rsid w:val="009744B5"/>
    <w:rsid w:val="00974823"/>
    <w:rsid w:val="00974A47"/>
    <w:rsid w:val="00974A6A"/>
    <w:rsid w:val="00974B22"/>
    <w:rsid w:val="00974B5F"/>
    <w:rsid w:val="00974CF9"/>
    <w:rsid w:val="00974D21"/>
    <w:rsid w:val="00974EB9"/>
    <w:rsid w:val="00975045"/>
    <w:rsid w:val="00975048"/>
    <w:rsid w:val="0097546E"/>
    <w:rsid w:val="009754E5"/>
    <w:rsid w:val="00975509"/>
    <w:rsid w:val="00975648"/>
    <w:rsid w:val="00975AC4"/>
    <w:rsid w:val="00975B1E"/>
    <w:rsid w:val="00975E27"/>
    <w:rsid w:val="00976354"/>
    <w:rsid w:val="00976779"/>
    <w:rsid w:val="009768CA"/>
    <w:rsid w:val="00976963"/>
    <w:rsid w:val="00976B68"/>
    <w:rsid w:val="00976BC0"/>
    <w:rsid w:val="00976DAF"/>
    <w:rsid w:val="00976DCD"/>
    <w:rsid w:val="00976FC5"/>
    <w:rsid w:val="009770E2"/>
    <w:rsid w:val="0097739B"/>
    <w:rsid w:val="009773E5"/>
    <w:rsid w:val="00977732"/>
    <w:rsid w:val="009777B8"/>
    <w:rsid w:val="009777EA"/>
    <w:rsid w:val="0097789F"/>
    <w:rsid w:val="009778E3"/>
    <w:rsid w:val="00977ED3"/>
    <w:rsid w:val="00977FBE"/>
    <w:rsid w:val="00977FDE"/>
    <w:rsid w:val="009800EC"/>
    <w:rsid w:val="0098034B"/>
    <w:rsid w:val="00980372"/>
    <w:rsid w:val="009803A9"/>
    <w:rsid w:val="009803AA"/>
    <w:rsid w:val="009805E9"/>
    <w:rsid w:val="00980994"/>
    <w:rsid w:val="00980A26"/>
    <w:rsid w:val="00980A7F"/>
    <w:rsid w:val="00980C1C"/>
    <w:rsid w:val="00980CB9"/>
    <w:rsid w:val="00980D3A"/>
    <w:rsid w:val="00980D92"/>
    <w:rsid w:val="00980DA7"/>
    <w:rsid w:val="00980ECD"/>
    <w:rsid w:val="00980F4C"/>
    <w:rsid w:val="0098117F"/>
    <w:rsid w:val="00981345"/>
    <w:rsid w:val="00981707"/>
    <w:rsid w:val="009817A1"/>
    <w:rsid w:val="00981B09"/>
    <w:rsid w:val="00981CAC"/>
    <w:rsid w:val="00981D38"/>
    <w:rsid w:val="00981D7C"/>
    <w:rsid w:val="00981EC3"/>
    <w:rsid w:val="0098218F"/>
    <w:rsid w:val="00982236"/>
    <w:rsid w:val="00982527"/>
    <w:rsid w:val="009825B7"/>
    <w:rsid w:val="0098296C"/>
    <w:rsid w:val="009829A1"/>
    <w:rsid w:val="00982B33"/>
    <w:rsid w:val="00982D43"/>
    <w:rsid w:val="00982EA7"/>
    <w:rsid w:val="00982F2D"/>
    <w:rsid w:val="00982F42"/>
    <w:rsid w:val="0098312C"/>
    <w:rsid w:val="009831BA"/>
    <w:rsid w:val="009832A7"/>
    <w:rsid w:val="00983373"/>
    <w:rsid w:val="0098379D"/>
    <w:rsid w:val="00983A2C"/>
    <w:rsid w:val="00983D8D"/>
    <w:rsid w:val="0098417D"/>
    <w:rsid w:val="009841CB"/>
    <w:rsid w:val="0098431F"/>
    <w:rsid w:val="0098454E"/>
    <w:rsid w:val="00984622"/>
    <w:rsid w:val="0098508F"/>
    <w:rsid w:val="00985092"/>
    <w:rsid w:val="0098513C"/>
    <w:rsid w:val="009851B2"/>
    <w:rsid w:val="00985419"/>
    <w:rsid w:val="00985509"/>
    <w:rsid w:val="009855A0"/>
    <w:rsid w:val="00985696"/>
    <w:rsid w:val="00985964"/>
    <w:rsid w:val="00985B62"/>
    <w:rsid w:val="00985C49"/>
    <w:rsid w:val="00985C88"/>
    <w:rsid w:val="00985C8A"/>
    <w:rsid w:val="00986175"/>
    <w:rsid w:val="0098619A"/>
    <w:rsid w:val="00986241"/>
    <w:rsid w:val="009862E2"/>
    <w:rsid w:val="00986628"/>
    <w:rsid w:val="009867EC"/>
    <w:rsid w:val="0098699F"/>
    <w:rsid w:val="00986BA1"/>
    <w:rsid w:val="00986C68"/>
    <w:rsid w:val="00986CEE"/>
    <w:rsid w:val="00986F9A"/>
    <w:rsid w:val="0098706B"/>
    <w:rsid w:val="0098707D"/>
    <w:rsid w:val="00987174"/>
    <w:rsid w:val="009871BD"/>
    <w:rsid w:val="00987258"/>
    <w:rsid w:val="00987263"/>
    <w:rsid w:val="009872CF"/>
    <w:rsid w:val="00987A91"/>
    <w:rsid w:val="00987B28"/>
    <w:rsid w:val="00987D77"/>
    <w:rsid w:val="00987DC7"/>
    <w:rsid w:val="00987E0F"/>
    <w:rsid w:val="0099012A"/>
    <w:rsid w:val="009901A6"/>
    <w:rsid w:val="009901F0"/>
    <w:rsid w:val="0099024E"/>
    <w:rsid w:val="0099035F"/>
    <w:rsid w:val="0099077C"/>
    <w:rsid w:val="0099081E"/>
    <w:rsid w:val="00990820"/>
    <w:rsid w:val="00990ECA"/>
    <w:rsid w:val="0099120F"/>
    <w:rsid w:val="0099129A"/>
    <w:rsid w:val="00991340"/>
    <w:rsid w:val="00991446"/>
    <w:rsid w:val="009919B1"/>
    <w:rsid w:val="00991AA8"/>
    <w:rsid w:val="00991B57"/>
    <w:rsid w:val="00991D1B"/>
    <w:rsid w:val="00991D65"/>
    <w:rsid w:val="00991DF3"/>
    <w:rsid w:val="0099200F"/>
    <w:rsid w:val="00992276"/>
    <w:rsid w:val="0099227A"/>
    <w:rsid w:val="0099285F"/>
    <w:rsid w:val="00992958"/>
    <w:rsid w:val="009929C8"/>
    <w:rsid w:val="00992C93"/>
    <w:rsid w:val="009934B6"/>
    <w:rsid w:val="0099370B"/>
    <w:rsid w:val="00993D87"/>
    <w:rsid w:val="00993E55"/>
    <w:rsid w:val="00993FD4"/>
    <w:rsid w:val="00993FDF"/>
    <w:rsid w:val="0099451B"/>
    <w:rsid w:val="009946A7"/>
    <w:rsid w:val="009946D6"/>
    <w:rsid w:val="0099470B"/>
    <w:rsid w:val="00994880"/>
    <w:rsid w:val="00994A91"/>
    <w:rsid w:val="00994C04"/>
    <w:rsid w:val="00994C86"/>
    <w:rsid w:val="00994DFA"/>
    <w:rsid w:val="00995035"/>
    <w:rsid w:val="009953C7"/>
    <w:rsid w:val="009953CC"/>
    <w:rsid w:val="0099542F"/>
    <w:rsid w:val="00995624"/>
    <w:rsid w:val="00995694"/>
    <w:rsid w:val="009956C3"/>
    <w:rsid w:val="00995E2D"/>
    <w:rsid w:val="00995E37"/>
    <w:rsid w:val="00995EF9"/>
    <w:rsid w:val="0099616A"/>
    <w:rsid w:val="009961FE"/>
    <w:rsid w:val="0099644F"/>
    <w:rsid w:val="00996632"/>
    <w:rsid w:val="00996880"/>
    <w:rsid w:val="00996A3D"/>
    <w:rsid w:val="00996C86"/>
    <w:rsid w:val="00997002"/>
    <w:rsid w:val="009971AD"/>
    <w:rsid w:val="00997551"/>
    <w:rsid w:val="00997829"/>
    <w:rsid w:val="00997BE2"/>
    <w:rsid w:val="00997C55"/>
    <w:rsid w:val="00997CA1"/>
    <w:rsid w:val="00997D1E"/>
    <w:rsid w:val="00997D93"/>
    <w:rsid w:val="00997DDE"/>
    <w:rsid w:val="00997F32"/>
    <w:rsid w:val="00997F54"/>
    <w:rsid w:val="009A00B6"/>
    <w:rsid w:val="009A011C"/>
    <w:rsid w:val="009A0278"/>
    <w:rsid w:val="009A02EC"/>
    <w:rsid w:val="009A02F0"/>
    <w:rsid w:val="009A040A"/>
    <w:rsid w:val="009A05A3"/>
    <w:rsid w:val="009A05D1"/>
    <w:rsid w:val="009A067F"/>
    <w:rsid w:val="009A0830"/>
    <w:rsid w:val="009A0920"/>
    <w:rsid w:val="009A0B2B"/>
    <w:rsid w:val="009A0B4F"/>
    <w:rsid w:val="009A0D8E"/>
    <w:rsid w:val="009A0DA8"/>
    <w:rsid w:val="009A0F13"/>
    <w:rsid w:val="009A12DA"/>
    <w:rsid w:val="009A1679"/>
    <w:rsid w:val="009A17C6"/>
    <w:rsid w:val="009A18ED"/>
    <w:rsid w:val="009A1C91"/>
    <w:rsid w:val="009A2011"/>
    <w:rsid w:val="009A207A"/>
    <w:rsid w:val="009A210D"/>
    <w:rsid w:val="009A2190"/>
    <w:rsid w:val="009A21E7"/>
    <w:rsid w:val="009A2766"/>
    <w:rsid w:val="009A2837"/>
    <w:rsid w:val="009A28B5"/>
    <w:rsid w:val="009A297B"/>
    <w:rsid w:val="009A2AEC"/>
    <w:rsid w:val="009A2BC3"/>
    <w:rsid w:val="009A2BE0"/>
    <w:rsid w:val="009A2D3A"/>
    <w:rsid w:val="009A2D6E"/>
    <w:rsid w:val="009A2E8D"/>
    <w:rsid w:val="009A326C"/>
    <w:rsid w:val="009A32A6"/>
    <w:rsid w:val="009A35C4"/>
    <w:rsid w:val="009A3609"/>
    <w:rsid w:val="009A377D"/>
    <w:rsid w:val="009A39B6"/>
    <w:rsid w:val="009A3B38"/>
    <w:rsid w:val="009A3BDA"/>
    <w:rsid w:val="009A3DA6"/>
    <w:rsid w:val="009A4122"/>
    <w:rsid w:val="009A4209"/>
    <w:rsid w:val="009A4255"/>
    <w:rsid w:val="009A42B9"/>
    <w:rsid w:val="009A4315"/>
    <w:rsid w:val="009A439A"/>
    <w:rsid w:val="009A44FA"/>
    <w:rsid w:val="009A477D"/>
    <w:rsid w:val="009A4B88"/>
    <w:rsid w:val="009A4C2D"/>
    <w:rsid w:val="009A4E1A"/>
    <w:rsid w:val="009A4FE5"/>
    <w:rsid w:val="009A518D"/>
    <w:rsid w:val="009A5253"/>
    <w:rsid w:val="009A5A22"/>
    <w:rsid w:val="009A5ADB"/>
    <w:rsid w:val="009A5D7A"/>
    <w:rsid w:val="009A5FE7"/>
    <w:rsid w:val="009A603C"/>
    <w:rsid w:val="009A6261"/>
    <w:rsid w:val="009A6324"/>
    <w:rsid w:val="009A663F"/>
    <w:rsid w:val="009A67C9"/>
    <w:rsid w:val="009A68A2"/>
    <w:rsid w:val="009A68CF"/>
    <w:rsid w:val="009A6CD2"/>
    <w:rsid w:val="009A6D8C"/>
    <w:rsid w:val="009A6EF3"/>
    <w:rsid w:val="009A706B"/>
    <w:rsid w:val="009A7147"/>
    <w:rsid w:val="009A739A"/>
    <w:rsid w:val="009A7445"/>
    <w:rsid w:val="009A7570"/>
    <w:rsid w:val="009A767B"/>
    <w:rsid w:val="009A7AB3"/>
    <w:rsid w:val="009A7C8D"/>
    <w:rsid w:val="009B0292"/>
    <w:rsid w:val="009B02CF"/>
    <w:rsid w:val="009B02EF"/>
    <w:rsid w:val="009B06AF"/>
    <w:rsid w:val="009B09BE"/>
    <w:rsid w:val="009B0A3C"/>
    <w:rsid w:val="009B0F71"/>
    <w:rsid w:val="009B0FD8"/>
    <w:rsid w:val="009B105F"/>
    <w:rsid w:val="009B1153"/>
    <w:rsid w:val="009B124E"/>
    <w:rsid w:val="009B133B"/>
    <w:rsid w:val="009B1498"/>
    <w:rsid w:val="009B149E"/>
    <w:rsid w:val="009B15CD"/>
    <w:rsid w:val="009B1640"/>
    <w:rsid w:val="009B1843"/>
    <w:rsid w:val="009B19F9"/>
    <w:rsid w:val="009B1A13"/>
    <w:rsid w:val="009B1AC1"/>
    <w:rsid w:val="009B1B04"/>
    <w:rsid w:val="009B1D6F"/>
    <w:rsid w:val="009B22E3"/>
    <w:rsid w:val="009B23B8"/>
    <w:rsid w:val="009B2415"/>
    <w:rsid w:val="009B249C"/>
    <w:rsid w:val="009B26D2"/>
    <w:rsid w:val="009B27EC"/>
    <w:rsid w:val="009B27F8"/>
    <w:rsid w:val="009B2A33"/>
    <w:rsid w:val="009B2B60"/>
    <w:rsid w:val="009B2D50"/>
    <w:rsid w:val="009B2FB8"/>
    <w:rsid w:val="009B2FDA"/>
    <w:rsid w:val="009B3017"/>
    <w:rsid w:val="009B30AE"/>
    <w:rsid w:val="009B30ED"/>
    <w:rsid w:val="009B3122"/>
    <w:rsid w:val="009B3169"/>
    <w:rsid w:val="009B337F"/>
    <w:rsid w:val="009B33F7"/>
    <w:rsid w:val="009B3636"/>
    <w:rsid w:val="009B3ACD"/>
    <w:rsid w:val="009B3C32"/>
    <w:rsid w:val="009B3E4B"/>
    <w:rsid w:val="009B3F4F"/>
    <w:rsid w:val="009B40DA"/>
    <w:rsid w:val="009B44BB"/>
    <w:rsid w:val="009B479A"/>
    <w:rsid w:val="009B4827"/>
    <w:rsid w:val="009B488B"/>
    <w:rsid w:val="009B4C78"/>
    <w:rsid w:val="009B5049"/>
    <w:rsid w:val="009B5562"/>
    <w:rsid w:val="009B55A4"/>
    <w:rsid w:val="009B5770"/>
    <w:rsid w:val="009B5856"/>
    <w:rsid w:val="009B59D6"/>
    <w:rsid w:val="009B5CD9"/>
    <w:rsid w:val="009B5D37"/>
    <w:rsid w:val="009B5D5E"/>
    <w:rsid w:val="009B5DCB"/>
    <w:rsid w:val="009B5DDC"/>
    <w:rsid w:val="009B5E10"/>
    <w:rsid w:val="009B5EBF"/>
    <w:rsid w:val="009B5EC8"/>
    <w:rsid w:val="009B5FC3"/>
    <w:rsid w:val="009B6025"/>
    <w:rsid w:val="009B629F"/>
    <w:rsid w:val="009B6465"/>
    <w:rsid w:val="009B64E3"/>
    <w:rsid w:val="009B6747"/>
    <w:rsid w:val="009B67DD"/>
    <w:rsid w:val="009B6878"/>
    <w:rsid w:val="009B6907"/>
    <w:rsid w:val="009B70F6"/>
    <w:rsid w:val="009B72DE"/>
    <w:rsid w:val="009B7310"/>
    <w:rsid w:val="009B7672"/>
    <w:rsid w:val="009B77AD"/>
    <w:rsid w:val="009B7B88"/>
    <w:rsid w:val="009C006E"/>
    <w:rsid w:val="009C01DE"/>
    <w:rsid w:val="009C02A5"/>
    <w:rsid w:val="009C055B"/>
    <w:rsid w:val="009C0726"/>
    <w:rsid w:val="009C074E"/>
    <w:rsid w:val="009C07CC"/>
    <w:rsid w:val="009C09D4"/>
    <w:rsid w:val="009C0C50"/>
    <w:rsid w:val="009C1029"/>
    <w:rsid w:val="009C1087"/>
    <w:rsid w:val="009C1223"/>
    <w:rsid w:val="009C122B"/>
    <w:rsid w:val="009C13CF"/>
    <w:rsid w:val="009C1453"/>
    <w:rsid w:val="009C155C"/>
    <w:rsid w:val="009C1A10"/>
    <w:rsid w:val="009C1A78"/>
    <w:rsid w:val="009C1ABC"/>
    <w:rsid w:val="009C1E46"/>
    <w:rsid w:val="009C1F84"/>
    <w:rsid w:val="009C236D"/>
    <w:rsid w:val="009C25B4"/>
    <w:rsid w:val="009C2937"/>
    <w:rsid w:val="009C2CE8"/>
    <w:rsid w:val="009C2D88"/>
    <w:rsid w:val="009C2E3B"/>
    <w:rsid w:val="009C2E55"/>
    <w:rsid w:val="009C3003"/>
    <w:rsid w:val="009C3197"/>
    <w:rsid w:val="009C32A6"/>
    <w:rsid w:val="009C3398"/>
    <w:rsid w:val="009C33A8"/>
    <w:rsid w:val="009C352A"/>
    <w:rsid w:val="009C3623"/>
    <w:rsid w:val="009C3655"/>
    <w:rsid w:val="009C38FB"/>
    <w:rsid w:val="009C3A3B"/>
    <w:rsid w:val="009C3B7C"/>
    <w:rsid w:val="009C3D25"/>
    <w:rsid w:val="009C3E74"/>
    <w:rsid w:val="009C3EEE"/>
    <w:rsid w:val="009C3F4F"/>
    <w:rsid w:val="009C40A3"/>
    <w:rsid w:val="009C428B"/>
    <w:rsid w:val="009C4352"/>
    <w:rsid w:val="009C43B8"/>
    <w:rsid w:val="009C47F8"/>
    <w:rsid w:val="009C4996"/>
    <w:rsid w:val="009C4C6D"/>
    <w:rsid w:val="009C4D2E"/>
    <w:rsid w:val="009C4DE9"/>
    <w:rsid w:val="009C4E80"/>
    <w:rsid w:val="009C4EC8"/>
    <w:rsid w:val="009C4EE3"/>
    <w:rsid w:val="009C4F93"/>
    <w:rsid w:val="009C52D4"/>
    <w:rsid w:val="009C53A1"/>
    <w:rsid w:val="009C5436"/>
    <w:rsid w:val="009C55C3"/>
    <w:rsid w:val="009C57E7"/>
    <w:rsid w:val="009C587E"/>
    <w:rsid w:val="009C58FB"/>
    <w:rsid w:val="009C5942"/>
    <w:rsid w:val="009C5981"/>
    <w:rsid w:val="009C5A0D"/>
    <w:rsid w:val="009C5FD1"/>
    <w:rsid w:val="009C6001"/>
    <w:rsid w:val="009C6021"/>
    <w:rsid w:val="009C6152"/>
    <w:rsid w:val="009C61CD"/>
    <w:rsid w:val="009C630F"/>
    <w:rsid w:val="009C6326"/>
    <w:rsid w:val="009C66CE"/>
    <w:rsid w:val="009C6B03"/>
    <w:rsid w:val="009C6DFF"/>
    <w:rsid w:val="009C71A2"/>
    <w:rsid w:val="009C72A0"/>
    <w:rsid w:val="009C75DB"/>
    <w:rsid w:val="009C7634"/>
    <w:rsid w:val="009C76F4"/>
    <w:rsid w:val="009C770C"/>
    <w:rsid w:val="009C7919"/>
    <w:rsid w:val="009C7ACB"/>
    <w:rsid w:val="009C7B5A"/>
    <w:rsid w:val="009C7C3B"/>
    <w:rsid w:val="009D00AC"/>
    <w:rsid w:val="009D02A4"/>
    <w:rsid w:val="009D0653"/>
    <w:rsid w:val="009D06FA"/>
    <w:rsid w:val="009D0777"/>
    <w:rsid w:val="009D07F8"/>
    <w:rsid w:val="009D0827"/>
    <w:rsid w:val="009D0FA9"/>
    <w:rsid w:val="009D11DB"/>
    <w:rsid w:val="009D1210"/>
    <w:rsid w:val="009D132E"/>
    <w:rsid w:val="009D1563"/>
    <w:rsid w:val="009D1712"/>
    <w:rsid w:val="009D18A4"/>
    <w:rsid w:val="009D190D"/>
    <w:rsid w:val="009D19AC"/>
    <w:rsid w:val="009D1B1D"/>
    <w:rsid w:val="009D1B38"/>
    <w:rsid w:val="009D1B8B"/>
    <w:rsid w:val="009D1C96"/>
    <w:rsid w:val="009D1DA8"/>
    <w:rsid w:val="009D1FA4"/>
    <w:rsid w:val="009D230E"/>
    <w:rsid w:val="009D2315"/>
    <w:rsid w:val="009D2503"/>
    <w:rsid w:val="009D252D"/>
    <w:rsid w:val="009D261A"/>
    <w:rsid w:val="009D2B88"/>
    <w:rsid w:val="009D2DB0"/>
    <w:rsid w:val="009D2E5B"/>
    <w:rsid w:val="009D3056"/>
    <w:rsid w:val="009D328F"/>
    <w:rsid w:val="009D35B1"/>
    <w:rsid w:val="009D35D7"/>
    <w:rsid w:val="009D3833"/>
    <w:rsid w:val="009D3854"/>
    <w:rsid w:val="009D3C83"/>
    <w:rsid w:val="009D3D0B"/>
    <w:rsid w:val="009D3F0D"/>
    <w:rsid w:val="009D3F76"/>
    <w:rsid w:val="009D45A7"/>
    <w:rsid w:val="009D496D"/>
    <w:rsid w:val="009D499F"/>
    <w:rsid w:val="009D4A07"/>
    <w:rsid w:val="009D4A73"/>
    <w:rsid w:val="009D4C61"/>
    <w:rsid w:val="009D4D12"/>
    <w:rsid w:val="009D5107"/>
    <w:rsid w:val="009D5155"/>
    <w:rsid w:val="009D5429"/>
    <w:rsid w:val="009D5794"/>
    <w:rsid w:val="009D596B"/>
    <w:rsid w:val="009D5ACD"/>
    <w:rsid w:val="009D5BD8"/>
    <w:rsid w:val="009D5CD2"/>
    <w:rsid w:val="009D5E16"/>
    <w:rsid w:val="009D5F62"/>
    <w:rsid w:val="009D62A7"/>
    <w:rsid w:val="009D64D6"/>
    <w:rsid w:val="009D67E6"/>
    <w:rsid w:val="009D6A2A"/>
    <w:rsid w:val="009D6A41"/>
    <w:rsid w:val="009D6E01"/>
    <w:rsid w:val="009D7303"/>
    <w:rsid w:val="009D7615"/>
    <w:rsid w:val="009D7756"/>
    <w:rsid w:val="009D78AE"/>
    <w:rsid w:val="009D78DC"/>
    <w:rsid w:val="009D7A84"/>
    <w:rsid w:val="009D7EB4"/>
    <w:rsid w:val="009E0073"/>
    <w:rsid w:val="009E00DD"/>
    <w:rsid w:val="009E045B"/>
    <w:rsid w:val="009E050E"/>
    <w:rsid w:val="009E077C"/>
    <w:rsid w:val="009E0861"/>
    <w:rsid w:val="009E0A42"/>
    <w:rsid w:val="009E0BAD"/>
    <w:rsid w:val="009E0BD9"/>
    <w:rsid w:val="009E0CFC"/>
    <w:rsid w:val="009E0F45"/>
    <w:rsid w:val="009E10ED"/>
    <w:rsid w:val="009E1362"/>
    <w:rsid w:val="009E1501"/>
    <w:rsid w:val="009E1A4B"/>
    <w:rsid w:val="009E1C50"/>
    <w:rsid w:val="009E1C88"/>
    <w:rsid w:val="009E1E9B"/>
    <w:rsid w:val="009E1F1D"/>
    <w:rsid w:val="009E1F2D"/>
    <w:rsid w:val="009E2032"/>
    <w:rsid w:val="009E2085"/>
    <w:rsid w:val="009E22B8"/>
    <w:rsid w:val="009E23E0"/>
    <w:rsid w:val="009E23FD"/>
    <w:rsid w:val="009E24B3"/>
    <w:rsid w:val="009E28B4"/>
    <w:rsid w:val="009E291A"/>
    <w:rsid w:val="009E2C56"/>
    <w:rsid w:val="009E2E1A"/>
    <w:rsid w:val="009E2F1F"/>
    <w:rsid w:val="009E2F88"/>
    <w:rsid w:val="009E3414"/>
    <w:rsid w:val="009E3476"/>
    <w:rsid w:val="009E3629"/>
    <w:rsid w:val="009E3649"/>
    <w:rsid w:val="009E3673"/>
    <w:rsid w:val="009E3DF3"/>
    <w:rsid w:val="009E3ECD"/>
    <w:rsid w:val="009E3FB5"/>
    <w:rsid w:val="009E41B4"/>
    <w:rsid w:val="009E4226"/>
    <w:rsid w:val="009E44FB"/>
    <w:rsid w:val="009E4709"/>
    <w:rsid w:val="009E4873"/>
    <w:rsid w:val="009E4905"/>
    <w:rsid w:val="009E4B12"/>
    <w:rsid w:val="009E4C77"/>
    <w:rsid w:val="009E4E19"/>
    <w:rsid w:val="009E4E46"/>
    <w:rsid w:val="009E4F01"/>
    <w:rsid w:val="009E531D"/>
    <w:rsid w:val="009E54F6"/>
    <w:rsid w:val="009E5500"/>
    <w:rsid w:val="009E5697"/>
    <w:rsid w:val="009E5725"/>
    <w:rsid w:val="009E5A4F"/>
    <w:rsid w:val="009E5B6E"/>
    <w:rsid w:val="009E5D08"/>
    <w:rsid w:val="009E5E89"/>
    <w:rsid w:val="009E6581"/>
    <w:rsid w:val="009E673D"/>
    <w:rsid w:val="009E67BB"/>
    <w:rsid w:val="009E6816"/>
    <w:rsid w:val="009E6993"/>
    <w:rsid w:val="009E6A38"/>
    <w:rsid w:val="009E6A9E"/>
    <w:rsid w:val="009E6B79"/>
    <w:rsid w:val="009E6C39"/>
    <w:rsid w:val="009E6C87"/>
    <w:rsid w:val="009E6CB0"/>
    <w:rsid w:val="009E6E1F"/>
    <w:rsid w:val="009E6E6F"/>
    <w:rsid w:val="009E6E9A"/>
    <w:rsid w:val="009E6FF2"/>
    <w:rsid w:val="009E73DC"/>
    <w:rsid w:val="009E74E3"/>
    <w:rsid w:val="009E75B3"/>
    <w:rsid w:val="009E7614"/>
    <w:rsid w:val="009E7767"/>
    <w:rsid w:val="009E77D0"/>
    <w:rsid w:val="009E781C"/>
    <w:rsid w:val="009E7899"/>
    <w:rsid w:val="009E7975"/>
    <w:rsid w:val="009E7AD0"/>
    <w:rsid w:val="009E7AEC"/>
    <w:rsid w:val="009E7B05"/>
    <w:rsid w:val="009E7B2C"/>
    <w:rsid w:val="009E7BF5"/>
    <w:rsid w:val="009E7BFC"/>
    <w:rsid w:val="009E7C41"/>
    <w:rsid w:val="009E7DD6"/>
    <w:rsid w:val="009F0043"/>
    <w:rsid w:val="009F01F6"/>
    <w:rsid w:val="009F02B4"/>
    <w:rsid w:val="009F038C"/>
    <w:rsid w:val="009F054C"/>
    <w:rsid w:val="009F0A1E"/>
    <w:rsid w:val="009F0D2E"/>
    <w:rsid w:val="009F111A"/>
    <w:rsid w:val="009F115F"/>
    <w:rsid w:val="009F1202"/>
    <w:rsid w:val="009F1533"/>
    <w:rsid w:val="009F1623"/>
    <w:rsid w:val="009F1729"/>
    <w:rsid w:val="009F1A71"/>
    <w:rsid w:val="009F1B4B"/>
    <w:rsid w:val="009F1BB9"/>
    <w:rsid w:val="009F1CFA"/>
    <w:rsid w:val="009F227E"/>
    <w:rsid w:val="009F2289"/>
    <w:rsid w:val="009F22EF"/>
    <w:rsid w:val="009F2421"/>
    <w:rsid w:val="009F25D7"/>
    <w:rsid w:val="009F265C"/>
    <w:rsid w:val="009F2801"/>
    <w:rsid w:val="009F299F"/>
    <w:rsid w:val="009F29E6"/>
    <w:rsid w:val="009F2A59"/>
    <w:rsid w:val="009F2BD8"/>
    <w:rsid w:val="009F2DFE"/>
    <w:rsid w:val="009F2E12"/>
    <w:rsid w:val="009F2E79"/>
    <w:rsid w:val="009F2F4B"/>
    <w:rsid w:val="009F3017"/>
    <w:rsid w:val="009F319B"/>
    <w:rsid w:val="009F31BA"/>
    <w:rsid w:val="009F3228"/>
    <w:rsid w:val="009F3295"/>
    <w:rsid w:val="009F3368"/>
    <w:rsid w:val="009F33E6"/>
    <w:rsid w:val="009F33F4"/>
    <w:rsid w:val="009F3423"/>
    <w:rsid w:val="009F3452"/>
    <w:rsid w:val="009F3648"/>
    <w:rsid w:val="009F36A9"/>
    <w:rsid w:val="009F385B"/>
    <w:rsid w:val="009F3925"/>
    <w:rsid w:val="009F393B"/>
    <w:rsid w:val="009F39B3"/>
    <w:rsid w:val="009F3C05"/>
    <w:rsid w:val="009F3E5E"/>
    <w:rsid w:val="009F4007"/>
    <w:rsid w:val="009F40F9"/>
    <w:rsid w:val="009F4156"/>
    <w:rsid w:val="009F432E"/>
    <w:rsid w:val="009F44E8"/>
    <w:rsid w:val="009F45C5"/>
    <w:rsid w:val="009F45D6"/>
    <w:rsid w:val="009F4889"/>
    <w:rsid w:val="009F4A03"/>
    <w:rsid w:val="009F4A5A"/>
    <w:rsid w:val="009F4C54"/>
    <w:rsid w:val="009F4E60"/>
    <w:rsid w:val="009F5099"/>
    <w:rsid w:val="009F51EA"/>
    <w:rsid w:val="009F547B"/>
    <w:rsid w:val="009F5967"/>
    <w:rsid w:val="009F5BBD"/>
    <w:rsid w:val="009F5DE8"/>
    <w:rsid w:val="009F622F"/>
    <w:rsid w:val="009F64DA"/>
    <w:rsid w:val="009F6803"/>
    <w:rsid w:val="009F6A19"/>
    <w:rsid w:val="009F6B74"/>
    <w:rsid w:val="009F6EE0"/>
    <w:rsid w:val="009F6EE4"/>
    <w:rsid w:val="009F6FE0"/>
    <w:rsid w:val="009F74FC"/>
    <w:rsid w:val="009F7517"/>
    <w:rsid w:val="009F78B5"/>
    <w:rsid w:val="009F78FB"/>
    <w:rsid w:val="009F7965"/>
    <w:rsid w:val="009F7F87"/>
    <w:rsid w:val="00A00088"/>
    <w:rsid w:val="00A0058E"/>
    <w:rsid w:val="00A00812"/>
    <w:rsid w:val="00A00B7F"/>
    <w:rsid w:val="00A00C1F"/>
    <w:rsid w:val="00A00E22"/>
    <w:rsid w:val="00A00E71"/>
    <w:rsid w:val="00A0122A"/>
    <w:rsid w:val="00A01326"/>
    <w:rsid w:val="00A013C0"/>
    <w:rsid w:val="00A01442"/>
    <w:rsid w:val="00A0158D"/>
    <w:rsid w:val="00A015E7"/>
    <w:rsid w:val="00A01915"/>
    <w:rsid w:val="00A01A40"/>
    <w:rsid w:val="00A01B3F"/>
    <w:rsid w:val="00A01BB7"/>
    <w:rsid w:val="00A01D95"/>
    <w:rsid w:val="00A01DC7"/>
    <w:rsid w:val="00A02083"/>
    <w:rsid w:val="00A021D4"/>
    <w:rsid w:val="00A02242"/>
    <w:rsid w:val="00A02396"/>
    <w:rsid w:val="00A02597"/>
    <w:rsid w:val="00A026FA"/>
    <w:rsid w:val="00A02777"/>
    <w:rsid w:val="00A02A2E"/>
    <w:rsid w:val="00A02A48"/>
    <w:rsid w:val="00A02B48"/>
    <w:rsid w:val="00A02B52"/>
    <w:rsid w:val="00A02CA1"/>
    <w:rsid w:val="00A02D13"/>
    <w:rsid w:val="00A02EF5"/>
    <w:rsid w:val="00A02F86"/>
    <w:rsid w:val="00A0305F"/>
    <w:rsid w:val="00A03628"/>
    <w:rsid w:val="00A036A7"/>
    <w:rsid w:val="00A03777"/>
    <w:rsid w:val="00A03A5F"/>
    <w:rsid w:val="00A03AA1"/>
    <w:rsid w:val="00A03B34"/>
    <w:rsid w:val="00A03E8C"/>
    <w:rsid w:val="00A03EF1"/>
    <w:rsid w:val="00A03F51"/>
    <w:rsid w:val="00A04277"/>
    <w:rsid w:val="00A044B3"/>
    <w:rsid w:val="00A0450F"/>
    <w:rsid w:val="00A046C3"/>
    <w:rsid w:val="00A046DC"/>
    <w:rsid w:val="00A04B03"/>
    <w:rsid w:val="00A04F0A"/>
    <w:rsid w:val="00A04FD5"/>
    <w:rsid w:val="00A05055"/>
    <w:rsid w:val="00A05289"/>
    <w:rsid w:val="00A0545B"/>
    <w:rsid w:val="00A054B7"/>
    <w:rsid w:val="00A0585D"/>
    <w:rsid w:val="00A05B05"/>
    <w:rsid w:val="00A05B54"/>
    <w:rsid w:val="00A05C0A"/>
    <w:rsid w:val="00A05C25"/>
    <w:rsid w:val="00A05EF4"/>
    <w:rsid w:val="00A05FD4"/>
    <w:rsid w:val="00A0605D"/>
    <w:rsid w:val="00A0609A"/>
    <w:rsid w:val="00A06103"/>
    <w:rsid w:val="00A06567"/>
    <w:rsid w:val="00A067DF"/>
    <w:rsid w:val="00A069E9"/>
    <w:rsid w:val="00A06C64"/>
    <w:rsid w:val="00A06CBB"/>
    <w:rsid w:val="00A06E8C"/>
    <w:rsid w:val="00A06EA2"/>
    <w:rsid w:val="00A06EF9"/>
    <w:rsid w:val="00A07060"/>
    <w:rsid w:val="00A07149"/>
    <w:rsid w:val="00A07174"/>
    <w:rsid w:val="00A0732D"/>
    <w:rsid w:val="00A07448"/>
    <w:rsid w:val="00A075E3"/>
    <w:rsid w:val="00A07719"/>
    <w:rsid w:val="00A077A4"/>
    <w:rsid w:val="00A07A8A"/>
    <w:rsid w:val="00A07BA0"/>
    <w:rsid w:val="00A07DDE"/>
    <w:rsid w:val="00A1044B"/>
    <w:rsid w:val="00A1073D"/>
    <w:rsid w:val="00A10950"/>
    <w:rsid w:val="00A10B20"/>
    <w:rsid w:val="00A10E24"/>
    <w:rsid w:val="00A10E47"/>
    <w:rsid w:val="00A11052"/>
    <w:rsid w:val="00A110E7"/>
    <w:rsid w:val="00A11189"/>
    <w:rsid w:val="00A1126B"/>
    <w:rsid w:val="00A11563"/>
    <w:rsid w:val="00A11664"/>
    <w:rsid w:val="00A1194A"/>
    <w:rsid w:val="00A11BC9"/>
    <w:rsid w:val="00A1227E"/>
    <w:rsid w:val="00A126A7"/>
    <w:rsid w:val="00A12779"/>
    <w:rsid w:val="00A127A9"/>
    <w:rsid w:val="00A12A9D"/>
    <w:rsid w:val="00A12B24"/>
    <w:rsid w:val="00A12B40"/>
    <w:rsid w:val="00A12C27"/>
    <w:rsid w:val="00A12C2A"/>
    <w:rsid w:val="00A12DD0"/>
    <w:rsid w:val="00A12E1C"/>
    <w:rsid w:val="00A12E3E"/>
    <w:rsid w:val="00A12E6C"/>
    <w:rsid w:val="00A12F4E"/>
    <w:rsid w:val="00A13131"/>
    <w:rsid w:val="00A13299"/>
    <w:rsid w:val="00A132DF"/>
    <w:rsid w:val="00A1347E"/>
    <w:rsid w:val="00A1350E"/>
    <w:rsid w:val="00A136E5"/>
    <w:rsid w:val="00A13803"/>
    <w:rsid w:val="00A1381E"/>
    <w:rsid w:val="00A139F8"/>
    <w:rsid w:val="00A13A35"/>
    <w:rsid w:val="00A13A8E"/>
    <w:rsid w:val="00A13B25"/>
    <w:rsid w:val="00A13F56"/>
    <w:rsid w:val="00A14049"/>
    <w:rsid w:val="00A14061"/>
    <w:rsid w:val="00A142CC"/>
    <w:rsid w:val="00A142D4"/>
    <w:rsid w:val="00A14360"/>
    <w:rsid w:val="00A143D7"/>
    <w:rsid w:val="00A14546"/>
    <w:rsid w:val="00A14603"/>
    <w:rsid w:val="00A14992"/>
    <w:rsid w:val="00A14AE1"/>
    <w:rsid w:val="00A14BC6"/>
    <w:rsid w:val="00A14E27"/>
    <w:rsid w:val="00A14FA5"/>
    <w:rsid w:val="00A1521F"/>
    <w:rsid w:val="00A152CC"/>
    <w:rsid w:val="00A15709"/>
    <w:rsid w:val="00A15739"/>
    <w:rsid w:val="00A158D0"/>
    <w:rsid w:val="00A1592E"/>
    <w:rsid w:val="00A159EE"/>
    <w:rsid w:val="00A15D5F"/>
    <w:rsid w:val="00A15F20"/>
    <w:rsid w:val="00A160F8"/>
    <w:rsid w:val="00A16185"/>
    <w:rsid w:val="00A16203"/>
    <w:rsid w:val="00A163C6"/>
    <w:rsid w:val="00A168B8"/>
    <w:rsid w:val="00A169A6"/>
    <w:rsid w:val="00A169D4"/>
    <w:rsid w:val="00A16A92"/>
    <w:rsid w:val="00A16B7D"/>
    <w:rsid w:val="00A16BAB"/>
    <w:rsid w:val="00A16C66"/>
    <w:rsid w:val="00A16F08"/>
    <w:rsid w:val="00A170A8"/>
    <w:rsid w:val="00A170AC"/>
    <w:rsid w:val="00A172A0"/>
    <w:rsid w:val="00A1744D"/>
    <w:rsid w:val="00A174A1"/>
    <w:rsid w:val="00A174A5"/>
    <w:rsid w:val="00A176C5"/>
    <w:rsid w:val="00A179B7"/>
    <w:rsid w:val="00A179FC"/>
    <w:rsid w:val="00A17A05"/>
    <w:rsid w:val="00A17A8D"/>
    <w:rsid w:val="00A17BAD"/>
    <w:rsid w:val="00A200A0"/>
    <w:rsid w:val="00A20162"/>
    <w:rsid w:val="00A2066E"/>
    <w:rsid w:val="00A207E9"/>
    <w:rsid w:val="00A20861"/>
    <w:rsid w:val="00A209F5"/>
    <w:rsid w:val="00A20CB3"/>
    <w:rsid w:val="00A20DF4"/>
    <w:rsid w:val="00A20F4A"/>
    <w:rsid w:val="00A20F58"/>
    <w:rsid w:val="00A21188"/>
    <w:rsid w:val="00A21244"/>
    <w:rsid w:val="00A216C3"/>
    <w:rsid w:val="00A218B0"/>
    <w:rsid w:val="00A218F6"/>
    <w:rsid w:val="00A219B8"/>
    <w:rsid w:val="00A21B4D"/>
    <w:rsid w:val="00A21F3A"/>
    <w:rsid w:val="00A21FFC"/>
    <w:rsid w:val="00A220E8"/>
    <w:rsid w:val="00A2250B"/>
    <w:rsid w:val="00A2289E"/>
    <w:rsid w:val="00A22962"/>
    <w:rsid w:val="00A22DCB"/>
    <w:rsid w:val="00A22DE1"/>
    <w:rsid w:val="00A232BB"/>
    <w:rsid w:val="00A23348"/>
    <w:rsid w:val="00A2341B"/>
    <w:rsid w:val="00A23908"/>
    <w:rsid w:val="00A23A07"/>
    <w:rsid w:val="00A23A93"/>
    <w:rsid w:val="00A23BDF"/>
    <w:rsid w:val="00A23C48"/>
    <w:rsid w:val="00A23F9B"/>
    <w:rsid w:val="00A23FBA"/>
    <w:rsid w:val="00A241D5"/>
    <w:rsid w:val="00A24348"/>
    <w:rsid w:val="00A2442A"/>
    <w:rsid w:val="00A24710"/>
    <w:rsid w:val="00A248A2"/>
    <w:rsid w:val="00A24AB7"/>
    <w:rsid w:val="00A24ECD"/>
    <w:rsid w:val="00A25092"/>
    <w:rsid w:val="00A25105"/>
    <w:rsid w:val="00A2517A"/>
    <w:rsid w:val="00A251D1"/>
    <w:rsid w:val="00A2533D"/>
    <w:rsid w:val="00A254ED"/>
    <w:rsid w:val="00A25565"/>
    <w:rsid w:val="00A259C3"/>
    <w:rsid w:val="00A26069"/>
    <w:rsid w:val="00A2611A"/>
    <w:rsid w:val="00A263AC"/>
    <w:rsid w:val="00A26465"/>
    <w:rsid w:val="00A26510"/>
    <w:rsid w:val="00A2652F"/>
    <w:rsid w:val="00A26584"/>
    <w:rsid w:val="00A26BF1"/>
    <w:rsid w:val="00A26C85"/>
    <w:rsid w:val="00A26D30"/>
    <w:rsid w:val="00A2706E"/>
    <w:rsid w:val="00A270DF"/>
    <w:rsid w:val="00A271A7"/>
    <w:rsid w:val="00A27647"/>
    <w:rsid w:val="00A276A8"/>
    <w:rsid w:val="00A2779B"/>
    <w:rsid w:val="00A27800"/>
    <w:rsid w:val="00A278BE"/>
    <w:rsid w:val="00A278C6"/>
    <w:rsid w:val="00A27973"/>
    <w:rsid w:val="00A27A4B"/>
    <w:rsid w:val="00A27C78"/>
    <w:rsid w:val="00A27D10"/>
    <w:rsid w:val="00A27D29"/>
    <w:rsid w:val="00A27E97"/>
    <w:rsid w:val="00A27F63"/>
    <w:rsid w:val="00A27FA5"/>
    <w:rsid w:val="00A30022"/>
    <w:rsid w:val="00A302BA"/>
    <w:rsid w:val="00A3033B"/>
    <w:rsid w:val="00A308CE"/>
    <w:rsid w:val="00A30B5C"/>
    <w:rsid w:val="00A30E0E"/>
    <w:rsid w:val="00A30FD9"/>
    <w:rsid w:val="00A310CF"/>
    <w:rsid w:val="00A312F3"/>
    <w:rsid w:val="00A31366"/>
    <w:rsid w:val="00A313F0"/>
    <w:rsid w:val="00A315F0"/>
    <w:rsid w:val="00A31655"/>
    <w:rsid w:val="00A3186A"/>
    <w:rsid w:val="00A318C0"/>
    <w:rsid w:val="00A31A65"/>
    <w:rsid w:val="00A31C62"/>
    <w:rsid w:val="00A31E01"/>
    <w:rsid w:val="00A322A4"/>
    <w:rsid w:val="00A32704"/>
    <w:rsid w:val="00A32DE4"/>
    <w:rsid w:val="00A32DED"/>
    <w:rsid w:val="00A33082"/>
    <w:rsid w:val="00A330E1"/>
    <w:rsid w:val="00A331DA"/>
    <w:rsid w:val="00A3329D"/>
    <w:rsid w:val="00A3375B"/>
    <w:rsid w:val="00A337D0"/>
    <w:rsid w:val="00A33875"/>
    <w:rsid w:val="00A33966"/>
    <w:rsid w:val="00A339AA"/>
    <w:rsid w:val="00A33A57"/>
    <w:rsid w:val="00A33A87"/>
    <w:rsid w:val="00A33BC1"/>
    <w:rsid w:val="00A33BC5"/>
    <w:rsid w:val="00A33C42"/>
    <w:rsid w:val="00A33FEA"/>
    <w:rsid w:val="00A343A9"/>
    <w:rsid w:val="00A34698"/>
    <w:rsid w:val="00A346E2"/>
    <w:rsid w:val="00A3486B"/>
    <w:rsid w:val="00A34978"/>
    <w:rsid w:val="00A34CC8"/>
    <w:rsid w:val="00A34E62"/>
    <w:rsid w:val="00A34E71"/>
    <w:rsid w:val="00A35013"/>
    <w:rsid w:val="00A350E1"/>
    <w:rsid w:val="00A35109"/>
    <w:rsid w:val="00A353C2"/>
    <w:rsid w:val="00A35427"/>
    <w:rsid w:val="00A35458"/>
    <w:rsid w:val="00A3559E"/>
    <w:rsid w:val="00A355E6"/>
    <w:rsid w:val="00A357F8"/>
    <w:rsid w:val="00A3584D"/>
    <w:rsid w:val="00A35ED4"/>
    <w:rsid w:val="00A36127"/>
    <w:rsid w:val="00A36128"/>
    <w:rsid w:val="00A362EF"/>
    <w:rsid w:val="00A3639A"/>
    <w:rsid w:val="00A363E6"/>
    <w:rsid w:val="00A365E5"/>
    <w:rsid w:val="00A369FC"/>
    <w:rsid w:val="00A36DA8"/>
    <w:rsid w:val="00A36F16"/>
    <w:rsid w:val="00A37203"/>
    <w:rsid w:val="00A37235"/>
    <w:rsid w:val="00A37379"/>
    <w:rsid w:val="00A373A9"/>
    <w:rsid w:val="00A375AF"/>
    <w:rsid w:val="00A37651"/>
    <w:rsid w:val="00A376D1"/>
    <w:rsid w:val="00A37733"/>
    <w:rsid w:val="00A37852"/>
    <w:rsid w:val="00A3793D"/>
    <w:rsid w:val="00A37999"/>
    <w:rsid w:val="00A37ABA"/>
    <w:rsid w:val="00A37D30"/>
    <w:rsid w:val="00A37E70"/>
    <w:rsid w:val="00A37EEC"/>
    <w:rsid w:val="00A40002"/>
    <w:rsid w:val="00A40248"/>
    <w:rsid w:val="00A403B6"/>
    <w:rsid w:val="00A40538"/>
    <w:rsid w:val="00A40724"/>
    <w:rsid w:val="00A407D3"/>
    <w:rsid w:val="00A40851"/>
    <w:rsid w:val="00A40967"/>
    <w:rsid w:val="00A40D36"/>
    <w:rsid w:val="00A40E14"/>
    <w:rsid w:val="00A4109E"/>
    <w:rsid w:val="00A411CF"/>
    <w:rsid w:val="00A4135B"/>
    <w:rsid w:val="00A41592"/>
    <w:rsid w:val="00A415D1"/>
    <w:rsid w:val="00A41617"/>
    <w:rsid w:val="00A41794"/>
    <w:rsid w:val="00A417CD"/>
    <w:rsid w:val="00A41828"/>
    <w:rsid w:val="00A41AB2"/>
    <w:rsid w:val="00A41C14"/>
    <w:rsid w:val="00A41D0B"/>
    <w:rsid w:val="00A41D82"/>
    <w:rsid w:val="00A41DB6"/>
    <w:rsid w:val="00A41DB7"/>
    <w:rsid w:val="00A41FB1"/>
    <w:rsid w:val="00A42021"/>
    <w:rsid w:val="00A422A0"/>
    <w:rsid w:val="00A4231B"/>
    <w:rsid w:val="00A424A7"/>
    <w:rsid w:val="00A42673"/>
    <w:rsid w:val="00A42998"/>
    <w:rsid w:val="00A429EF"/>
    <w:rsid w:val="00A429F3"/>
    <w:rsid w:val="00A42D6F"/>
    <w:rsid w:val="00A42EE5"/>
    <w:rsid w:val="00A4313C"/>
    <w:rsid w:val="00A432AB"/>
    <w:rsid w:val="00A433AF"/>
    <w:rsid w:val="00A433B7"/>
    <w:rsid w:val="00A433B8"/>
    <w:rsid w:val="00A43444"/>
    <w:rsid w:val="00A434A0"/>
    <w:rsid w:val="00A43918"/>
    <w:rsid w:val="00A43926"/>
    <w:rsid w:val="00A43978"/>
    <w:rsid w:val="00A43D78"/>
    <w:rsid w:val="00A43E40"/>
    <w:rsid w:val="00A440B6"/>
    <w:rsid w:val="00A442C3"/>
    <w:rsid w:val="00A443A6"/>
    <w:rsid w:val="00A44650"/>
    <w:rsid w:val="00A4472E"/>
    <w:rsid w:val="00A44762"/>
    <w:rsid w:val="00A447AC"/>
    <w:rsid w:val="00A4488D"/>
    <w:rsid w:val="00A44A78"/>
    <w:rsid w:val="00A44B49"/>
    <w:rsid w:val="00A44B62"/>
    <w:rsid w:val="00A44B79"/>
    <w:rsid w:val="00A45133"/>
    <w:rsid w:val="00A45242"/>
    <w:rsid w:val="00A4535C"/>
    <w:rsid w:val="00A4541B"/>
    <w:rsid w:val="00A454EB"/>
    <w:rsid w:val="00A456BE"/>
    <w:rsid w:val="00A4571F"/>
    <w:rsid w:val="00A45780"/>
    <w:rsid w:val="00A457C8"/>
    <w:rsid w:val="00A458C7"/>
    <w:rsid w:val="00A45A4F"/>
    <w:rsid w:val="00A45AF9"/>
    <w:rsid w:val="00A45C14"/>
    <w:rsid w:val="00A460C1"/>
    <w:rsid w:val="00A46226"/>
    <w:rsid w:val="00A46341"/>
    <w:rsid w:val="00A46588"/>
    <w:rsid w:val="00A4665C"/>
    <w:rsid w:val="00A468A5"/>
    <w:rsid w:val="00A46AB0"/>
    <w:rsid w:val="00A46AD5"/>
    <w:rsid w:val="00A46D38"/>
    <w:rsid w:val="00A46EEA"/>
    <w:rsid w:val="00A46F67"/>
    <w:rsid w:val="00A47147"/>
    <w:rsid w:val="00A471B9"/>
    <w:rsid w:val="00A472C1"/>
    <w:rsid w:val="00A474F7"/>
    <w:rsid w:val="00A47603"/>
    <w:rsid w:val="00A476B4"/>
    <w:rsid w:val="00A47718"/>
    <w:rsid w:val="00A47914"/>
    <w:rsid w:val="00A479D4"/>
    <w:rsid w:val="00A47FB7"/>
    <w:rsid w:val="00A50122"/>
    <w:rsid w:val="00A5016B"/>
    <w:rsid w:val="00A501C4"/>
    <w:rsid w:val="00A501D1"/>
    <w:rsid w:val="00A502DB"/>
    <w:rsid w:val="00A504DC"/>
    <w:rsid w:val="00A505AC"/>
    <w:rsid w:val="00A505E2"/>
    <w:rsid w:val="00A50BE0"/>
    <w:rsid w:val="00A50F17"/>
    <w:rsid w:val="00A51286"/>
    <w:rsid w:val="00A5131E"/>
    <w:rsid w:val="00A516B5"/>
    <w:rsid w:val="00A516D9"/>
    <w:rsid w:val="00A5171D"/>
    <w:rsid w:val="00A51765"/>
    <w:rsid w:val="00A51784"/>
    <w:rsid w:val="00A5183D"/>
    <w:rsid w:val="00A51CA7"/>
    <w:rsid w:val="00A51EF0"/>
    <w:rsid w:val="00A51F9A"/>
    <w:rsid w:val="00A520F4"/>
    <w:rsid w:val="00A521E2"/>
    <w:rsid w:val="00A5223E"/>
    <w:rsid w:val="00A52355"/>
    <w:rsid w:val="00A52383"/>
    <w:rsid w:val="00A52467"/>
    <w:rsid w:val="00A525A7"/>
    <w:rsid w:val="00A52935"/>
    <w:rsid w:val="00A529C3"/>
    <w:rsid w:val="00A52D0C"/>
    <w:rsid w:val="00A52E8B"/>
    <w:rsid w:val="00A53041"/>
    <w:rsid w:val="00A530EA"/>
    <w:rsid w:val="00A531A8"/>
    <w:rsid w:val="00A53362"/>
    <w:rsid w:val="00A533CE"/>
    <w:rsid w:val="00A537A4"/>
    <w:rsid w:val="00A539B0"/>
    <w:rsid w:val="00A539F3"/>
    <w:rsid w:val="00A53CCC"/>
    <w:rsid w:val="00A53DDA"/>
    <w:rsid w:val="00A53EBD"/>
    <w:rsid w:val="00A5432E"/>
    <w:rsid w:val="00A54620"/>
    <w:rsid w:val="00A5472F"/>
    <w:rsid w:val="00A54752"/>
    <w:rsid w:val="00A54794"/>
    <w:rsid w:val="00A54811"/>
    <w:rsid w:val="00A5486F"/>
    <w:rsid w:val="00A54971"/>
    <w:rsid w:val="00A54B4F"/>
    <w:rsid w:val="00A54D1A"/>
    <w:rsid w:val="00A54EFB"/>
    <w:rsid w:val="00A5502E"/>
    <w:rsid w:val="00A55241"/>
    <w:rsid w:val="00A55288"/>
    <w:rsid w:val="00A55575"/>
    <w:rsid w:val="00A55848"/>
    <w:rsid w:val="00A55852"/>
    <w:rsid w:val="00A558EC"/>
    <w:rsid w:val="00A55A1F"/>
    <w:rsid w:val="00A55A9E"/>
    <w:rsid w:val="00A55BE7"/>
    <w:rsid w:val="00A55D5C"/>
    <w:rsid w:val="00A55DFF"/>
    <w:rsid w:val="00A5601E"/>
    <w:rsid w:val="00A5635D"/>
    <w:rsid w:val="00A563BF"/>
    <w:rsid w:val="00A5644B"/>
    <w:rsid w:val="00A566A5"/>
    <w:rsid w:val="00A5686C"/>
    <w:rsid w:val="00A568D6"/>
    <w:rsid w:val="00A56976"/>
    <w:rsid w:val="00A56A31"/>
    <w:rsid w:val="00A56C09"/>
    <w:rsid w:val="00A56CA5"/>
    <w:rsid w:val="00A56CC8"/>
    <w:rsid w:val="00A56D86"/>
    <w:rsid w:val="00A56FE0"/>
    <w:rsid w:val="00A5708B"/>
    <w:rsid w:val="00A57400"/>
    <w:rsid w:val="00A574D8"/>
    <w:rsid w:val="00A57832"/>
    <w:rsid w:val="00A57835"/>
    <w:rsid w:val="00A57871"/>
    <w:rsid w:val="00A57909"/>
    <w:rsid w:val="00A57951"/>
    <w:rsid w:val="00A57AA1"/>
    <w:rsid w:val="00A57AD7"/>
    <w:rsid w:val="00A57C88"/>
    <w:rsid w:val="00A57E24"/>
    <w:rsid w:val="00A60021"/>
    <w:rsid w:val="00A60328"/>
    <w:rsid w:val="00A60924"/>
    <w:rsid w:val="00A60A31"/>
    <w:rsid w:val="00A60C67"/>
    <w:rsid w:val="00A60E57"/>
    <w:rsid w:val="00A60ECB"/>
    <w:rsid w:val="00A610DF"/>
    <w:rsid w:val="00A61183"/>
    <w:rsid w:val="00A611BF"/>
    <w:rsid w:val="00A613A3"/>
    <w:rsid w:val="00A61463"/>
    <w:rsid w:val="00A61601"/>
    <w:rsid w:val="00A61628"/>
    <w:rsid w:val="00A619CC"/>
    <w:rsid w:val="00A61B95"/>
    <w:rsid w:val="00A61BD0"/>
    <w:rsid w:val="00A61DC1"/>
    <w:rsid w:val="00A61EA2"/>
    <w:rsid w:val="00A61EA8"/>
    <w:rsid w:val="00A620A7"/>
    <w:rsid w:val="00A624BD"/>
    <w:rsid w:val="00A62686"/>
    <w:rsid w:val="00A62820"/>
    <w:rsid w:val="00A6289D"/>
    <w:rsid w:val="00A62BCE"/>
    <w:rsid w:val="00A62BE8"/>
    <w:rsid w:val="00A62EF7"/>
    <w:rsid w:val="00A62F41"/>
    <w:rsid w:val="00A63400"/>
    <w:rsid w:val="00A636E7"/>
    <w:rsid w:val="00A6391F"/>
    <w:rsid w:val="00A63C54"/>
    <w:rsid w:val="00A63C69"/>
    <w:rsid w:val="00A63DC9"/>
    <w:rsid w:val="00A63EE4"/>
    <w:rsid w:val="00A63F60"/>
    <w:rsid w:val="00A64160"/>
    <w:rsid w:val="00A64267"/>
    <w:rsid w:val="00A64649"/>
    <w:rsid w:val="00A6497F"/>
    <w:rsid w:val="00A64B27"/>
    <w:rsid w:val="00A64B5B"/>
    <w:rsid w:val="00A64DF6"/>
    <w:rsid w:val="00A65255"/>
    <w:rsid w:val="00A65450"/>
    <w:rsid w:val="00A655A0"/>
    <w:rsid w:val="00A657E3"/>
    <w:rsid w:val="00A65A1A"/>
    <w:rsid w:val="00A65AC5"/>
    <w:rsid w:val="00A65ED8"/>
    <w:rsid w:val="00A65F64"/>
    <w:rsid w:val="00A66488"/>
    <w:rsid w:val="00A6656C"/>
    <w:rsid w:val="00A6663C"/>
    <w:rsid w:val="00A66C87"/>
    <w:rsid w:val="00A670F4"/>
    <w:rsid w:val="00A67113"/>
    <w:rsid w:val="00A6712E"/>
    <w:rsid w:val="00A672F6"/>
    <w:rsid w:val="00A673E7"/>
    <w:rsid w:val="00A67459"/>
    <w:rsid w:val="00A67472"/>
    <w:rsid w:val="00A674AF"/>
    <w:rsid w:val="00A67507"/>
    <w:rsid w:val="00A6765A"/>
    <w:rsid w:val="00A67693"/>
    <w:rsid w:val="00A67A4D"/>
    <w:rsid w:val="00A67A6F"/>
    <w:rsid w:val="00A67C4A"/>
    <w:rsid w:val="00A67DF7"/>
    <w:rsid w:val="00A67F15"/>
    <w:rsid w:val="00A67FB5"/>
    <w:rsid w:val="00A67FD8"/>
    <w:rsid w:val="00A70085"/>
    <w:rsid w:val="00A700B6"/>
    <w:rsid w:val="00A70205"/>
    <w:rsid w:val="00A70281"/>
    <w:rsid w:val="00A70900"/>
    <w:rsid w:val="00A709C6"/>
    <w:rsid w:val="00A70B48"/>
    <w:rsid w:val="00A70CBF"/>
    <w:rsid w:val="00A70D4A"/>
    <w:rsid w:val="00A70DFF"/>
    <w:rsid w:val="00A70E78"/>
    <w:rsid w:val="00A70F45"/>
    <w:rsid w:val="00A71016"/>
    <w:rsid w:val="00A71135"/>
    <w:rsid w:val="00A71179"/>
    <w:rsid w:val="00A712C0"/>
    <w:rsid w:val="00A71349"/>
    <w:rsid w:val="00A7160B"/>
    <w:rsid w:val="00A716BD"/>
    <w:rsid w:val="00A716ED"/>
    <w:rsid w:val="00A7190E"/>
    <w:rsid w:val="00A71969"/>
    <w:rsid w:val="00A71995"/>
    <w:rsid w:val="00A71A21"/>
    <w:rsid w:val="00A71A86"/>
    <w:rsid w:val="00A71BFB"/>
    <w:rsid w:val="00A71CEA"/>
    <w:rsid w:val="00A7213E"/>
    <w:rsid w:val="00A72268"/>
    <w:rsid w:val="00A723E7"/>
    <w:rsid w:val="00A72812"/>
    <w:rsid w:val="00A7283C"/>
    <w:rsid w:val="00A728B6"/>
    <w:rsid w:val="00A7294F"/>
    <w:rsid w:val="00A72CC5"/>
    <w:rsid w:val="00A72DC6"/>
    <w:rsid w:val="00A72E04"/>
    <w:rsid w:val="00A73280"/>
    <w:rsid w:val="00A7383D"/>
    <w:rsid w:val="00A73889"/>
    <w:rsid w:val="00A73936"/>
    <w:rsid w:val="00A73A43"/>
    <w:rsid w:val="00A73D12"/>
    <w:rsid w:val="00A73D31"/>
    <w:rsid w:val="00A73DD7"/>
    <w:rsid w:val="00A73E2E"/>
    <w:rsid w:val="00A73ED8"/>
    <w:rsid w:val="00A74006"/>
    <w:rsid w:val="00A740A2"/>
    <w:rsid w:val="00A7410F"/>
    <w:rsid w:val="00A744EE"/>
    <w:rsid w:val="00A7516E"/>
    <w:rsid w:val="00A75220"/>
    <w:rsid w:val="00A754D6"/>
    <w:rsid w:val="00A75785"/>
    <w:rsid w:val="00A7588D"/>
    <w:rsid w:val="00A75980"/>
    <w:rsid w:val="00A75B61"/>
    <w:rsid w:val="00A75B9D"/>
    <w:rsid w:val="00A75C52"/>
    <w:rsid w:val="00A75E41"/>
    <w:rsid w:val="00A75E90"/>
    <w:rsid w:val="00A76047"/>
    <w:rsid w:val="00A7638A"/>
    <w:rsid w:val="00A765A3"/>
    <w:rsid w:val="00A765B1"/>
    <w:rsid w:val="00A767EF"/>
    <w:rsid w:val="00A7682D"/>
    <w:rsid w:val="00A76A09"/>
    <w:rsid w:val="00A76AB2"/>
    <w:rsid w:val="00A76C65"/>
    <w:rsid w:val="00A76D0E"/>
    <w:rsid w:val="00A76E27"/>
    <w:rsid w:val="00A7721C"/>
    <w:rsid w:val="00A7750A"/>
    <w:rsid w:val="00A77684"/>
    <w:rsid w:val="00A7771A"/>
    <w:rsid w:val="00A777F9"/>
    <w:rsid w:val="00A77818"/>
    <w:rsid w:val="00A778F8"/>
    <w:rsid w:val="00A7799F"/>
    <w:rsid w:val="00A77A0F"/>
    <w:rsid w:val="00A77A7D"/>
    <w:rsid w:val="00A77B9B"/>
    <w:rsid w:val="00A77EDD"/>
    <w:rsid w:val="00A77F43"/>
    <w:rsid w:val="00A80021"/>
    <w:rsid w:val="00A8003B"/>
    <w:rsid w:val="00A80331"/>
    <w:rsid w:val="00A8035C"/>
    <w:rsid w:val="00A80750"/>
    <w:rsid w:val="00A809D9"/>
    <w:rsid w:val="00A80A0D"/>
    <w:rsid w:val="00A80A44"/>
    <w:rsid w:val="00A80BE6"/>
    <w:rsid w:val="00A80DF4"/>
    <w:rsid w:val="00A80E5F"/>
    <w:rsid w:val="00A80F36"/>
    <w:rsid w:val="00A810BD"/>
    <w:rsid w:val="00A8125D"/>
    <w:rsid w:val="00A8138D"/>
    <w:rsid w:val="00A8155E"/>
    <w:rsid w:val="00A81729"/>
    <w:rsid w:val="00A817AE"/>
    <w:rsid w:val="00A81B94"/>
    <w:rsid w:val="00A81BC9"/>
    <w:rsid w:val="00A822C6"/>
    <w:rsid w:val="00A823D1"/>
    <w:rsid w:val="00A826B5"/>
    <w:rsid w:val="00A827F4"/>
    <w:rsid w:val="00A82811"/>
    <w:rsid w:val="00A82F41"/>
    <w:rsid w:val="00A8305E"/>
    <w:rsid w:val="00A83194"/>
    <w:rsid w:val="00A8320B"/>
    <w:rsid w:val="00A8328C"/>
    <w:rsid w:val="00A832D0"/>
    <w:rsid w:val="00A83782"/>
    <w:rsid w:val="00A837D2"/>
    <w:rsid w:val="00A83D8D"/>
    <w:rsid w:val="00A83E2C"/>
    <w:rsid w:val="00A8404A"/>
    <w:rsid w:val="00A84328"/>
    <w:rsid w:val="00A84502"/>
    <w:rsid w:val="00A848A6"/>
    <w:rsid w:val="00A84ADD"/>
    <w:rsid w:val="00A84C1A"/>
    <w:rsid w:val="00A84C25"/>
    <w:rsid w:val="00A84DEC"/>
    <w:rsid w:val="00A84F3F"/>
    <w:rsid w:val="00A84FE7"/>
    <w:rsid w:val="00A8540F"/>
    <w:rsid w:val="00A85653"/>
    <w:rsid w:val="00A85696"/>
    <w:rsid w:val="00A8570A"/>
    <w:rsid w:val="00A85B10"/>
    <w:rsid w:val="00A85E1A"/>
    <w:rsid w:val="00A860EC"/>
    <w:rsid w:val="00A862ED"/>
    <w:rsid w:val="00A86424"/>
    <w:rsid w:val="00A8663F"/>
    <w:rsid w:val="00A867BB"/>
    <w:rsid w:val="00A869DC"/>
    <w:rsid w:val="00A86C1F"/>
    <w:rsid w:val="00A86ED5"/>
    <w:rsid w:val="00A86F7B"/>
    <w:rsid w:val="00A86FE6"/>
    <w:rsid w:val="00A87040"/>
    <w:rsid w:val="00A870EE"/>
    <w:rsid w:val="00A87169"/>
    <w:rsid w:val="00A871BD"/>
    <w:rsid w:val="00A87221"/>
    <w:rsid w:val="00A8733B"/>
    <w:rsid w:val="00A877A6"/>
    <w:rsid w:val="00A87882"/>
    <w:rsid w:val="00A87B0A"/>
    <w:rsid w:val="00A87CFA"/>
    <w:rsid w:val="00A87F22"/>
    <w:rsid w:val="00A90480"/>
    <w:rsid w:val="00A90561"/>
    <w:rsid w:val="00A90621"/>
    <w:rsid w:val="00A9070D"/>
    <w:rsid w:val="00A90790"/>
    <w:rsid w:val="00A907D9"/>
    <w:rsid w:val="00A90800"/>
    <w:rsid w:val="00A9095F"/>
    <w:rsid w:val="00A909A9"/>
    <w:rsid w:val="00A90AAB"/>
    <w:rsid w:val="00A90AF5"/>
    <w:rsid w:val="00A90BE2"/>
    <w:rsid w:val="00A90CB5"/>
    <w:rsid w:val="00A90CCD"/>
    <w:rsid w:val="00A90DE0"/>
    <w:rsid w:val="00A90EB8"/>
    <w:rsid w:val="00A90EC4"/>
    <w:rsid w:val="00A90FB4"/>
    <w:rsid w:val="00A9102A"/>
    <w:rsid w:val="00A910BE"/>
    <w:rsid w:val="00A91381"/>
    <w:rsid w:val="00A916A6"/>
    <w:rsid w:val="00A9193B"/>
    <w:rsid w:val="00A91BC0"/>
    <w:rsid w:val="00A91C5E"/>
    <w:rsid w:val="00A91D23"/>
    <w:rsid w:val="00A92174"/>
    <w:rsid w:val="00A92381"/>
    <w:rsid w:val="00A92440"/>
    <w:rsid w:val="00A92472"/>
    <w:rsid w:val="00A924EA"/>
    <w:rsid w:val="00A926B6"/>
    <w:rsid w:val="00A9273D"/>
    <w:rsid w:val="00A92AFF"/>
    <w:rsid w:val="00A92B34"/>
    <w:rsid w:val="00A92BD5"/>
    <w:rsid w:val="00A92E46"/>
    <w:rsid w:val="00A92F8D"/>
    <w:rsid w:val="00A92FA2"/>
    <w:rsid w:val="00A931BA"/>
    <w:rsid w:val="00A93251"/>
    <w:rsid w:val="00A9331A"/>
    <w:rsid w:val="00A934A1"/>
    <w:rsid w:val="00A93677"/>
    <w:rsid w:val="00A9375F"/>
    <w:rsid w:val="00A937DF"/>
    <w:rsid w:val="00A938F7"/>
    <w:rsid w:val="00A93A79"/>
    <w:rsid w:val="00A93C54"/>
    <w:rsid w:val="00A93E5D"/>
    <w:rsid w:val="00A940D5"/>
    <w:rsid w:val="00A941E4"/>
    <w:rsid w:val="00A943C8"/>
    <w:rsid w:val="00A94441"/>
    <w:rsid w:val="00A9444E"/>
    <w:rsid w:val="00A947D3"/>
    <w:rsid w:val="00A9497C"/>
    <w:rsid w:val="00A949F1"/>
    <w:rsid w:val="00A94B4A"/>
    <w:rsid w:val="00A94B6E"/>
    <w:rsid w:val="00A94BB0"/>
    <w:rsid w:val="00A94BE8"/>
    <w:rsid w:val="00A94EFA"/>
    <w:rsid w:val="00A95217"/>
    <w:rsid w:val="00A952CF"/>
    <w:rsid w:val="00A95577"/>
    <w:rsid w:val="00A9564E"/>
    <w:rsid w:val="00A9568B"/>
    <w:rsid w:val="00A95928"/>
    <w:rsid w:val="00A95E50"/>
    <w:rsid w:val="00A95E75"/>
    <w:rsid w:val="00A95ED4"/>
    <w:rsid w:val="00A9616D"/>
    <w:rsid w:val="00A96277"/>
    <w:rsid w:val="00A96447"/>
    <w:rsid w:val="00A964C4"/>
    <w:rsid w:val="00A967CB"/>
    <w:rsid w:val="00A96839"/>
    <w:rsid w:val="00A96A69"/>
    <w:rsid w:val="00A96BD2"/>
    <w:rsid w:val="00A96C37"/>
    <w:rsid w:val="00A97040"/>
    <w:rsid w:val="00A97166"/>
    <w:rsid w:val="00A97167"/>
    <w:rsid w:val="00A973E7"/>
    <w:rsid w:val="00A9759C"/>
    <w:rsid w:val="00A97644"/>
    <w:rsid w:val="00A978D9"/>
    <w:rsid w:val="00A979C5"/>
    <w:rsid w:val="00A97AE9"/>
    <w:rsid w:val="00A97B0F"/>
    <w:rsid w:val="00A97DA5"/>
    <w:rsid w:val="00A97E21"/>
    <w:rsid w:val="00A97FDB"/>
    <w:rsid w:val="00A97FFA"/>
    <w:rsid w:val="00AA0345"/>
    <w:rsid w:val="00AA06C4"/>
    <w:rsid w:val="00AA06C9"/>
    <w:rsid w:val="00AA06D7"/>
    <w:rsid w:val="00AA0906"/>
    <w:rsid w:val="00AA0A4D"/>
    <w:rsid w:val="00AA0AF8"/>
    <w:rsid w:val="00AA0B2B"/>
    <w:rsid w:val="00AA0D80"/>
    <w:rsid w:val="00AA0D9E"/>
    <w:rsid w:val="00AA0E2B"/>
    <w:rsid w:val="00AA107F"/>
    <w:rsid w:val="00AA122E"/>
    <w:rsid w:val="00AA1420"/>
    <w:rsid w:val="00AA15C8"/>
    <w:rsid w:val="00AA168E"/>
    <w:rsid w:val="00AA16BB"/>
    <w:rsid w:val="00AA174E"/>
    <w:rsid w:val="00AA1BE8"/>
    <w:rsid w:val="00AA1C43"/>
    <w:rsid w:val="00AA1D95"/>
    <w:rsid w:val="00AA20C0"/>
    <w:rsid w:val="00AA20C1"/>
    <w:rsid w:val="00AA20F7"/>
    <w:rsid w:val="00AA23D5"/>
    <w:rsid w:val="00AA24E2"/>
    <w:rsid w:val="00AA2565"/>
    <w:rsid w:val="00AA2896"/>
    <w:rsid w:val="00AA2DFB"/>
    <w:rsid w:val="00AA2E34"/>
    <w:rsid w:val="00AA2F66"/>
    <w:rsid w:val="00AA30B8"/>
    <w:rsid w:val="00AA30D0"/>
    <w:rsid w:val="00AA3475"/>
    <w:rsid w:val="00AA370D"/>
    <w:rsid w:val="00AA396E"/>
    <w:rsid w:val="00AA3A3A"/>
    <w:rsid w:val="00AA3A5F"/>
    <w:rsid w:val="00AA3BAF"/>
    <w:rsid w:val="00AA3C24"/>
    <w:rsid w:val="00AA3CC0"/>
    <w:rsid w:val="00AA3E0D"/>
    <w:rsid w:val="00AA3F19"/>
    <w:rsid w:val="00AA3F78"/>
    <w:rsid w:val="00AA3FD8"/>
    <w:rsid w:val="00AA42F4"/>
    <w:rsid w:val="00AA443B"/>
    <w:rsid w:val="00AA47D1"/>
    <w:rsid w:val="00AA4D5F"/>
    <w:rsid w:val="00AA4EA3"/>
    <w:rsid w:val="00AA51D5"/>
    <w:rsid w:val="00AA520F"/>
    <w:rsid w:val="00AA52DA"/>
    <w:rsid w:val="00AA55F0"/>
    <w:rsid w:val="00AA5602"/>
    <w:rsid w:val="00AA5606"/>
    <w:rsid w:val="00AA5B60"/>
    <w:rsid w:val="00AA5E70"/>
    <w:rsid w:val="00AA6052"/>
    <w:rsid w:val="00AA60B3"/>
    <w:rsid w:val="00AA62A5"/>
    <w:rsid w:val="00AA63D9"/>
    <w:rsid w:val="00AA650A"/>
    <w:rsid w:val="00AA653A"/>
    <w:rsid w:val="00AA6639"/>
    <w:rsid w:val="00AA68D4"/>
    <w:rsid w:val="00AA68F5"/>
    <w:rsid w:val="00AA6A27"/>
    <w:rsid w:val="00AA6AAF"/>
    <w:rsid w:val="00AA6ABC"/>
    <w:rsid w:val="00AA6CC7"/>
    <w:rsid w:val="00AA6D14"/>
    <w:rsid w:val="00AA703A"/>
    <w:rsid w:val="00AA71AE"/>
    <w:rsid w:val="00AA7269"/>
    <w:rsid w:val="00AA72AE"/>
    <w:rsid w:val="00AA7301"/>
    <w:rsid w:val="00AA75D4"/>
    <w:rsid w:val="00AA772B"/>
    <w:rsid w:val="00AA788D"/>
    <w:rsid w:val="00AA791B"/>
    <w:rsid w:val="00AA79B3"/>
    <w:rsid w:val="00AA7B69"/>
    <w:rsid w:val="00AA7BD9"/>
    <w:rsid w:val="00AA7C5A"/>
    <w:rsid w:val="00AA7E1F"/>
    <w:rsid w:val="00AA7F1A"/>
    <w:rsid w:val="00AB0168"/>
    <w:rsid w:val="00AB031F"/>
    <w:rsid w:val="00AB041E"/>
    <w:rsid w:val="00AB0423"/>
    <w:rsid w:val="00AB048D"/>
    <w:rsid w:val="00AB05B0"/>
    <w:rsid w:val="00AB0630"/>
    <w:rsid w:val="00AB06EB"/>
    <w:rsid w:val="00AB08E7"/>
    <w:rsid w:val="00AB0AA7"/>
    <w:rsid w:val="00AB0D96"/>
    <w:rsid w:val="00AB0F26"/>
    <w:rsid w:val="00AB0FB3"/>
    <w:rsid w:val="00AB10B5"/>
    <w:rsid w:val="00AB12CD"/>
    <w:rsid w:val="00AB131A"/>
    <w:rsid w:val="00AB13FC"/>
    <w:rsid w:val="00AB1411"/>
    <w:rsid w:val="00AB15AC"/>
    <w:rsid w:val="00AB15CC"/>
    <w:rsid w:val="00AB1A58"/>
    <w:rsid w:val="00AB1AB0"/>
    <w:rsid w:val="00AB1C19"/>
    <w:rsid w:val="00AB1DB8"/>
    <w:rsid w:val="00AB203B"/>
    <w:rsid w:val="00AB2242"/>
    <w:rsid w:val="00AB2506"/>
    <w:rsid w:val="00AB2536"/>
    <w:rsid w:val="00AB253E"/>
    <w:rsid w:val="00AB2574"/>
    <w:rsid w:val="00AB26C9"/>
    <w:rsid w:val="00AB2762"/>
    <w:rsid w:val="00AB28A1"/>
    <w:rsid w:val="00AB2A7D"/>
    <w:rsid w:val="00AB2BC5"/>
    <w:rsid w:val="00AB2BFB"/>
    <w:rsid w:val="00AB2D3F"/>
    <w:rsid w:val="00AB2E5B"/>
    <w:rsid w:val="00AB2EC3"/>
    <w:rsid w:val="00AB334F"/>
    <w:rsid w:val="00AB3615"/>
    <w:rsid w:val="00AB3633"/>
    <w:rsid w:val="00AB365B"/>
    <w:rsid w:val="00AB36A8"/>
    <w:rsid w:val="00AB37DB"/>
    <w:rsid w:val="00AB385D"/>
    <w:rsid w:val="00AB3A5B"/>
    <w:rsid w:val="00AB3B44"/>
    <w:rsid w:val="00AB3B74"/>
    <w:rsid w:val="00AB3B8D"/>
    <w:rsid w:val="00AB3DB1"/>
    <w:rsid w:val="00AB3E10"/>
    <w:rsid w:val="00AB3E97"/>
    <w:rsid w:val="00AB3EC1"/>
    <w:rsid w:val="00AB3FF8"/>
    <w:rsid w:val="00AB41D6"/>
    <w:rsid w:val="00AB450D"/>
    <w:rsid w:val="00AB46A0"/>
    <w:rsid w:val="00AB4738"/>
    <w:rsid w:val="00AB48AF"/>
    <w:rsid w:val="00AB4CE2"/>
    <w:rsid w:val="00AB4DB4"/>
    <w:rsid w:val="00AB5005"/>
    <w:rsid w:val="00AB54C5"/>
    <w:rsid w:val="00AB56DE"/>
    <w:rsid w:val="00AB5896"/>
    <w:rsid w:val="00AB5915"/>
    <w:rsid w:val="00AB59DB"/>
    <w:rsid w:val="00AB621F"/>
    <w:rsid w:val="00AB65BC"/>
    <w:rsid w:val="00AB6688"/>
    <w:rsid w:val="00AB66A4"/>
    <w:rsid w:val="00AB66C3"/>
    <w:rsid w:val="00AB69C5"/>
    <w:rsid w:val="00AB69CC"/>
    <w:rsid w:val="00AB6A39"/>
    <w:rsid w:val="00AB6A86"/>
    <w:rsid w:val="00AB6BB1"/>
    <w:rsid w:val="00AB6C8F"/>
    <w:rsid w:val="00AB6DAE"/>
    <w:rsid w:val="00AB6DD1"/>
    <w:rsid w:val="00AB6F97"/>
    <w:rsid w:val="00AB722B"/>
    <w:rsid w:val="00AB72AB"/>
    <w:rsid w:val="00AB7538"/>
    <w:rsid w:val="00AB75ED"/>
    <w:rsid w:val="00AB79DD"/>
    <w:rsid w:val="00AB79E6"/>
    <w:rsid w:val="00AB7A0D"/>
    <w:rsid w:val="00AB7DF3"/>
    <w:rsid w:val="00AC02AB"/>
    <w:rsid w:val="00AC0677"/>
    <w:rsid w:val="00AC06EE"/>
    <w:rsid w:val="00AC0799"/>
    <w:rsid w:val="00AC0C66"/>
    <w:rsid w:val="00AC0E7A"/>
    <w:rsid w:val="00AC0EBF"/>
    <w:rsid w:val="00AC11C0"/>
    <w:rsid w:val="00AC13DA"/>
    <w:rsid w:val="00AC14A6"/>
    <w:rsid w:val="00AC1567"/>
    <w:rsid w:val="00AC1697"/>
    <w:rsid w:val="00AC16CF"/>
    <w:rsid w:val="00AC178B"/>
    <w:rsid w:val="00AC1B2B"/>
    <w:rsid w:val="00AC1C95"/>
    <w:rsid w:val="00AC1D3F"/>
    <w:rsid w:val="00AC1DF6"/>
    <w:rsid w:val="00AC1E8E"/>
    <w:rsid w:val="00AC1EDD"/>
    <w:rsid w:val="00AC1F56"/>
    <w:rsid w:val="00AC2323"/>
    <w:rsid w:val="00AC24A3"/>
    <w:rsid w:val="00AC253A"/>
    <w:rsid w:val="00AC2925"/>
    <w:rsid w:val="00AC2927"/>
    <w:rsid w:val="00AC2ABE"/>
    <w:rsid w:val="00AC2C95"/>
    <w:rsid w:val="00AC2D2B"/>
    <w:rsid w:val="00AC2D73"/>
    <w:rsid w:val="00AC2E2D"/>
    <w:rsid w:val="00AC2E5C"/>
    <w:rsid w:val="00AC2EBD"/>
    <w:rsid w:val="00AC3141"/>
    <w:rsid w:val="00AC32CA"/>
    <w:rsid w:val="00AC3346"/>
    <w:rsid w:val="00AC3665"/>
    <w:rsid w:val="00AC3724"/>
    <w:rsid w:val="00AC38A1"/>
    <w:rsid w:val="00AC436C"/>
    <w:rsid w:val="00AC436E"/>
    <w:rsid w:val="00AC436F"/>
    <w:rsid w:val="00AC440B"/>
    <w:rsid w:val="00AC446D"/>
    <w:rsid w:val="00AC44A8"/>
    <w:rsid w:val="00AC44E7"/>
    <w:rsid w:val="00AC469A"/>
    <w:rsid w:val="00AC4814"/>
    <w:rsid w:val="00AC481B"/>
    <w:rsid w:val="00AC494B"/>
    <w:rsid w:val="00AC4BAE"/>
    <w:rsid w:val="00AC4BE9"/>
    <w:rsid w:val="00AC4CCC"/>
    <w:rsid w:val="00AC5006"/>
    <w:rsid w:val="00AC567E"/>
    <w:rsid w:val="00AC5A71"/>
    <w:rsid w:val="00AC5B00"/>
    <w:rsid w:val="00AC5E16"/>
    <w:rsid w:val="00AC5E57"/>
    <w:rsid w:val="00AC5F24"/>
    <w:rsid w:val="00AC6119"/>
    <w:rsid w:val="00AC61D7"/>
    <w:rsid w:val="00AC6448"/>
    <w:rsid w:val="00AC6581"/>
    <w:rsid w:val="00AC65AD"/>
    <w:rsid w:val="00AC6944"/>
    <w:rsid w:val="00AC6A4D"/>
    <w:rsid w:val="00AC6B43"/>
    <w:rsid w:val="00AC6CAD"/>
    <w:rsid w:val="00AC6DD2"/>
    <w:rsid w:val="00AC6E7D"/>
    <w:rsid w:val="00AC6FA6"/>
    <w:rsid w:val="00AC72CE"/>
    <w:rsid w:val="00AC7301"/>
    <w:rsid w:val="00AC7321"/>
    <w:rsid w:val="00AC7391"/>
    <w:rsid w:val="00AC76B1"/>
    <w:rsid w:val="00AC7915"/>
    <w:rsid w:val="00AC79E4"/>
    <w:rsid w:val="00AC7A5D"/>
    <w:rsid w:val="00AC7BC6"/>
    <w:rsid w:val="00AC7BEA"/>
    <w:rsid w:val="00AC7DB4"/>
    <w:rsid w:val="00AD0499"/>
    <w:rsid w:val="00AD0581"/>
    <w:rsid w:val="00AD0891"/>
    <w:rsid w:val="00AD08B8"/>
    <w:rsid w:val="00AD0918"/>
    <w:rsid w:val="00AD0AEC"/>
    <w:rsid w:val="00AD0B97"/>
    <w:rsid w:val="00AD0E08"/>
    <w:rsid w:val="00AD1264"/>
    <w:rsid w:val="00AD156D"/>
    <w:rsid w:val="00AD1650"/>
    <w:rsid w:val="00AD189D"/>
    <w:rsid w:val="00AD19CE"/>
    <w:rsid w:val="00AD1BC2"/>
    <w:rsid w:val="00AD1C4E"/>
    <w:rsid w:val="00AD1D8A"/>
    <w:rsid w:val="00AD1DD6"/>
    <w:rsid w:val="00AD1DDF"/>
    <w:rsid w:val="00AD2113"/>
    <w:rsid w:val="00AD2272"/>
    <w:rsid w:val="00AD22BF"/>
    <w:rsid w:val="00AD24BB"/>
    <w:rsid w:val="00AD257E"/>
    <w:rsid w:val="00AD2795"/>
    <w:rsid w:val="00AD28FA"/>
    <w:rsid w:val="00AD2B49"/>
    <w:rsid w:val="00AD2C95"/>
    <w:rsid w:val="00AD2E7A"/>
    <w:rsid w:val="00AD2F35"/>
    <w:rsid w:val="00AD2FD3"/>
    <w:rsid w:val="00AD32F3"/>
    <w:rsid w:val="00AD337C"/>
    <w:rsid w:val="00AD36EC"/>
    <w:rsid w:val="00AD38F9"/>
    <w:rsid w:val="00AD3A63"/>
    <w:rsid w:val="00AD3B33"/>
    <w:rsid w:val="00AD3BDD"/>
    <w:rsid w:val="00AD4675"/>
    <w:rsid w:val="00AD4752"/>
    <w:rsid w:val="00AD49BA"/>
    <w:rsid w:val="00AD4A89"/>
    <w:rsid w:val="00AD4D1A"/>
    <w:rsid w:val="00AD4E27"/>
    <w:rsid w:val="00AD4F46"/>
    <w:rsid w:val="00AD5103"/>
    <w:rsid w:val="00AD540C"/>
    <w:rsid w:val="00AD54A5"/>
    <w:rsid w:val="00AD54BE"/>
    <w:rsid w:val="00AD5566"/>
    <w:rsid w:val="00AD56DD"/>
    <w:rsid w:val="00AD5D71"/>
    <w:rsid w:val="00AD60A8"/>
    <w:rsid w:val="00AD64B2"/>
    <w:rsid w:val="00AD6540"/>
    <w:rsid w:val="00AD662F"/>
    <w:rsid w:val="00AD67B5"/>
    <w:rsid w:val="00AD6954"/>
    <w:rsid w:val="00AD705B"/>
    <w:rsid w:val="00AD7140"/>
    <w:rsid w:val="00AD73AA"/>
    <w:rsid w:val="00AD785D"/>
    <w:rsid w:val="00AD787F"/>
    <w:rsid w:val="00AD7C52"/>
    <w:rsid w:val="00AD7E20"/>
    <w:rsid w:val="00AE04CB"/>
    <w:rsid w:val="00AE079D"/>
    <w:rsid w:val="00AE0AE3"/>
    <w:rsid w:val="00AE0CE9"/>
    <w:rsid w:val="00AE0DBC"/>
    <w:rsid w:val="00AE0F71"/>
    <w:rsid w:val="00AE1074"/>
    <w:rsid w:val="00AE1251"/>
    <w:rsid w:val="00AE13AE"/>
    <w:rsid w:val="00AE1584"/>
    <w:rsid w:val="00AE15F0"/>
    <w:rsid w:val="00AE162E"/>
    <w:rsid w:val="00AE18A7"/>
    <w:rsid w:val="00AE193D"/>
    <w:rsid w:val="00AE1AE7"/>
    <w:rsid w:val="00AE20B1"/>
    <w:rsid w:val="00AE243E"/>
    <w:rsid w:val="00AE260A"/>
    <w:rsid w:val="00AE2769"/>
    <w:rsid w:val="00AE2815"/>
    <w:rsid w:val="00AE2CC5"/>
    <w:rsid w:val="00AE2DBA"/>
    <w:rsid w:val="00AE2E52"/>
    <w:rsid w:val="00AE2ED3"/>
    <w:rsid w:val="00AE2F10"/>
    <w:rsid w:val="00AE2F73"/>
    <w:rsid w:val="00AE3116"/>
    <w:rsid w:val="00AE3263"/>
    <w:rsid w:val="00AE368E"/>
    <w:rsid w:val="00AE3BF7"/>
    <w:rsid w:val="00AE3C6B"/>
    <w:rsid w:val="00AE3DA9"/>
    <w:rsid w:val="00AE3F12"/>
    <w:rsid w:val="00AE447A"/>
    <w:rsid w:val="00AE4BFA"/>
    <w:rsid w:val="00AE4E8C"/>
    <w:rsid w:val="00AE5022"/>
    <w:rsid w:val="00AE5117"/>
    <w:rsid w:val="00AE5252"/>
    <w:rsid w:val="00AE5449"/>
    <w:rsid w:val="00AE54BE"/>
    <w:rsid w:val="00AE5536"/>
    <w:rsid w:val="00AE579D"/>
    <w:rsid w:val="00AE5EB8"/>
    <w:rsid w:val="00AE60CD"/>
    <w:rsid w:val="00AE641E"/>
    <w:rsid w:val="00AE6451"/>
    <w:rsid w:val="00AE6457"/>
    <w:rsid w:val="00AE6475"/>
    <w:rsid w:val="00AE64B9"/>
    <w:rsid w:val="00AE684C"/>
    <w:rsid w:val="00AE6BB1"/>
    <w:rsid w:val="00AE71DF"/>
    <w:rsid w:val="00AE720B"/>
    <w:rsid w:val="00AE722A"/>
    <w:rsid w:val="00AE7603"/>
    <w:rsid w:val="00AE76DA"/>
    <w:rsid w:val="00AE7C8E"/>
    <w:rsid w:val="00AE7E96"/>
    <w:rsid w:val="00AF00B7"/>
    <w:rsid w:val="00AF015C"/>
    <w:rsid w:val="00AF0211"/>
    <w:rsid w:val="00AF041E"/>
    <w:rsid w:val="00AF04E0"/>
    <w:rsid w:val="00AF05D0"/>
    <w:rsid w:val="00AF07EB"/>
    <w:rsid w:val="00AF0872"/>
    <w:rsid w:val="00AF0892"/>
    <w:rsid w:val="00AF09AB"/>
    <w:rsid w:val="00AF09CD"/>
    <w:rsid w:val="00AF0A4D"/>
    <w:rsid w:val="00AF0BE4"/>
    <w:rsid w:val="00AF114E"/>
    <w:rsid w:val="00AF1353"/>
    <w:rsid w:val="00AF13E6"/>
    <w:rsid w:val="00AF1510"/>
    <w:rsid w:val="00AF1C3F"/>
    <w:rsid w:val="00AF1DD8"/>
    <w:rsid w:val="00AF1ED2"/>
    <w:rsid w:val="00AF1FAD"/>
    <w:rsid w:val="00AF2026"/>
    <w:rsid w:val="00AF2048"/>
    <w:rsid w:val="00AF20B5"/>
    <w:rsid w:val="00AF2139"/>
    <w:rsid w:val="00AF21A4"/>
    <w:rsid w:val="00AF232D"/>
    <w:rsid w:val="00AF2381"/>
    <w:rsid w:val="00AF2479"/>
    <w:rsid w:val="00AF2483"/>
    <w:rsid w:val="00AF24DD"/>
    <w:rsid w:val="00AF2736"/>
    <w:rsid w:val="00AF292D"/>
    <w:rsid w:val="00AF2B45"/>
    <w:rsid w:val="00AF2B74"/>
    <w:rsid w:val="00AF2BA1"/>
    <w:rsid w:val="00AF2C6A"/>
    <w:rsid w:val="00AF2D3B"/>
    <w:rsid w:val="00AF2F99"/>
    <w:rsid w:val="00AF30AD"/>
    <w:rsid w:val="00AF336E"/>
    <w:rsid w:val="00AF3431"/>
    <w:rsid w:val="00AF3593"/>
    <w:rsid w:val="00AF3691"/>
    <w:rsid w:val="00AF3812"/>
    <w:rsid w:val="00AF3870"/>
    <w:rsid w:val="00AF38D6"/>
    <w:rsid w:val="00AF3937"/>
    <w:rsid w:val="00AF396E"/>
    <w:rsid w:val="00AF3D3D"/>
    <w:rsid w:val="00AF3D82"/>
    <w:rsid w:val="00AF3D8D"/>
    <w:rsid w:val="00AF401A"/>
    <w:rsid w:val="00AF4205"/>
    <w:rsid w:val="00AF42E4"/>
    <w:rsid w:val="00AF459E"/>
    <w:rsid w:val="00AF464E"/>
    <w:rsid w:val="00AF464F"/>
    <w:rsid w:val="00AF49AC"/>
    <w:rsid w:val="00AF4BE3"/>
    <w:rsid w:val="00AF4CA2"/>
    <w:rsid w:val="00AF51F9"/>
    <w:rsid w:val="00AF5314"/>
    <w:rsid w:val="00AF53AE"/>
    <w:rsid w:val="00AF550C"/>
    <w:rsid w:val="00AF5528"/>
    <w:rsid w:val="00AF5563"/>
    <w:rsid w:val="00AF55D8"/>
    <w:rsid w:val="00AF575F"/>
    <w:rsid w:val="00AF57D0"/>
    <w:rsid w:val="00AF586C"/>
    <w:rsid w:val="00AF58BD"/>
    <w:rsid w:val="00AF598C"/>
    <w:rsid w:val="00AF5AD5"/>
    <w:rsid w:val="00AF5B07"/>
    <w:rsid w:val="00AF5EE2"/>
    <w:rsid w:val="00AF5FF1"/>
    <w:rsid w:val="00AF617F"/>
    <w:rsid w:val="00AF6203"/>
    <w:rsid w:val="00AF634F"/>
    <w:rsid w:val="00AF6522"/>
    <w:rsid w:val="00AF6545"/>
    <w:rsid w:val="00AF65A0"/>
    <w:rsid w:val="00AF67D0"/>
    <w:rsid w:val="00AF68A7"/>
    <w:rsid w:val="00AF6A60"/>
    <w:rsid w:val="00AF6C5D"/>
    <w:rsid w:val="00AF6F1B"/>
    <w:rsid w:val="00AF7170"/>
    <w:rsid w:val="00AF7387"/>
    <w:rsid w:val="00AF7469"/>
    <w:rsid w:val="00AF74C0"/>
    <w:rsid w:val="00AF74C7"/>
    <w:rsid w:val="00AF751F"/>
    <w:rsid w:val="00AF7531"/>
    <w:rsid w:val="00AF78A4"/>
    <w:rsid w:val="00AF796C"/>
    <w:rsid w:val="00AF7A5A"/>
    <w:rsid w:val="00AF7AE8"/>
    <w:rsid w:val="00AF7CA3"/>
    <w:rsid w:val="00AF7D96"/>
    <w:rsid w:val="00AF7E0C"/>
    <w:rsid w:val="00AF7E6E"/>
    <w:rsid w:val="00B00175"/>
    <w:rsid w:val="00B00489"/>
    <w:rsid w:val="00B0050F"/>
    <w:rsid w:val="00B0056D"/>
    <w:rsid w:val="00B00644"/>
    <w:rsid w:val="00B0079C"/>
    <w:rsid w:val="00B00D0C"/>
    <w:rsid w:val="00B01274"/>
    <w:rsid w:val="00B0127F"/>
    <w:rsid w:val="00B01514"/>
    <w:rsid w:val="00B0180A"/>
    <w:rsid w:val="00B01867"/>
    <w:rsid w:val="00B019EE"/>
    <w:rsid w:val="00B01A29"/>
    <w:rsid w:val="00B01D32"/>
    <w:rsid w:val="00B022BB"/>
    <w:rsid w:val="00B023CA"/>
    <w:rsid w:val="00B02529"/>
    <w:rsid w:val="00B027A4"/>
    <w:rsid w:val="00B02882"/>
    <w:rsid w:val="00B02D8D"/>
    <w:rsid w:val="00B02DDB"/>
    <w:rsid w:val="00B02EAD"/>
    <w:rsid w:val="00B02F05"/>
    <w:rsid w:val="00B03005"/>
    <w:rsid w:val="00B030E7"/>
    <w:rsid w:val="00B03413"/>
    <w:rsid w:val="00B035A4"/>
    <w:rsid w:val="00B0394C"/>
    <w:rsid w:val="00B03B6D"/>
    <w:rsid w:val="00B03E13"/>
    <w:rsid w:val="00B03E9D"/>
    <w:rsid w:val="00B03F24"/>
    <w:rsid w:val="00B0408E"/>
    <w:rsid w:val="00B04352"/>
    <w:rsid w:val="00B043AD"/>
    <w:rsid w:val="00B04626"/>
    <w:rsid w:val="00B0479A"/>
    <w:rsid w:val="00B047F3"/>
    <w:rsid w:val="00B04890"/>
    <w:rsid w:val="00B049D1"/>
    <w:rsid w:val="00B04DD6"/>
    <w:rsid w:val="00B04DE5"/>
    <w:rsid w:val="00B04E54"/>
    <w:rsid w:val="00B04E5F"/>
    <w:rsid w:val="00B04F69"/>
    <w:rsid w:val="00B04FE4"/>
    <w:rsid w:val="00B0517F"/>
    <w:rsid w:val="00B051AF"/>
    <w:rsid w:val="00B05388"/>
    <w:rsid w:val="00B055BB"/>
    <w:rsid w:val="00B0562C"/>
    <w:rsid w:val="00B0579F"/>
    <w:rsid w:val="00B05886"/>
    <w:rsid w:val="00B05D87"/>
    <w:rsid w:val="00B05F23"/>
    <w:rsid w:val="00B05F5C"/>
    <w:rsid w:val="00B05F6A"/>
    <w:rsid w:val="00B061E2"/>
    <w:rsid w:val="00B0621A"/>
    <w:rsid w:val="00B062A3"/>
    <w:rsid w:val="00B062B2"/>
    <w:rsid w:val="00B066F9"/>
    <w:rsid w:val="00B06798"/>
    <w:rsid w:val="00B067C2"/>
    <w:rsid w:val="00B06805"/>
    <w:rsid w:val="00B0680F"/>
    <w:rsid w:val="00B06903"/>
    <w:rsid w:val="00B06AED"/>
    <w:rsid w:val="00B06C97"/>
    <w:rsid w:val="00B06CE0"/>
    <w:rsid w:val="00B06DAE"/>
    <w:rsid w:val="00B06F17"/>
    <w:rsid w:val="00B0708B"/>
    <w:rsid w:val="00B07149"/>
    <w:rsid w:val="00B072B8"/>
    <w:rsid w:val="00B0747A"/>
    <w:rsid w:val="00B075C3"/>
    <w:rsid w:val="00B0783D"/>
    <w:rsid w:val="00B078E9"/>
    <w:rsid w:val="00B07B06"/>
    <w:rsid w:val="00B07B53"/>
    <w:rsid w:val="00B103B5"/>
    <w:rsid w:val="00B10470"/>
    <w:rsid w:val="00B1051D"/>
    <w:rsid w:val="00B10585"/>
    <w:rsid w:val="00B1061E"/>
    <w:rsid w:val="00B10977"/>
    <w:rsid w:val="00B109BA"/>
    <w:rsid w:val="00B10C9B"/>
    <w:rsid w:val="00B110CC"/>
    <w:rsid w:val="00B111D5"/>
    <w:rsid w:val="00B1166D"/>
    <w:rsid w:val="00B117CB"/>
    <w:rsid w:val="00B119EF"/>
    <w:rsid w:val="00B11BF0"/>
    <w:rsid w:val="00B11E88"/>
    <w:rsid w:val="00B121EA"/>
    <w:rsid w:val="00B1225E"/>
    <w:rsid w:val="00B122CD"/>
    <w:rsid w:val="00B124DD"/>
    <w:rsid w:val="00B126C4"/>
    <w:rsid w:val="00B12872"/>
    <w:rsid w:val="00B12914"/>
    <w:rsid w:val="00B1296B"/>
    <w:rsid w:val="00B12A3D"/>
    <w:rsid w:val="00B12E7C"/>
    <w:rsid w:val="00B12EAD"/>
    <w:rsid w:val="00B12F8C"/>
    <w:rsid w:val="00B13188"/>
    <w:rsid w:val="00B1318B"/>
    <w:rsid w:val="00B1323F"/>
    <w:rsid w:val="00B133C2"/>
    <w:rsid w:val="00B13502"/>
    <w:rsid w:val="00B13775"/>
    <w:rsid w:val="00B13910"/>
    <w:rsid w:val="00B13BAD"/>
    <w:rsid w:val="00B13BBB"/>
    <w:rsid w:val="00B13C02"/>
    <w:rsid w:val="00B13C1A"/>
    <w:rsid w:val="00B13E22"/>
    <w:rsid w:val="00B13E78"/>
    <w:rsid w:val="00B13F11"/>
    <w:rsid w:val="00B13F5C"/>
    <w:rsid w:val="00B14060"/>
    <w:rsid w:val="00B140BC"/>
    <w:rsid w:val="00B1413F"/>
    <w:rsid w:val="00B141BA"/>
    <w:rsid w:val="00B1430F"/>
    <w:rsid w:val="00B14453"/>
    <w:rsid w:val="00B144C1"/>
    <w:rsid w:val="00B14589"/>
    <w:rsid w:val="00B14625"/>
    <w:rsid w:val="00B14726"/>
    <w:rsid w:val="00B14884"/>
    <w:rsid w:val="00B14AEB"/>
    <w:rsid w:val="00B14CD0"/>
    <w:rsid w:val="00B14D10"/>
    <w:rsid w:val="00B14F6E"/>
    <w:rsid w:val="00B15232"/>
    <w:rsid w:val="00B152B8"/>
    <w:rsid w:val="00B15A24"/>
    <w:rsid w:val="00B15B01"/>
    <w:rsid w:val="00B15CBD"/>
    <w:rsid w:val="00B15D4E"/>
    <w:rsid w:val="00B15E71"/>
    <w:rsid w:val="00B160CF"/>
    <w:rsid w:val="00B16450"/>
    <w:rsid w:val="00B16683"/>
    <w:rsid w:val="00B167C2"/>
    <w:rsid w:val="00B16875"/>
    <w:rsid w:val="00B16A74"/>
    <w:rsid w:val="00B171EF"/>
    <w:rsid w:val="00B1741C"/>
    <w:rsid w:val="00B17726"/>
    <w:rsid w:val="00B1784F"/>
    <w:rsid w:val="00B17858"/>
    <w:rsid w:val="00B17870"/>
    <w:rsid w:val="00B17C94"/>
    <w:rsid w:val="00B17DC5"/>
    <w:rsid w:val="00B17E26"/>
    <w:rsid w:val="00B17FA7"/>
    <w:rsid w:val="00B17FAF"/>
    <w:rsid w:val="00B20468"/>
    <w:rsid w:val="00B20646"/>
    <w:rsid w:val="00B20796"/>
    <w:rsid w:val="00B208EB"/>
    <w:rsid w:val="00B208FC"/>
    <w:rsid w:val="00B209BD"/>
    <w:rsid w:val="00B20AFC"/>
    <w:rsid w:val="00B20DE3"/>
    <w:rsid w:val="00B20EBB"/>
    <w:rsid w:val="00B2106B"/>
    <w:rsid w:val="00B21099"/>
    <w:rsid w:val="00B21492"/>
    <w:rsid w:val="00B217C0"/>
    <w:rsid w:val="00B217F1"/>
    <w:rsid w:val="00B21B27"/>
    <w:rsid w:val="00B21BF2"/>
    <w:rsid w:val="00B21C0F"/>
    <w:rsid w:val="00B21C69"/>
    <w:rsid w:val="00B22326"/>
    <w:rsid w:val="00B2252D"/>
    <w:rsid w:val="00B22869"/>
    <w:rsid w:val="00B22962"/>
    <w:rsid w:val="00B22C53"/>
    <w:rsid w:val="00B22CDB"/>
    <w:rsid w:val="00B22E67"/>
    <w:rsid w:val="00B22EAD"/>
    <w:rsid w:val="00B2335C"/>
    <w:rsid w:val="00B23377"/>
    <w:rsid w:val="00B23760"/>
    <w:rsid w:val="00B238C6"/>
    <w:rsid w:val="00B23C5B"/>
    <w:rsid w:val="00B23C6D"/>
    <w:rsid w:val="00B23EC8"/>
    <w:rsid w:val="00B2411E"/>
    <w:rsid w:val="00B24808"/>
    <w:rsid w:val="00B24ABB"/>
    <w:rsid w:val="00B24B2E"/>
    <w:rsid w:val="00B24BBB"/>
    <w:rsid w:val="00B24C81"/>
    <w:rsid w:val="00B24CE3"/>
    <w:rsid w:val="00B24D54"/>
    <w:rsid w:val="00B24D5E"/>
    <w:rsid w:val="00B24E45"/>
    <w:rsid w:val="00B24E64"/>
    <w:rsid w:val="00B2514B"/>
    <w:rsid w:val="00B25165"/>
    <w:rsid w:val="00B253F7"/>
    <w:rsid w:val="00B254ED"/>
    <w:rsid w:val="00B2564A"/>
    <w:rsid w:val="00B25DE0"/>
    <w:rsid w:val="00B26083"/>
    <w:rsid w:val="00B260F4"/>
    <w:rsid w:val="00B26188"/>
    <w:rsid w:val="00B26384"/>
    <w:rsid w:val="00B26636"/>
    <w:rsid w:val="00B26938"/>
    <w:rsid w:val="00B26C60"/>
    <w:rsid w:val="00B26DC4"/>
    <w:rsid w:val="00B270E9"/>
    <w:rsid w:val="00B27128"/>
    <w:rsid w:val="00B2739E"/>
    <w:rsid w:val="00B27498"/>
    <w:rsid w:val="00B275A4"/>
    <w:rsid w:val="00B2774D"/>
    <w:rsid w:val="00B27C1F"/>
    <w:rsid w:val="00B27CCC"/>
    <w:rsid w:val="00B27D30"/>
    <w:rsid w:val="00B27D35"/>
    <w:rsid w:val="00B300CE"/>
    <w:rsid w:val="00B302B2"/>
    <w:rsid w:val="00B30365"/>
    <w:rsid w:val="00B305C5"/>
    <w:rsid w:val="00B309F8"/>
    <w:rsid w:val="00B30B8E"/>
    <w:rsid w:val="00B30CC9"/>
    <w:rsid w:val="00B30D6B"/>
    <w:rsid w:val="00B30E0F"/>
    <w:rsid w:val="00B30E72"/>
    <w:rsid w:val="00B30F89"/>
    <w:rsid w:val="00B3114B"/>
    <w:rsid w:val="00B317AF"/>
    <w:rsid w:val="00B318B3"/>
    <w:rsid w:val="00B31BB4"/>
    <w:rsid w:val="00B31D47"/>
    <w:rsid w:val="00B322BC"/>
    <w:rsid w:val="00B327AF"/>
    <w:rsid w:val="00B32949"/>
    <w:rsid w:val="00B32E19"/>
    <w:rsid w:val="00B335BE"/>
    <w:rsid w:val="00B33634"/>
    <w:rsid w:val="00B33774"/>
    <w:rsid w:val="00B33D94"/>
    <w:rsid w:val="00B33DED"/>
    <w:rsid w:val="00B33EE4"/>
    <w:rsid w:val="00B3417E"/>
    <w:rsid w:val="00B34436"/>
    <w:rsid w:val="00B34472"/>
    <w:rsid w:val="00B346F8"/>
    <w:rsid w:val="00B34785"/>
    <w:rsid w:val="00B348D3"/>
    <w:rsid w:val="00B34A3C"/>
    <w:rsid w:val="00B34A3E"/>
    <w:rsid w:val="00B34C69"/>
    <w:rsid w:val="00B3504E"/>
    <w:rsid w:val="00B352D9"/>
    <w:rsid w:val="00B35497"/>
    <w:rsid w:val="00B3553E"/>
    <w:rsid w:val="00B3569D"/>
    <w:rsid w:val="00B35709"/>
    <w:rsid w:val="00B35D8D"/>
    <w:rsid w:val="00B35EA5"/>
    <w:rsid w:val="00B35F01"/>
    <w:rsid w:val="00B35FB5"/>
    <w:rsid w:val="00B36087"/>
    <w:rsid w:val="00B360CF"/>
    <w:rsid w:val="00B36510"/>
    <w:rsid w:val="00B36578"/>
    <w:rsid w:val="00B365B2"/>
    <w:rsid w:val="00B366FF"/>
    <w:rsid w:val="00B36810"/>
    <w:rsid w:val="00B369EC"/>
    <w:rsid w:val="00B36F0C"/>
    <w:rsid w:val="00B36FF8"/>
    <w:rsid w:val="00B370D6"/>
    <w:rsid w:val="00B37593"/>
    <w:rsid w:val="00B377CE"/>
    <w:rsid w:val="00B37866"/>
    <w:rsid w:val="00B378C2"/>
    <w:rsid w:val="00B378E9"/>
    <w:rsid w:val="00B37A1E"/>
    <w:rsid w:val="00B37A23"/>
    <w:rsid w:val="00B40106"/>
    <w:rsid w:val="00B402A0"/>
    <w:rsid w:val="00B402F3"/>
    <w:rsid w:val="00B404B7"/>
    <w:rsid w:val="00B40583"/>
    <w:rsid w:val="00B40662"/>
    <w:rsid w:val="00B406B7"/>
    <w:rsid w:val="00B4083C"/>
    <w:rsid w:val="00B40862"/>
    <w:rsid w:val="00B40925"/>
    <w:rsid w:val="00B40B22"/>
    <w:rsid w:val="00B40B68"/>
    <w:rsid w:val="00B40E30"/>
    <w:rsid w:val="00B40EDD"/>
    <w:rsid w:val="00B412C7"/>
    <w:rsid w:val="00B4146A"/>
    <w:rsid w:val="00B4157A"/>
    <w:rsid w:val="00B41878"/>
    <w:rsid w:val="00B41A17"/>
    <w:rsid w:val="00B41A46"/>
    <w:rsid w:val="00B41CBD"/>
    <w:rsid w:val="00B41E5B"/>
    <w:rsid w:val="00B42100"/>
    <w:rsid w:val="00B42173"/>
    <w:rsid w:val="00B423D9"/>
    <w:rsid w:val="00B424F0"/>
    <w:rsid w:val="00B42579"/>
    <w:rsid w:val="00B426CB"/>
    <w:rsid w:val="00B42726"/>
    <w:rsid w:val="00B4281E"/>
    <w:rsid w:val="00B42A18"/>
    <w:rsid w:val="00B42B4B"/>
    <w:rsid w:val="00B435D4"/>
    <w:rsid w:val="00B43D2C"/>
    <w:rsid w:val="00B442E5"/>
    <w:rsid w:val="00B44563"/>
    <w:rsid w:val="00B447B8"/>
    <w:rsid w:val="00B44955"/>
    <w:rsid w:val="00B44A9F"/>
    <w:rsid w:val="00B44B01"/>
    <w:rsid w:val="00B44B05"/>
    <w:rsid w:val="00B44B72"/>
    <w:rsid w:val="00B44BAC"/>
    <w:rsid w:val="00B44BCF"/>
    <w:rsid w:val="00B44C00"/>
    <w:rsid w:val="00B44D4C"/>
    <w:rsid w:val="00B45388"/>
    <w:rsid w:val="00B454AB"/>
    <w:rsid w:val="00B45500"/>
    <w:rsid w:val="00B45721"/>
    <w:rsid w:val="00B45928"/>
    <w:rsid w:val="00B45958"/>
    <w:rsid w:val="00B459A4"/>
    <w:rsid w:val="00B45DB3"/>
    <w:rsid w:val="00B4613D"/>
    <w:rsid w:val="00B4620A"/>
    <w:rsid w:val="00B463CD"/>
    <w:rsid w:val="00B464B9"/>
    <w:rsid w:val="00B468B1"/>
    <w:rsid w:val="00B468BE"/>
    <w:rsid w:val="00B4691B"/>
    <w:rsid w:val="00B46970"/>
    <w:rsid w:val="00B46CFD"/>
    <w:rsid w:val="00B46DFF"/>
    <w:rsid w:val="00B46F6E"/>
    <w:rsid w:val="00B471BC"/>
    <w:rsid w:val="00B47215"/>
    <w:rsid w:val="00B47758"/>
    <w:rsid w:val="00B477E8"/>
    <w:rsid w:val="00B47836"/>
    <w:rsid w:val="00B47A78"/>
    <w:rsid w:val="00B5020E"/>
    <w:rsid w:val="00B50268"/>
    <w:rsid w:val="00B50539"/>
    <w:rsid w:val="00B5089E"/>
    <w:rsid w:val="00B50B8A"/>
    <w:rsid w:val="00B50E7E"/>
    <w:rsid w:val="00B5109F"/>
    <w:rsid w:val="00B510D4"/>
    <w:rsid w:val="00B51100"/>
    <w:rsid w:val="00B51254"/>
    <w:rsid w:val="00B51410"/>
    <w:rsid w:val="00B51441"/>
    <w:rsid w:val="00B516E5"/>
    <w:rsid w:val="00B517F2"/>
    <w:rsid w:val="00B51884"/>
    <w:rsid w:val="00B519FD"/>
    <w:rsid w:val="00B51B82"/>
    <w:rsid w:val="00B522ED"/>
    <w:rsid w:val="00B52454"/>
    <w:rsid w:val="00B5263A"/>
    <w:rsid w:val="00B52653"/>
    <w:rsid w:val="00B527A1"/>
    <w:rsid w:val="00B527EA"/>
    <w:rsid w:val="00B5291E"/>
    <w:rsid w:val="00B52924"/>
    <w:rsid w:val="00B52AE8"/>
    <w:rsid w:val="00B52D26"/>
    <w:rsid w:val="00B53380"/>
    <w:rsid w:val="00B537FB"/>
    <w:rsid w:val="00B5398A"/>
    <w:rsid w:val="00B539F7"/>
    <w:rsid w:val="00B53AF9"/>
    <w:rsid w:val="00B53C5B"/>
    <w:rsid w:val="00B53CCF"/>
    <w:rsid w:val="00B53F31"/>
    <w:rsid w:val="00B53FBA"/>
    <w:rsid w:val="00B53FE3"/>
    <w:rsid w:val="00B540F4"/>
    <w:rsid w:val="00B544C3"/>
    <w:rsid w:val="00B54D53"/>
    <w:rsid w:val="00B54DF4"/>
    <w:rsid w:val="00B54E2D"/>
    <w:rsid w:val="00B54E63"/>
    <w:rsid w:val="00B54FA4"/>
    <w:rsid w:val="00B55134"/>
    <w:rsid w:val="00B55234"/>
    <w:rsid w:val="00B552B5"/>
    <w:rsid w:val="00B55329"/>
    <w:rsid w:val="00B553BC"/>
    <w:rsid w:val="00B55411"/>
    <w:rsid w:val="00B55480"/>
    <w:rsid w:val="00B554D7"/>
    <w:rsid w:val="00B55732"/>
    <w:rsid w:val="00B559D1"/>
    <w:rsid w:val="00B55D50"/>
    <w:rsid w:val="00B55E31"/>
    <w:rsid w:val="00B56066"/>
    <w:rsid w:val="00B560E8"/>
    <w:rsid w:val="00B56135"/>
    <w:rsid w:val="00B56368"/>
    <w:rsid w:val="00B56410"/>
    <w:rsid w:val="00B56581"/>
    <w:rsid w:val="00B5677C"/>
    <w:rsid w:val="00B5677F"/>
    <w:rsid w:val="00B5692D"/>
    <w:rsid w:val="00B56A9D"/>
    <w:rsid w:val="00B56AAB"/>
    <w:rsid w:val="00B56C04"/>
    <w:rsid w:val="00B56CA0"/>
    <w:rsid w:val="00B56DAC"/>
    <w:rsid w:val="00B56EB9"/>
    <w:rsid w:val="00B56F6E"/>
    <w:rsid w:val="00B56FEE"/>
    <w:rsid w:val="00B57100"/>
    <w:rsid w:val="00B57202"/>
    <w:rsid w:val="00B57349"/>
    <w:rsid w:val="00B574A9"/>
    <w:rsid w:val="00B57617"/>
    <w:rsid w:val="00B57ACA"/>
    <w:rsid w:val="00B57B2E"/>
    <w:rsid w:val="00B57E12"/>
    <w:rsid w:val="00B6000A"/>
    <w:rsid w:val="00B60163"/>
    <w:rsid w:val="00B602AD"/>
    <w:rsid w:val="00B60383"/>
    <w:rsid w:val="00B60487"/>
    <w:rsid w:val="00B6066B"/>
    <w:rsid w:val="00B608A5"/>
    <w:rsid w:val="00B60A55"/>
    <w:rsid w:val="00B60AB9"/>
    <w:rsid w:val="00B60BC4"/>
    <w:rsid w:val="00B60C48"/>
    <w:rsid w:val="00B60D29"/>
    <w:rsid w:val="00B60DE2"/>
    <w:rsid w:val="00B60F0A"/>
    <w:rsid w:val="00B61117"/>
    <w:rsid w:val="00B61324"/>
    <w:rsid w:val="00B61422"/>
    <w:rsid w:val="00B617C1"/>
    <w:rsid w:val="00B61839"/>
    <w:rsid w:val="00B61ACB"/>
    <w:rsid w:val="00B62030"/>
    <w:rsid w:val="00B6207B"/>
    <w:rsid w:val="00B620B6"/>
    <w:rsid w:val="00B622AB"/>
    <w:rsid w:val="00B622ED"/>
    <w:rsid w:val="00B623C0"/>
    <w:rsid w:val="00B62418"/>
    <w:rsid w:val="00B624B0"/>
    <w:rsid w:val="00B625A8"/>
    <w:rsid w:val="00B626D6"/>
    <w:rsid w:val="00B626E5"/>
    <w:rsid w:val="00B6297D"/>
    <w:rsid w:val="00B62AA0"/>
    <w:rsid w:val="00B62B6E"/>
    <w:rsid w:val="00B62C76"/>
    <w:rsid w:val="00B62D62"/>
    <w:rsid w:val="00B62F29"/>
    <w:rsid w:val="00B6307D"/>
    <w:rsid w:val="00B63234"/>
    <w:rsid w:val="00B63260"/>
    <w:rsid w:val="00B63573"/>
    <w:rsid w:val="00B63640"/>
    <w:rsid w:val="00B637B9"/>
    <w:rsid w:val="00B637FB"/>
    <w:rsid w:val="00B63842"/>
    <w:rsid w:val="00B6394F"/>
    <w:rsid w:val="00B63BA0"/>
    <w:rsid w:val="00B63C2E"/>
    <w:rsid w:val="00B63CAF"/>
    <w:rsid w:val="00B63D89"/>
    <w:rsid w:val="00B63D9B"/>
    <w:rsid w:val="00B63F05"/>
    <w:rsid w:val="00B63F72"/>
    <w:rsid w:val="00B6405A"/>
    <w:rsid w:val="00B641DC"/>
    <w:rsid w:val="00B64277"/>
    <w:rsid w:val="00B6428A"/>
    <w:rsid w:val="00B643BC"/>
    <w:rsid w:val="00B643DF"/>
    <w:rsid w:val="00B645D7"/>
    <w:rsid w:val="00B647B6"/>
    <w:rsid w:val="00B647CB"/>
    <w:rsid w:val="00B64AC7"/>
    <w:rsid w:val="00B64B9E"/>
    <w:rsid w:val="00B64E9B"/>
    <w:rsid w:val="00B64FB1"/>
    <w:rsid w:val="00B6510A"/>
    <w:rsid w:val="00B6533B"/>
    <w:rsid w:val="00B65358"/>
    <w:rsid w:val="00B65372"/>
    <w:rsid w:val="00B65503"/>
    <w:rsid w:val="00B65709"/>
    <w:rsid w:val="00B65779"/>
    <w:rsid w:val="00B657E3"/>
    <w:rsid w:val="00B65D86"/>
    <w:rsid w:val="00B65FA2"/>
    <w:rsid w:val="00B66009"/>
    <w:rsid w:val="00B661E4"/>
    <w:rsid w:val="00B66230"/>
    <w:rsid w:val="00B662BE"/>
    <w:rsid w:val="00B664A1"/>
    <w:rsid w:val="00B6664F"/>
    <w:rsid w:val="00B6669E"/>
    <w:rsid w:val="00B667E9"/>
    <w:rsid w:val="00B66986"/>
    <w:rsid w:val="00B66B7E"/>
    <w:rsid w:val="00B66C40"/>
    <w:rsid w:val="00B66DCD"/>
    <w:rsid w:val="00B66F04"/>
    <w:rsid w:val="00B67062"/>
    <w:rsid w:val="00B67114"/>
    <w:rsid w:val="00B67243"/>
    <w:rsid w:val="00B67432"/>
    <w:rsid w:val="00B67518"/>
    <w:rsid w:val="00B677FB"/>
    <w:rsid w:val="00B677FD"/>
    <w:rsid w:val="00B6786D"/>
    <w:rsid w:val="00B67AC9"/>
    <w:rsid w:val="00B67BA5"/>
    <w:rsid w:val="00B67D25"/>
    <w:rsid w:val="00B67DA2"/>
    <w:rsid w:val="00B67EEA"/>
    <w:rsid w:val="00B67FA5"/>
    <w:rsid w:val="00B701A3"/>
    <w:rsid w:val="00B704AF"/>
    <w:rsid w:val="00B704C1"/>
    <w:rsid w:val="00B70554"/>
    <w:rsid w:val="00B70643"/>
    <w:rsid w:val="00B7066D"/>
    <w:rsid w:val="00B707F4"/>
    <w:rsid w:val="00B70BB6"/>
    <w:rsid w:val="00B71081"/>
    <w:rsid w:val="00B7126B"/>
    <w:rsid w:val="00B71584"/>
    <w:rsid w:val="00B715F7"/>
    <w:rsid w:val="00B71656"/>
    <w:rsid w:val="00B71A6C"/>
    <w:rsid w:val="00B71C06"/>
    <w:rsid w:val="00B71C1B"/>
    <w:rsid w:val="00B71C5F"/>
    <w:rsid w:val="00B71CD6"/>
    <w:rsid w:val="00B71CE6"/>
    <w:rsid w:val="00B71D8D"/>
    <w:rsid w:val="00B71F9B"/>
    <w:rsid w:val="00B720FD"/>
    <w:rsid w:val="00B72143"/>
    <w:rsid w:val="00B72245"/>
    <w:rsid w:val="00B722A0"/>
    <w:rsid w:val="00B722CE"/>
    <w:rsid w:val="00B7253C"/>
    <w:rsid w:val="00B72566"/>
    <w:rsid w:val="00B7267F"/>
    <w:rsid w:val="00B72740"/>
    <w:rsid w:val="00B72771"/>
    <w:rsid w:val="00B72985"/>
    <w:rsid w:val="00B72A4E"/>
    <w:rsid w:val="00B72B00"/>
    <w:rsid w:val="00B72D37"/>
    <w:rsid w:val="00B72F92"/>
    <w:rsid w:val="00B72FCC"/>
    <w:rsid w:val="00B730CE"/>
    <w:rsid w:val="00B7348A"/>
    <w:rsid w:val="00B73746"/>
    <w:rsid w:val="00B73765"/>
    <w:rsid w:val="00B737E6"/>
    <w:rsid w:val="00B73AF2"/>
    <w:rsid w:val="00B73C76"/>
    <w:rsid w:val="00B741F8"/>
    <w:rsid w:val="00B7424E"/>
    <w:rsid w:val="00B742AF"/>
    <w:rsid w:val="00B743BC"/>
    <w:rsid w:val="00B743D2"/>
    <w:rsid w:val="00B74474"/>
    <w:rsid w:val="00B745D2"/>
    <w:rsid w:val="00B74A65"/>
    <w:rsid w:val="00B74B62"/>
    <w:rsid w:val="00B74E6E"/>
    <w:rsid w:val="00B74EA7"/>
    <w:rsid w:val="00B74F35"/>
    <w:rsid w:val="00B74FDF"/>
    <w:rsid w:val="00B75163"/>
    <w:rsid w:val="00B7538D"/>
    <w:rsid w:val="00B754B1"/>
    <w:rsid w:val="00B75732"/>
    <w:rsid w:val="00B75B3C"/>
    <w:rsid w:val="00B75EBD"/>
    <w:rsid w:val="00B75FC1"/>
    <w:rsid w:val="00B760C0"/>
    <w:rsid w:val="00B760C3"/>
    <w:rsid w:val="00B761B4"/>
    <w:rsid w:val="00B76221"/>
    <w:rsid w:val="00B76289"/>
    <w:rsid w:val="00B7648B"/>
    <w:rsid w:val="00B765D4"/>
    <w:rsid w:val="00B76731"/>
    <w:rsid w:val="00B76AEE"/>
    <w:rsid w:val="00B76B00"/>
    <w:rsid w:val="00B76C27"/>
    <w:rsid w:val="00B77078"/>
    <w:rsid w:val="00B770F0"/>
    <w:rsid w:val="00B7724B"/>
    <w:rsid w:val="00B77251"/>
    <w:rsid w:val="00B772F3"/>
    <w:rsid w:val="00B77519"/>
    <w:rsid w:val="00B777F4"/>
    <w:rsid w:val="00B77972"/>
    <w:rsid w:val="00B77BA7"/>
    <w:rsid w:val="00B77CE3"/>
    <w:rsid w:val="00B77E63"/>
    <w:rsid w:val="00B77F76"/>
    <w:rsid w:val="00B80053"/>
    <w:rsid w:val="00B800EE"/>
    <w:rsid w:val="00B80403"/>
    <w:rsid w:val="00B804B6"/>
    <w:rsid w:val="00B8079D"/>
    <w:rsid w:val="00B80AC0"/>
    <w:rsid w:val="00B80B06"/>
    <w:rsid w:val="00B80B31"/>
    <w:rsid w:val="00B80BAC"/>
    <w:rsid w:val="00B80E9E"/>
    <w:rsid w:val="00B81007"/>
    <w:rsid w:val="00B812E3"/>
    <w:rsid w:val="00B813EC"/>
    <w:rsid w:val="00B816C5"/>
    <w:rsid w:val="00B818A4"/>
    <w:rsid w:val="00B818F6"/>
    <w:rsid w:val="00B81EAD"/>
    <w:rsid w:val="00B81EAF"/>
    <w:rsid w:val="00B81F51"/>
    <w:rsid w:val="00B82396"/>
    <w:rsid w:val="00B82453"/>
    <w:rsid w:val="00B82909"/>
    <w:rsid w:val="00B82F11"/>
    <w:rsid w:val="00B833CB"/>
    <w:rsid w:val="00B8363C"/>
    <w:rsid w:val="00B8377E"/>
    <w:rsid w:val="00B83949"/>
    <w:rsid w:val="00B83E23"/>
    <w:rsid w:val="00B83FF7"/>
    <w:rsid w:val="00B841A0"/>
    <w:rsid w:val="00B8450F"/>
    <w:rsid w:val="00B84635"/>
    <w:rsid w:val="00B84682"/>
    <w:rsid w:val="00B8484C"/>
    <w:rsid w:val="00B84C26"/>
    <w:rsid w:val="00B84D9A"/>
    <w:rsid w:val="00B851EE"/>
    <w:rsid w:val="00B85456"/>
    <w:rsid w:val="00B858D1"/>
    <w:rsid w:val="00B85925"/>
    <w:rsid w:val="00B85A2D"/>
    <w:rsid w:val="00B85A77"/>
    <w:rsid w:val="00B85C90"/>
    <w:rsid w:val="00B85D69"/>
    <w:rsid w:val="00B85F0C"/>
    <w:rsid w:val="00B85F7A"/>
    <w:rsid w:val="00B85FD8"/>
    <w:rsid w:val="00B860DA"/>
    <w:rsid w:val="00B862A0"/>
    <w:rsid w:val="00B862BA"/>
    <w:rsid w:val="00B86493"/>
    <w:rsid w:val="00B864A8"/>
    <w:rsid w:val="00B86551"/>
    <w:rsid w:val="00B866F0"/>
    <w:rsid w:val="00B868DC"/>
    <w:rsid w:val="00B86CA7"/>
    <w:rsid w:val="00B86FD2"/>
    <w:rsid w:val="00B87234"/>
    <w:rsid w:val="00B872E1"/>
    <w:rsid w:val="00B8750E"/>
    <w:rsid w:val="00B8774B"/>
    <w:rsid w:val="00B877DC"/>
    <w:rsid w:val="00B87859"/>
    <w:rsid w:val="00B87927"/>
    <w:rsid w:val="00B8796A"/>
    <w:rsid w:val="00B879B2"/>
    <w:rsid w:val="00B87BB8"/>
    <w:rsid w:val="00B87F0F"/>
    <w:rsid w:val="00B87F66"/>
    <w:rsid w:val="00B87F86"/>
    <w:rsid w:val="00B900DF"/>
    <w:rsid w:val="00B9021A"/>
    <w:rsid w:val="00B90255"/>
    <w:rsid w:val="00B90270"/>
    <w:rsid w:val="00B90401"/>
    <w:rsid w:val="00B9041E"/>
    <w:rsid w:val="00B904B9"/>
    <w:rsid w:val="00B9055F"/>
    <w:rsid w:val="00B907D2"/>
    <w:rsid w:val="00B909A4"/>
    <w:rsid w:val="00B90A55"/>
    <w:rsid w:val="00B911AC"/>
    <w:rsid w:val="00B9193C"/>
    <w:rsid w:val="00B91BB0"/>
    <w:rsid w:val="00B91D0B"/>
    <w:rsid w:val="00B91DD2"/>
    <w:rsid w:val="00B91F4B"/>
    <w:rsid w:val="00B91FF6"/>
    <w:rsid w:val="00B92075"/>
    <w:rsid w:val="00B9218E"/>
    <w:rsid w:val="00B9274B"/>
    <w:rsid w:val="00B928B3"/>
    <w:rsid w:val="00B9294C"/>
    <w:rsid w:val="00B929A4"/>
    <w:rsid w:val="00B929FB"/>
    <w:rsid w:val="00B92C47"/>
    <w:rsid w:val="00B92C93"/>
    <w:rsid w:val="00B92D1C"/>
    <w:rsid w:val="00B92DF4"/>
    <w:rsid w:val="00B92EB3"/>
    <w:rsid w:val="00B93253"/>
    <w:rsid w:val="00B934E2"/>
    <w:rsid w:val="00B935F3"/>
    <w:rsid w:val="00B9370D"/>
    <w:rsid w:val="00B93710"/>
    <w:rsid w:val="00B93831"/>
    <w:rsid w:val="00B9386C"/>
    <w:rsid w:val="00B93877"/>
    <w:rsid w:val="00B938CC"/>
    <w:rsid w:val="00B939B1"/>
    <w:rsid w:val="00B939D2"/>
    <w:rsid w:val="00B93A8C"/>
    <w:rsid w:val="00B93C3E"/>
    <w:rsid w:val="00B93DD6"/>
    <w:rsid w:val="00B93EB5"/>
    <w:rsid w:val="00B93F76"/>
    <w:rsid w:val="00B94160"/>
    <w:rsid w:val="00B941AA"/>
    <w:rsid w:val="00B941B4"/>
    <w:rsid w:val="00B9434B"/>
    <w:rsid w:val="00B94A88"/>
    <w:rsid w:val="00B94A90"/>
    <w:rsid w:val="00B94C5D"/>
    <w:rsid w:val="00B94E5B"/>
    <w:rsid w:val="00B9528E"/>
    <w:rsid w:val="00B956A3"/>
    <w:rsid w:val="00B95756"/>
    <w:rsid w:val="00B95953"/>
    <w:rsid w:val="00B9597E"/>
    <w:rsid w:val="00B95A1C"/>
    <w:rsid w:val="00B95FB0"/>
    <w:rsid w:val="00B96069"/>
    <w:rsid w:val="00B96216"/>
    <w:rsid w:val="00B965C1"/>
    <w:rsid w:val="00B96734"/>
    <w:rsid w:val="00B9698B"/>
    <w:rsid w:val="00B96E0B"/>
    <w:rsid w:val="00B96E5A"/>
    <w:rsid w:val="00B96FBA"/>
    <w:rsid w:val="00B970E0"/>
    <w:rsid w:val="00B9733F"/>
    <w:rsid w:val="00B97587"/>
    <w:rsid w:val="00B978A8"/>
    <w:rsid w:val="00B97979"/>
    <w:rsid w:val="00B97C01"/>
    <w:rsid w:val="00B97C09"/>
    <w:rsid w:val="00BA02A0"/>
    <w:rsid w:val="00BA02A5"/>
    <w:rsid w:val="00BA02EE"/>
    <w:rsid w:val="00BA04E2"/>
    <w:rsid w:val="00BA07F7"/>
    <w:rsid w:val="00BA0881"/>
    <w:rsid w:val="00BA0A4F"/>
    <w:rsid w:val="00BA0FB2"/>
    <w:rsid w:val="00BA1015"/>
    <w:rsid w:val="00BA1036"/>
    <w:rsid w:val="00BA103C"/>
    <w:rsid w:val="00BA1113"/>
    <w:rsid w:val="00BA11DC"/>
    <w:rsid w:val="00BA147A"/>
    <w:rsid w:val="00BA147F"/>
    <w:rsid w:val="00BA1707"/>
    <w:rsid w:val="00BA1793"/>
    <w:rsid w:val="00BA17EC"/>
    <w:rsid w:val="00BA18B7"/>
    <w:rsid w:val="00BA191C"/>
    <w:rsid w:val="00BA1A53"/>
    <w:rsid w:val="00BA1C96"/>
    <w:rsid w:val="00BA1CA2"/>
    <w:rsid w:val="00BA1D8D"/>
    <w:rsid w:val="00BA1F16"/>
    <w:rsid w:val="00BA1F60"/>
    <w:rsid w:val="00BA25DD"/>
    <w:rsid w:val="00BA27B5"/>
    <w:rsid w:val="00BA2848"/>
    <w:rsid w:val="00BA29D4"/>
    <w:rsid w:val="00BA2B56"/>
    <w:rsid w:val="00BA2D29"/>
    <w:rsid w:val="00BA2F9D"/>
    <w:rsid w:val="00BA30B5"/>
    <w:rsid w:val="00BA320B"/>
    <w:rsid w:val="00BA32A1"/>
    <w:rsid w:val="00BA32D0"/>
    <w:rsid w:val="00BA34D4"/>
    <w:rsid w:val="00BA35E2"/>
    <w:rsid w:val="00BA3811"/>
    <w:rsid w:val="00BA3F7B"/>
    <w:rsid w:val="00BA40AC"/>
    <w:rsid w:val="00BA47DB"/>
    <w:rsid w:val="00BA4E6C"/>
    <w:rsid w:val="00BA4F80"/>
    <w:rsid w:val="00BA4FC1"/>
    <w:rsid w:val="00BA503D"/>
    <w:rsid w:val="00BA5305"/>
    <w:rsid w:val="00BA536E"/>
    <w:rsid w:val="00BA5376"/>
    <w:rsid w:val="00BA53F6"/>
    <w:rsid w:val="00BA54F2"/>
    <w:rsid w:val="00BA565F"/>
    <w:rsid w:val="00BA5709"/>
    <w:rsid w:val="00BA5B4D"/>
    <w:rsid w:val="00BA5BA4"/>
    <w:rsid w:val="00BA5BA7"/>
    <w:rsid w:val="00BA5EEC"/>
    <w:rsid w:val="00BA5F82"/>
    <w:rsid w:val="00BA6025"/>
    <w:rsid w:val="00BA627D"/>
    <w:rsid w:val="00BA62A0"/>
    <w:rsid w:val="00BA658C"/>
    <w:rsid w:val="00BA6950"/>
    <w:rsid w:val="00BA6960"/>
    <w:rsid w:val="00BA6990"/>
    <w:rsid w:val="00BA6A48"/>
    <w:rsid w:val="00BA6A4E"/>
    <w:rsid w:val="00BA6D75"/>
    <w:rsid w:val="00BA7300"/>
    <w:rsid w:val="00BA736A"/>
    <w:rsid w:val="00BA7466"/>
    <w:rsid w:val="00BA796D"/>
    <w:rsid w:val="00BA7995"/>
    <w:rsid w:val="00BA799E"/>
    <w:rsid w:val="00BA7C8F"/>
    <w:rsid w:val="00BA7CE0"/>
    <w:rsid w:val="00BA7D7D"/>
    <w:rsid w:val="00BB03A4"/>
    <w:rsid w:val="00BB04D1"/>
    <w:rsid w:val="00BB056A"/>
    <w:rsid w:val="00BB0653"/>
    <w:rsid w:val="00BB067B"/>
    <w:rsid w:val="00BB07D8"/>
    <w:rsid w:val="00BB0830"/>
    <w:rsid w:val="00BB08D5"/>
    <w:rsid w:val="00BB0A0A"/>
    <w:rsid w:val="00BB0C58"/>
    <w:rsid w:val="00BB0F55"/>
    <w:rsid w:val="00BB11C7"/>
    <w:rsid w:val="00BB14CB"/>
    <w:rsid w:val="00BB1593"/>
    <w:rsid w:val="00BB172E"/>
    <w:rsid w:val="00BB183A"/>
    <w:rsid w:val="00BB18E0"/>
    <w:rsid w:val="00BB18E7"/>
    <w:rsid w:val="00BB1AC2"/>
    <w:rsid w:val="00BB1C9F"/>
    <w:rsid w:val="00BB1D5F"/>
    <w:rsid w:val="00BB1F0D"/>
    <w:rsid w:val="00BB1FE9"/>
    <w:rsid w:val="00BB20AB"/>
    <w:rsid w:val="00BB23CF"/>
    <w:rsid w:val="00BB2B30"/>
    <w:rsid w:val="00BB2C13"/>
    <w:rsid w:val="00BB2E4F"/>
    <w:rsid w:val="00BB2F3E"/>
    <w:rsid w:val="00BB2F4F"/>
    <w:rsid w:val="00BB3085"/>
    <w:rsid w:val="00BB31B3"/>
    <w:rsid w:val="00BB3212"/>
    <w:rsid w:val="00BB3232"/>
    <w:rsid w:val="00BB3565"/>
    <w:rsid w:val="00BB35B0"/>
    <w:rsid w:val="00BB36A8"/>
    <w:rsid w:val="00BB3A1C"/>
    <w:rsid w:val="00BB3BE2"/>
    <w:rsid w:val="00BB3CCE"/>
    <w:rsid w:val="00BB3E9A"/>
    <w:rsid w:val="00BB41C9"/>
    <w:rsid w:val="00BB427D"/>
    <w:rsid w:val="00BB4400"/>
    <w:rsid w:val="00BB479E"/>
    <w:rsid w:val="00BB4880"/>
    <w:rsid w:val="00BB490C"/>
    <w:rsid w:val="00BB4D51"/>
    <w:rsid w:val="00BB4D75"/>
    <w:rsid w:val="00BB50FB"/>
    <w:rsid w:val="00BB5104"/>
    <w:rsid w:val="00BB5173"/>
    <w:rsid w:val="00BB536E"/>
    <w:rsid w:val="00BB5410"/>
    <w:rsid w:val="00BB56FA"/>
    <w:rsid w:val="00BB5833"/>
    <w:rsid w:val="00BB5A23"/>
    <w:rsid w:val="00BB5CBF"/>
    <w:rsid w:val="00BB5D54"/>
    <w:rsid w:val="00BB5E14"/>
    <w:rsid w:val="00BB5E17"/>
    <w:rsid w:val="00BB6154"/>
    <w:rsid w:val="00BB6226"/>
    <w:rsid w:val="00BB6447"/>
    <w:rsid w:val="00BB647A"/>
    <w:rsid w:val="00BB65B4"/>
    <w:rsid w:val="00BB663B"/>
    <w:rsid w:val="00BB6685"/>
    <w:rsid w:val="00BB6998"/>
    <w:rsid w:val="00BB699E"/>
    <w:rsid w:val="00BB69C2"/>
    <w:rsid w:val="00BB6A27"/>
    <w:rsid w:val="00BB6BB8"/>
    <w:rsid w:val="00BB6C49"/>
    <w:rsid w:val="00BB6E9A"/>
    <w:rsid w:val="00BB6F4C"/>
    <w:rsid w:val="00BB6F54"/>
    <w:rsid w:val="00BB6FDB"/>
    <w:rsid w:val="00BB725E"/>
    <w:rsid w:val="00BB7594"/>
    <w:rsid w:val="00BB75F4"/>
    <w:rsid w:val="00BB77A8"/>
    <w:rsid w:val="00BB7982"/>
    <w:rsid w:val="00BB7B06"/>
    <w:rsid w:val="00BB7CB1"/>
    <w:rsid w:val="00BC00D2"/>
    <w:rsid w:val="00BC014B"/>
    <w:rsid w:val="00BC015F"/>
    <w:rsid w:val="00BC022F"/>
    <w:rsid w:val="00BC0290"/>
    <w:rsid w:val="00BC03BD"/>
    <w:rsid w:val="00BC04B1"/>
    <w:rsid w:val="00BC05CC"/>
    <w:rsid w:val="00BC0807"/>
    <w:rsid w:val="00BC0810"/>
    <w:rsid w:val="00BC083E"/>
    <w:rsid w:val="00BC0A2E"/>
    <w:rsid w:val="00BC0A99"/>
    <w:rsid w:val="00BC0B33"/>
    <w:rsid w:val="00BC0D2B"/>
    <w:rsid w:val="00BC0D95"/>
    <w:rsid w:val="00BC0DFB"/>
    <w:rsid w:val="00BC0E19"/>
    <w:rsid w:val="00BC0F6E"/>
    <w:rsid w:val="00BC0F9A"/>
    <w:rsid w:val="00BC10D9"/>
    <w:rsid w:val="00BC12BE"/>
    <w:rsid w:val="00BC12DB"/>
    <w:rsid w:val="00BC1395"/>
    <w:rsid w:val="00BC13E4"/>
    <w:rsid w:val="00BC141F"/>
    <w:rsid w:val="00BC17AE"/>
    <w:rsid w:val="00BC1E76"/>
    <w:rsid w:val="00BC1FEA"/>
    <w:rsid w:val="00BC209C"/>
    <w:rsid w:val="00BC20FD"/>
    <w:rsid w:val="00BC2264"/>
    <w:rsid w:val="00BC226C"/>
    <w:rsid w:val="00BC2347"/>
    <w:rsid w:val="00BC2674"/>
    <w:rsid w:val="00BC282C"/>
    <w:rsid w:val="00BC294E"/>
    <w:rsid w:val="00BC2B58"/>
    <w:rsid w:val="00BC2F83"/>
    <w:rsid w:val="00BC3066"/>
    <w:rsid w:val="00BC3511"/>
    <w:rsid w:val="00BC362E"/>
    <w:rsid w:val="00BC3692"/>
    <w:rsid w:val="00BC36E2"/>
    <w:rsid w:val="00BC3708"/>
    <w:rsid w:val="00BC3868"/>
    <w:rsid w:val="00BC3B03"/>
    <w:rsid w:val="00BC3C11"/>
    <w:rsid w:val="00BC3DDB"/>
    <w:rsid w:val="00BC3EFE"/>
    <w:rsid w:val="00BC40E4"/>
    <w:rsid w:val="00BC4113"/>
    <w:rsid w:val="00BC41F9"/>
    <w:rsid w:val="00BC4268"/>
    <w:rsid w:val="00BC46FA"/>
    <w:rsid w:val="00BC4A4C"/>
    <w:rsid w:val="00BC4DCC"/>
    <w:rsid w:val="00BC4EFF"/>
    <w:rsid w:val="00BC53E4"/>
    <w:rsid w:val="00BC56B8"/>
    <w:rsid w:val="00BC56E5"/>
    <w:rsid w:val="00BC57E8"/>
    <w:rsid w:val="00BC5974"/>
    <w:rsid w:val="00BC5A87"/>
    <w:rsid w:val="00BC5B27"/>
    <w:rsid w:val="00BC5ED1"/>
    <w:rsid w:val="00BC6093"/>
    <w:rsid w:val="00BC62B2"/>
    <w:rsid w:val="00BC631C"/>
    <w:rsid w:val="00BC66C3"/>
    <w:rsid w:val="00BC6953"/>
    <w:rsid w:val="00BC69DC"/>
    <w:rsid w:val="00BC6DB9"/>
    <w:rsid w:val="00BC6F0C"/>
    <w:rsid w:val="00BC70C4"/>
    <w:rsid w:val="00BC751E"/>
    <w:rsid w:val="00BC77FE"/>
    <w:rsid w:val="00BC79FB"/>
    <w:rsid w:val="00BC7B48"/>
    <w:rsid w:val="00BC7B63"/>
    <w:rsid w:val="00BC7CFF"/>
    <w:rsid w:val="00BC7D4C"/>
    <w:rsid w:val="00BC7E38"/>
    <w:rsid w:val="00BC7FBA"/>
    <w:rsid w:val="00BD0141"/>
    <w:rsid w:val="00BD0247"/>
    <w:rsid w:val="00BD0727"/>
    <w:rsid w:val="00BD07DC"/>
    <w:rsid w:val="00BD08CC"/>
    <w:rsid w:val="00BD08EB"/>
    <w:rsid w:val="00BD0C50"/>
    <w:rsid w:val="00BD0D17"/>
    <w:rsid w:val="00BD1342"/>
    <w:rsid w:val="00BD13C5"/>
    <w:rsid w:val="00BD1667"/>
    <w:rsid w:val="00BD1706"/>
    <w:rsid w:val="00BD17F4"/>
    <w:rsid w:val="00BD18A0"/>
    <w:rsid w:val="00BD18C8"/>
    <w:rsid w:val="00BD1FCD"/>
    <w:rsid w:val="00BD22A5"/>
    <w:rsid w:val="00BD24E5"/>
    <w:rsid w:val="00BD271D"/>
    <w:rsid w:val="00BD29FA"/>
    <w:rsid w:val="00BD2A3B"/>
    <w:rsid w:val="00BD2A81"/>
    <w:rsid w:val="00BD2D94"/>
    <w:rsid w:val="00BD2F9B"/>
    <w:rsid w:val="00BD31CF"/>
    <w:rsid w:val="00BD366A"/>
    <w:rsid w:val="00BD38C1"/>
    <w:rsid w:val="00BD3923"/>
    <w:rsid w:val="00BD3941"/>
    <w:rsid w:val="00BD3A21"/>
    <w:rsid w:val="00BD3A46"/>
    <w:rsid w:val="00BD3AA2"/>
    <w:rsid w:val="00BD3EAB"/>
    <w:rsid w:val="00BD3F03"/>
    <w:rsid w:val="00BD403D"/>
    <w:rsid w:val="00BD40CB"/>
    <w:rsid w:val="00BD4200"/>
    <w:rsid w:val="00BD42A9"/>
    <w:rsid w:val="00BD450C"/>
    <w:rsid w:val="00BD45C0"/>
    <w:rsid w:val="00BD46F3"/>
    <w:rsid w:val="00BD4858"/>
    <w:rsid w:val="00BD487B"/>
    <w:rsid w:val="00BD4A32"/>
    <w:rsid w:val="00BD4AA5"/>
    <w:rsid w:val="00BD4C84"/>
    <w:rsid w:val="00BD4FB7"/>
    <w:rsid w:val="00BD5136"/>
    <w:rsid w:val="00BD51E4"/>
    <w:rsid w:val="00BD5410"/>
    <w:rsid w:val="00BD5632"/>
    <w:rsid w:val="00BD5890"/>
    <w:rsid w:val="00BD5E45"/>
    <w:rsid w:val="00BD5F57"/>
    <w:rsid w:val="00BD6030"/>
    <w:rsid w:val="00BD6036"/>
    <w:rsid w:val="00BD6188"/>
    <w:rsid w:val="00BD6A89"/>
    <w:rsid w:val="00BD6B8A"/>
    <w:rsid w:val="00BD6C45"/>
    <w:rsid w:val="00BD6CA3"/>
    <w:rsid w:val="00BD6D4F"/>
    <w:rsid w:val="00BD6F0F"/>
    <w:rsid w:val="00BD704C"/>
    <w:rsid w:val="00BD7327"/>
    <w:rsid w:val="00BD76DC"/>
    <w:rsid w:val="00BD7705"/>
    <w:rsid w:val="00BD790F"/>
    <w:rsid w:val="00BD7952"/>
    <w:rsid w:val="00BD79B2"/>
    <w:rsid w:val="00BD7A5F"/>
    <w:rsid w:val="00BD7AB7"/>
    <w:rsid w:val="00BE02B1"/>
    <w:rsid w:val="00BE02FA"/>
    <w:rsid w:val="00BE06A3"/>
    <w:rsid w:val="00BE0993"/>
    <w:rsid w:val="00BE0F8A"/>
    <w:rsid w:val="00BE1171"/>
    <w:rsid w:val="00BE1184"/>
    <w:rsid w:val="00BE1341"/>
    <w:rsid w:val="00BE1352"/>
    <w:rsid w:val="00BE17FF"/>
    <w:rsid w:val="00BE1838"/>
    <w:rsid w:val="00BE1ADB"/>
    <w:rsid w:val="00BE1BDC"/>
    <w:rsid w:val="00BE217F"/>
    <w:rsid w:val="00BE2195"/>
    <w:rsid w:val="00BE2834"/>
    <w:rsid w:val="00BE286B"/>
    <w:rsid w:val="00BE291F"/>
    <w:rsid w:val="00BE29CB"/>
    <w:rsid w:val="00BE2A02"/>
    <w:rsid w:val="00BE2A39"/>
    <w:rsid w:val="00BE2BC7"/>
    <w:rsid w:val="00BE2CAB"/>
    <w:rsid w:val="00BE2FED"/>
    <w:rsid w:val="00BE3247"/>
    <w:rsid w:val="00BE345C"/>
    <w:rsid w:val="00BE36AC"/>
    <w:rsid w:val="00BE372B"/>
    <w:rsid w:val="00BE377E"/>
    <w:rsid w:val="00BE3884"/>
    <w:rsid w:val="00BE3891"/>
    <w:rsid w:val="00BE3AAA"/>
    <w:rsid w:val="00BE3B74"/>
    <w:rsid w:val="00BE3BD8"/>
    <w:rsid w:val="00BE3DCC"/>
    <w:rsid w:val="00BE3E30"/>
    <w:rsid w:val="00BE4104"/>
    <w:rsid w:val="00BE421D"/>
    <w:rsid w:val="00BE4892"/>
    <w:rsid w:val="00BE4993"/>
    <w:rsid w:val="00BE49CB"/>
    <w:rsid w:val="00BE4D89"/>
    <w:rsid w:val="00BE4DAC"/>
    <w:rsid w:val="00BE507D"/>
    <w:rsid w:val="00BE528B"/>
    <w:rsid w:val="00BE53D9"/>
    <w:rsid w:val="00BE5520"/>
    <w:rsid w:val="00BE5592"/>
    <w:rsid w:val="00BE55CE"/>
    <w:rsid w:val="00BE5674"/>
    <w:rsid w:val="00BE5719"/>
    <w:rsid w:val="00BE57FD"/>
    <w:rsid w:val="00BE58F2"/>
    <w:rsid w:val="00BE5CD0"/>
    <w:rsid w:val="00BE5D26"/>
    <w:rsid w:val="00BE607C"/>
    <w:rsid w:val="00BE6157"/>
    <w:rsid w:val="00BE61AA"/>
    <w:rsid w:val="00BE61E6"/>
    <w:rsid w:val="00BE621A"/>
    <w:rsid w:val="00BE62DD"/>
    <w:rsid w:val="00BE64DD"/>
    <w:rsid w:val="00BE64DE"/>
    <w:rsid w:val="00BE6533"/>
    <w:rsid w:val="00BE65DB"/>
    <w:rsid w:val="00BE6606"/>
    <w:rsid w:val="00BE6695"/>
    <w:rsid w:val="00BE6783"/>
    <w:rsid w:val="00BE6866"/>
    <w:rsid w:val="00BE690D"/>
    <w:rsid w:val="00BE69E1"/>
    <w:rsid w:val="00BE6AAF"/>
    <w:rsid w:val="00BE6D1B"/>
    <w:rsid w:val="00BE6F78"/>
    <w:rsid w:val="00BE70B4"/>
    <w:rsid w:val="00BE7184"/>
    <w:rsid w:val="00BE727D"/>
    <w:rsid w:val="00BE73CC"/>
    <w:rsid w:val="00BE7412"/>
    <w:rsid w:val="00BE7483"/>
    <w:rsid w:val="00BE784C"/>
    <w:rsid w:val="00BE7A2B"/>
    <w:rsid w:val="00BE7A71"/>
    <w:rsid w:val="00BE7B2C"/>
    <w:rsid w:val="00BF00A8"/>
    <w:rsid w:val="00BF020C"/>
    <w:rsid w:val="00BF0377"/>
    <w:rsid w:val="00BF038F"/>
    <w:rsid w:val="00BF04D4"/>
    <w:rsid w:val="00BF0B2A"/>
    <w:rsid w:val="00BF0D88"/>
    <w:rsid w:val="00BF0DAB"/>
    <w:rsid w:val="00BF1189"/>
    <w:rsid w:val="00BF118A"/>
    <w:rsid w:val="00BF1210"/>
    <w:rsid w:val="00BF1312"/>
    <w:rsid w:val="00BF1601"/>
    <w:rsid w:val="00BF1639"/>
    <w:rsid w:val="00BF16A6"/>
    <w:rsid w:val="00BF1A25"/>
    <w:rsid w:val="00BF1A5F"/>
    <w:rsid w:val="00BF1BD5"/>
    <w:rsid w:val="00BF1E9F"/>
    <w:rsid w:val="00BF1EC4"/>
    <w:rsid w:val="00BF1EFE"/>
    <w:rsid w:val="00BF1FE6"/>
    <w:rsid w:val="00BF2092"/>
    <w:rsid w:val="00BF20BA"/>
    <w:rsid w:val="00BF21C6"/>
    <w:rsid w:val="00BF22E6"/>
    <w:rsid w:val="00BF23B5"/>
    <w:rsid w:val="00BF23E7"/>
    <w:rsid w:val="00BF2449"/>
    <w:rsid w:val="00BF24FD"/>
    <w:rsid w:val="00BF250F"/>
    <w:rsid w:val="00BF27E6"/>
    <w:rsid w:val="00BF28DF"/>
    <w:rsid w:val="00BF2B2E"/>
    <w:rsid w:val="00BF2DE2"/>
    <w:rsid w:val="00BF3260"/>
    <w:rsid w:val="00BF343B"/>
    <w:rsid w:val="00BF34F1"/>
    <w:rsid w:val="00BF3826"/>
    <w:rsid w:val="00BF383F"/>
    <w:rsid w:val="00BF38DB"/>
    <w:rsid w:val="00BF3C40"/>
    <w:rsid w:val="00BF3FA3"/>
    <w:rsid w:val="00BF4057"/>
    <w:rsid w:val="00BF4525"/>
    <w:rsid w:val="00BF473F"/>
    <w:rsid w:val="00BF483B"/>
    <w:rsid w:val="00BF49E9"/>
    <w:rsid w:val="00BF4BE7"/>
    <w:rsid w:val="00BF5329"/>
    <w:rsid w:val="00BF5355"/>
    <w:rsid w:val="00BF55D1"/>
    <w:rsid w:val="00BF5673"/>
    <w:rsid w:val="00BF5860"/>
    <w:rsid w:val="00BF595D"/>
    <w:rsid w:val="00BF5D0C"/>
    <w:rsid w:val="00BF5D6A"/>
    <w:rsid w:val="00BF5F2A"/>
    <w:rsid w:val="00BF670A"/>
    <w:rsid w:val="00BF686B"/>
    <w:rsid w:val="00BF688F"/>
    <w:rsid w:val="00BF6B7A"/>
    <w:rsid w:val="00BF6B8A"/>
    <w:rsid w:val="00BF6C93"/>
    <w:rsid w:val="00BF6E46"/>
    <w:rsid w:val="00BF705B"/>
    <w:rsid w:val="00BF72FB"/>
    <w:rsid w:val="00BF73A9"/>
    <w:rsid w:val="00BF7B9E"/>
    <w:rsid w:val="00BF7C0E"/>
    <w:rsid w:val="00BF7CEC"/>
    <w:rsid w:val="00BF7DC1"/>
    <w:rsid w:val="00BF7F97"/>
    <w:rsid w:val="00C0018C"/>
    <w:rsid w:val="00C001E9"/>
    <w:rsid w:val="00C0027B"/>
    <w:rsid w:val="00C0032B"/>
    <w:rsid w:val="00C005EA"/>
    <w:rsid w:val="00C0072B"/>
    <w:rsid w:val="00C0093B"/>
    <w:rsid w:val="00C00AC6"/>
    <w:rsid w:val="00C00B5A"/>
    <w:rsid w:val="00C00F16"/>
    <w:rsid w:val="00C00F18"/>
    <w:rsid w:val="00C01114"/>
    <w:rsid w:val="00C01296"/>
    <w:rsid w:val="00C014B2"/>
    <w:rsid w:val="00C0157E"/>
    <w:rsid w:val="00C0171C"/>
    <w:rsid w:val="00C017BB"/>
    <w:rsid w:val="00C01835"/>
    <w:rsid w:val="00C01849"/>
    <w:rsid w:val="00C018C5"/>
    <w:rsid w:val="00C0190F"/>
    <w:rsid w:val="00C01B03"/>
    <w:rsid w:val="00C01C4B"/>
    <w:rsid w:val="00C01C8F"/>
    <w:rsid w:val="00C01D7D"/>
    <w:rsid w:val="00C024FC"/>
    <w:rsid w:val="00C025AF"/>
    <w:rsid w:val="00C025F9"/>
    <w:rsid w:val="00C027D0"/>
    <w:rsid w:val="00C028B3"/>
    <w:rsid w:val="00C02A9B"/>
    <w:rsid w:val="00C02B58"/>
    <w:rsid w:val="00C02C94"/>
    <w:rsid w:val="00C02D9C"/>
    <w:rsid w:val="00C02DD2"/>
    <w:rsid w:val="00C0302D"/>
    <w:rsid w:val="00C030AE"/>
    <w:rsid w:val="00C0363C"/>
    <w:rsid w:val="00C036D3"/>
    <w:rsid w:val="00C036E9"/>
    <w:rsid w:val="00C0385D"/>
    <w:rsid w:val="00C03869"/>
    <w:rsid w:val="00C0393E"/>
    <w:rsid w:val="00C03A81"/>
    <w:rsid w:val="00C03B96"/>
    <w:rsid w:val="00C03C96"/>
    <w:rsid w:val="00C03D27"/>
    <w:rsid w:val="00C03D6D"/>
    <w:rsid w:val="00C03E4B"/>
    <w:rsid w:val="00C03FCD"/>
    <w:rsid w:val="00C04247"/>
    <w:rsid w:val="00C04363"/>
    <w:rsid w:val="00C0459A"/>
    <w:rsid w:val="00C046EC"/>
    <w:rsid w:val="00C04709"/>
    <w:rsid w:val="00C047C2"/>
    <w:rsid w:val="00C047E5"/>
    <w:rsid w:val="00C04A34"/>
    <w:rsid w:val="00C04A46"/>
    <w:rsid w:val="00C04B62"/>
    <w:rsid w:val="00C04D43"/>
    <w:rsid w:val="00C04E7C"/>
    <w:rsid w:val="00C04E99"/>
    <w:rsid w:val="00C04FA9"/>
    <w:rsid w:val="00C059B5"/>
    <w:rsid w:val="00C05A44"/>
    <w:rsid w:val="00C05B00"/>
    <w:rsid w:val="00C05B8F"/>
    <w:rsid w:val="00C05C08"/>
    <w:rsid w:val="00C05C3C"/>
    <w:rsid w:val="00C05C79"/>
    <w:rsid w:val="00C05D67"/>
    <w:rsid w:val="00C05E5F"/>
    <w:rsid w:val="00C05FC1"/>
    <w:rsid w:val="00C061B6"/>
    <w:rsid w:val="00C06700"/>
    <w:rsid w:val="00C06873"/>
    <w:rsid w:val="00C069AD"/>
    <w:rsid w:val="00C069BE"/>
    <w:rsid w:val="00C06A85"/>
    <w:rsid w:val="00C06C21"/>
    <w:rsid w:val="00C06CBA"/>
    <w:rsid w:val="00C0700E"/>
    <w:rsid w:val="00C072BC"/>
    <w:rsid w:val="00C0754B"/>
    <w:rsid w:val="00C0755C"/>
    <w:rsid w:val="00C077AC"/>
    <w:rsid w:val="00C07948"/>
    <w:rsid w:val="00C07C69"/>
    <w:rsid w:val="00C10070"/>
    <w:rsid w:val="00C100B8"/>
    <w:rsid w:val="00C10555"/>
    <w:rsid w:val="00C107DE"/>
    <w:rsid w:val="00C109D1"/>
    <w:rsid w:val="00C10B44"/>
    <w:rsid w:val="00C10B6D"/>
    <w:rsid w:val="00C10BEB"/>
    <w:rsid w:val="00C10C69"/>
    <w:rsid w:val="00C10D19"/>
    <w:rsid w:val="00C11214"/>
    <w:rsid w:val="00C11435"/>
    <w:rsid w:val="00C11575"/>
    <w:rsid w:val="00C1162E"/>
    <w:rsid w:val="00C119FE"/>
    <w:rsid w:val="00C11C8B"/>
    <w:rsid w:val="00C11FBA"/>
    <w:rsid w:val="00C11FC4"/>
    <w:rsid w:val="00C1246D"/>
    <w:rsid w:val="00C125BF"/>
    <w:rsid w:val="00C125F5"/>
    <w:rsid w:val="00C1262F"/>
    <w:rsid w:val="00C12B29"/>
    <w:rsid w:val="00C12C0B"/>
    <w:rsid w:val="00C12C1D"/>
    <w:rsid w:val="00C12D77"/>
    <w:rsid w:val="00C13058"/>
    <w:rsid w:val="00C1306E"/>
    <w:rsid w:val="00C131A2"/>
    <w:rsid w:val="00C131C7"/>
    <w:rsid w:val="00C1333B"/>
    <w:rsid w:val="00C13368"/>
    <w:rsid w:val="00C135B6"/>
    <w:rsid w:val="00C139D2"/>
    <w:rsid w:val="00C13A75"/>
    <w:rsid w:val="00C13EC3"/>
    <w:rsid w:val="00C13F10"/>
    <w:rsid w:val="00C13FEB"/>
    <w:rsid w:val="00C14155"/>
    <w:rsid w:val="00C14438"/>
    <w:rsid w:val="00C146E4"/>
    <w:rsid w:val="00C148AB"/>
    <w:rsid w:val="00C14E28"/>
    <w:rsid w:val="00C14E83"/>
    <w:rsid w:val="00C150A0"/>
    <w:rsid w:val="00C150EF"/>
    <w:rsid w:val="00C1512A"/>
    <w:rsid w:val="00C151D8"/>
    <w:rsid w:val="00C1524C"/>
    <w:rsid w:val="00C1549C"/>
    <w:rsid w:val="00C15546"/>
    <w:rsid w:val="00C1574C"/>
    <w:rsid w:val="00C15906"/>
    <w:rsid w:val="00C159F6"/>
    <w:rsid w:val="00C15C10"/>
    <w:rsid w:val="00C15D71"/>
    <w:rsid w:val="00C15D7F"/>
    <w:rsid w:val="00C15F95"/>
    <w:rsid w:val="00C15FB3"/>
    <w:rsid w:val="00C160F7"/>
    <w:rsid w:val="00C1612E"/>
    <w:rsid w:val="00C163FF"/>
    <w:rsid w:val="00C1646F"/>
    <w:rsid w:val="00C16725"/>
    <w:rsid w:val="00C16939"/>
    <w:rsid w:val="00C16A8D"/>
    <w:rsid w:val="00C16BD3"/>
    <w:rsid w:val="00C16E1C"/>
    <w:rsid w:val="00C16E56"/>
    <w:rsid w:val="00C170E5"/>
    <w:rsid w:val="00C17151"/>
    <w:rsid w:val="00C17152"/>
    <w:rsid w:val="00C1790C"/>
    <w:rsid w:val="00C1794C"/>
    <w:rsid w:val="00C1795D"/>
    <w:rsid w:val="00C179E5"/>
    <w:rsid w:val="00C17A26"/>
    <w:rsid w:val="00C17A4D"/>
    <w:rsid w:val="00C17C3E"/>
    <w:rsid w:val="00C17C8B"/>
    <w:rsid w:val="00C17E0F"/>
    <w:rsid w:val="00C17EA8"/>
    <w:rsid w:val="00C17EAE"/>
    <w:rsid w:val="00C17F34"/>
    <w:rsid w:val="00C17F98"/>
    <w:rsid w:val="00C20298"/>
    <w:rsid w:val="00C2040C"/>
    <w:rsid w:val="00C20729"/>
    <w:rsid w:val="00C2076E"/>
    <w:rsid w:val="00C20987"/>
    <w:rsid w:val="00C20B80"/>
    <w:rsid w:val="00C20D0D"/>
    <w:rsid w:val="00C20DE9"/>
    <w:rsid w:val="00C20E06"/>
    <w:rsid w:val="00C21409"/>
    <w:rsid w:val="00C2140F"/>
    <w:rsid w:val="00C2144B"/>
    <w:rsid w:val="00C2171E"/>
    <w:rsid w:val="00C2193B"/>
    <w:rsid w:val="00C2197C"/>
    <w:rsid w:val="00C21AFE"/>
    <w:rsid w:val="00C21B85"/>
    <w:rsid w:val="00C21C3C"/>
    <w:rsid w:val="00C21DF5"/>
    <w:rsid w:val="00C21E24"/>
    <w:rsid w:val="00C21E35"/>
    <w:rsid w:val="00C21EE3"/>
    <w:rsid w:val="00C22438"/>
    <w:rsid w:val="00C2269E"/>
    <w:rsid w:val="00C226E2"/>
    <w:rsid w:val="00C22840"/>
    <w:rsid w:val="00C22874"/>
    <w:rsid w:val="00C22887"/>
    <w:rsid w:val="00C22933"/>
    <w:rsid w:val="00C22A1E"/>
    <w:rsid w:val="00C22B52"/>
    <w:rsid w:val="00C22B9F"/>
    <w:rsid w:val="00C22CC5"/>
    <w:rsid w:val="00C22DC8"/>
    <w:rsid w:val="00C22ED7"/>
    <w:rsid w:val="00C22F6B"/>
    <w:rsid w:val="00C23147"/>
    <w:rsid w:val="00C2319C"/>
    <w:rsid w:val="00C23405"/>
    <w:rsid w:val="00C23452"/>
    <w:rsid w:val="00C234AF"/>
    <w:rsid w:val="00C2365E"/>
    <w:rsid w:val="00C23913"/>
    <w:rsid w:val="00C239A7"/>
    <w:rsid w:val="00C23A6C"/>
    <w:rsid w:val="00C23AE0"/>
    <w:rsid w:val="00C23AFF"/>
    <w:rsid w:val="00C23C08"/>
    <w:rsid w:val="00C23C65"/>
    <w:rsid w:val="00C23E26"/>
    <w:rsid w:val="00C23F8C"/>
    <w:rsid w:val="00C23FBD"/>
    <w:rsid w:val="00C24246"/>
    <w:rsid w:val="00C24497"/>
    <w:rsid w:val="00C24911"/>
    <w:rsid w:val="00C24B5F"/>
    <w:rsid w:val="00C24C3F"/>
    <w:rsid w:val="00C24D08"/>
    <w:rsid w:val="00C24D5C"/>
    <w:rsid w:val="00C24DEC"/>
    <w:rsid w:val="00C24E2A"/>
    <w:rsid w:val="00C24E9F"/>
    <w:rsid w:val="00C24F56"/>
    <w:rsid w:val="00C25051"/>
    <w:rsid w:val="00C25238"/>
    <w:rsid w:val="00C252F7"/>
    <w:rsid w:val="00C25387"/>
    <w:rsid w:val="00C25679"/>
    <w:rsid w:val="00C2568A"/>
    <w:rsid w:val="00C2581D"/>
    <w:rsid w:val="00C25830"/>
    <w:rsid w:val="00C258BE"/>
    <w:rsid w:val="00C25A48"/>
    <w:rsid w:val="00C25B55"/>
    <w:rsid w:val="00C25B76"/>
    <w:rsid w:val="00C25BAB"/>
    <w:rsid w:val="00C25C6B"/>
    <w:rsid w:val="00C25FD6"/>
    <w:rsid w:val="00C2615B"/>
    <w:rsid w:val="00C2632A"/>
    <w:rsid w:val="00C2675F"/>
    <w:rsid w:val="00C267D1"/>
    <w:rsid w:val="00C267F5"/>
    <w:rsid w:val="00C269EA"/>
    <w:rsid w:val="00C26B12"/>
    <w:rsid w:val="00C26B35"/>
    <w:rsid w:val="00C26CDA"/>
    <w:rsid w:val="00C270A2"/>
    <w:rsid w:val="00C27264"/>
    <w:rsid w:val="00C273A3"/>
    <w:rsid w:val="00C27502"/>
    <w:rsid w:val="00C27775"/>
    <w:rsid w:val="00C278AF"/>
    <w:rsid w:val="00C278CA"/>
    <w:rsid w:val="00C278EF"/>
    <w:rsid w:val="00C27B2B"/>
    <w:rsid w:val="00C27F67"/>
    <w:rsid w:val="00C27FD8"/>
    <w:rsid w:val="00C27FE5"/>
    <w:rsid w:val="00C300E4"/>
    <w:rsid w:val="00C30223"/>
    <w:rsid w:val="00C302B6"/>
    <w:rsid w:val="00C30534"/>
    <w:rsid w:val="00C30660"/>
    <w:rsid w:val="00C30C27"/>
    <w:rsid w:val="00C30FF6"/>
    <w:rsid w:val="00C31100"/>
    <w:rsid w:val="00C311E4"/>
    <w:rsid w:val="00C31246"/>
    <w:rsid w:val="00C31485"/>
    <w:rsid w:val="00C3158F"/>
    <w:rsid w:val="00C3197F"/>
    <w:rsid w:val="00C31CBD"/>
    <w:rsid w:val="00C31DCB"/>
    <w:rsid w:val="00C321DE"/>
    <w:rsid w:val="00C32361"/>
    <w:rsid w:val="00C323EF"/>
    <w:rsid w:val="00C323F6"/>
    <w:rsid w:val="00C3242B"/>
    <w:rsid w:val="00C329EA"/>
    <w:rsid w:val="00C32A92"/>
    <w:rsid w:val="00C32E5E"/>
    <w:rsid w:val="00C331A1"/>
    <w:rsid w:val="00C331FC"/>
    <w:rsid w:val="00C3335A"/>
    <w:rsid w:val="00C3347B"/>
    <w:rsid w:val="00C33594"/>
    <w:rsid w:val="00C33629"/>
    <w:rsid w:val="00C337EE"/>
    <w:rsid w:val="00C338B9"/>
    <w:rsid w:val="00C338EC"/>
    <w:rsid w:val="00C33A6E"/>
    <w:rsid w:val="00C33A9C"/>
    <w:rsid w:val="00C33B27"/>
    <w:rsid w:val="00C33BCF"/>
    <w:rsid w:val="00C33DA4"/>
    <w:rsid w:val="00C33EE6"/>
    <w:rsid w:val="00C33FB6"/>
    <w:rsid w:val="00C340AD"/>
    <w:rsid w:val="00C3444A"/>
    <w:rsid w:val="00C34888"/>
    <w:rsid w:val="00C34BDA"/>
    <w:rsid w:val="00C34CF0"/>
    <w:rsid w:val="00C34E53"/>
    <w:rsid w:val="00C34FBB"/>
    <w:rsid w:val="00C35453"/>
    <w:rsid w:val="00C35B1C"/>
    <w:rsid w:val="00C35EE3"/>
    <w:rsid w:val="00C35F9F"/>
    <w:rsid w:val="00C360FE"/>
    <w:rsid w:val="00C3669F"/>
    <w:rsid w:val="00C36723"/>
    <w:rsid w:val="00C36856"/>
    <w:rsid w:val="00C36990"/>
    <w:rsid w:val="00C36B18"/>
    <w:rsid w:val="00C36B54"/>
    <w:rsid w:val="00C36B55"/>
    <w:rsid w:val="00C36B92"/>
    <w:rsid w:val="00C36C1D"/>
    <w:rsid w:val="00C36D22"/>
    <w:rsid w:val="00C36E4B"/>
    <w:rsid w:val="00C37161"/>
    <w:rsid w:val="00C37305"/>
    <w:rsid w:val="00C37479"/>
    <w:rsid w:val="00C378EB"/>
    <w:rsid w:val="00C37913"/>
    <w:rsid w:val="00C37ABE"/>
    <w:rsid w:val="00C37B83"/>
    <w:rsid w:val="00C37BC2"/>
    <w:rsid w:val="00C37C8B"/>
    <w:rsid w:val="00C40021"/>
    <w:rsid w:val="00C40045"/>
    <w:rsid w:val="00C400D3"/>
    <w:rsid w:val="00C40257"/>
    <w:rsid w:val="00C40508"/>
    <w:rsid w:val="00C40959"/>
    <w:rsid w:val="00C40B24"/>
    <w:rsid w:val="00C41114"/>
    <w:rsid w:val="00C411BA"/>
    <w:rsid w:val="00C41536"/>
    <w:rsid w:val="00C415A2"/>
    <w:rsid w:val="00C41626"/>
    <w:rsid w:val="00C4182C"/>
    <w:rsid w:val="00C41A0D"/>
    <w:rsid w:val="00C41A7B"/>
    <w:rsid w:val="00C41AC5"/>
    <w:rsid w:val="00C41BB7"/>
    <w:rsid w:val="00C41EAF"/>
    <w:rsid w:val="00C41FC3"/>
    <w:rsid w:val="00C42066"/>
    <w:rsid w:val="00C42226"/>
    <w:rsid w:val="00C4239A"/>
    <w:rsid w:val="00C42581"/>
    <w:rsid w:val="00C426BF"/>
    <w:rsid w:val="00C4291F"/>
    <w:rsid w:val="00C429FA"/>
    <w:rsid w:val="00C42B12"/>
    <w:rsid w:val="00C42C65"/>
    <w:rsid w:val="00C42D5C"/>
    <w:rsid w:val="00C42E47"/>
    <w:rsid w:val="00C42EDB"/>
    <w:rsid w:val="00C430AF"/>
    <w:rsid w:val="00C4343F"/>
    <w:rsid w:val="00C435F5"/>
    <w:rsid w:val="00C437F2"/>
    <w:rsid w:val="00C438FE"/>
    <w:rsid w:val="00C4396C"/>
    <w:rsid w:val="00C43A35"/>
    <w:rsid w:val="00C43B01"/>
    <w:rsid w:val="00C43C60"/>
    <w:rsid w:val="00C43D70"/>
    <w:rsid w:val="00C43F7B"/>
    <w:rsid w:val="00C4410E"/>
    <w:rsid w:val="00C44181"/>
    <w:rsid w:val="00C44342"/>
    <w:rsid w:val="00C44513"/>
    <w:rsid w:val="00C44824"/>
    <w:rsid w:val="00C44A52"/>
    <w:rsid w:val="00C44A63"/>
    <w:rsid w:val="00C44B18"/>
    <w:rsid w:val="00C44C1D"/>
    <w:rsid w:val="00C44E1C"/>
    <w:rsid w:val="00C44E93"/>
    <w:rsid w:val="00C44F0C"/>
    <w:rsid w:val="00C44FF4"/>
    <w:rsid w:val="00C45091"/>
    <w:rsid w:val="00C45117"/>
    <w:rsid w:val="00C45274"/>
    <w:rsid w:val="00C45372"/>
    <w:rsid w:val="00C45C7E"/>
    <w:rsid w:val="00C45EAD"/>
    <w:rsid w:val="00C45F5E"/>
    <w:rsid w:val="00C46112"/>
    <w:rsid w:val="00C46715"/>
    <w:rsid w:val="00C46884"/>
    <w:rsid w:val="00C46A12"/>
    <w:rsid w:val="00C46A63"/>
    <w:rsid w:val="00C46A7F"/>
    <w:rsid w:val="00C46B29"/>
    <w:rsid w:val="00C46B2A"/>
    <w:rsid w:val="00C46D8F"/>
    <w:rsid w:val="00C471F6"/>
    <w:rsid w:val="00C47294"/>
    <w:rsid w:val="00C474FB"/>
    <w:rsid w:val="00C4758D"/>
    <w:rsid w:val="00C475A1"/>
    <w:rsid w:val="00C4784C"/>
    <w:rsid w:val="00C478DA"/>
    <w:rsid w:val="00C47ACF"/>
    <w:rsid w:val="00C47AE4"/>
    <w:rsid w:val="00C47C2F"/>
    <w:rsid w:val="00C47D2B"/>
    <w:rsid w:val="00C47D34"/>
    <w:rsid w:val="00C5013B"/>
    <w:rsid w:val="00C50402"/>
    <w:rsid w:val="00C5059E"/>
    <w:rsid w:val="00C505E1"/>
    <w:rsid w:val="00C50710"/>
    <w:rsid w:val="00C508E5"/>
    <w:rsid w:val="00C50AD1"/>
    <w:rsid w:val="00C50C4A"/>
    <w:rsid w:val="00C51305"/>
    <w:rsid w:val="00C515BA"/>
    <w:rsid w:val="00C51959"/>
    <w:rsid w:val="00C51A09"/>
    <w:rsid w:val="00C51CEA"/>
    <w:rsid w:val="00C51DA1"/>
    <w:rsid w:val="00C5218A"/>
    <w:rsid w:val="00C523AE"/>
    <w:rsid w:val="00C524A2"/>
    <w:rsid w:val="00C526A9"/>
    <w:rsid w:val="00C52AC7"/>
    <w:rsid w:val="00C52AD9"/>
    <w:rsid w:val="00C52D0B"/>
    <w:rsid w:val="00C52DD7"/>
    <w:rsid w:val="00C52FEB"/>
    <w:rsid w:val="00C535C3"/>
    <w:rsid w:val="00C536AF"/>
    <w:rsid w:val="00C53709"/>
    <w:rsid w:val="00C5388E"/>
    <w:rsid w:val="00C539B2"/>
    <w:rsid w:val="00C53A39"/>
    <w:rsid w:val="00C53A4A"/>
    <w:rsid w:val="00C547C9"/>
    <w:rsid w:val="00C54912"/>
    <w:rsid w:val="00C54BDD"/>
    <w:rsid w:val="00C54ED2"/>
    <w:rsid w:val="00C54F9F"/>
    <w:rsid w:val="00C55193"/>
    <w:rsid w:val="00C551E0"/>
    <w:rsid w:val="00C551E4"/>
    <w:rsid w:val="00C55310"/>
    <w:rsid w:val="00C5574D"/>
    <w:rsid w:val="00C55768"/>
    <w:rsid w:val="00C55B51"/>
    <w:rsid w:val="00C55FD0"/>
    <w:rsid w:val="00C56125"/>
    <w:rsid w:val="00C56204"/>
    <w:rsid w:val="00C563AD"/>
    <w:rsid w:val="00C563D1"/>
    <w:rsid w:val="00C563DE"/>
    <w:rsid w:val="00C5646C"/>
    <w:rsid w:val="00C565E5"/>
    <w:rsid w:val="00C569D5"/>
    <w:rsid w:val="00C56B8A"/>
    <w:rsid w:val="00C56C31"/>
    <w:rsid w:val="00C56D91"/>
    <w:rsid w:val="00C56DBA"/>
    <w:rsid w:val="00C571C1"/>
    <w:rsid w:val="00C57271"/>
    <w:rsid w:val="00C573B0"/>
    <w:rsid w:val="00C57652"/>
    <w:rsid w:val="00C57D56"/>
    <w:rsid w:val="00C57DD7"/>
    <w:rsid w:val="00C57ED8"/>
    <w:rsid w:val="00C600DA"/>
    <w:rsid w:val="00C60231"/>
    <w:rsid w:val="00C6028B"/>
    <w:rsid w:val="00C602B6"/>
    <w:rsid w:val="00C602DB"/>
    <w:rsid w:val="00C6034D"/>
    <w:rsid w:val="00C60432"/>
    <w:rsid w:val="00C60516"/>
    <w:rsid w:val="00C60876"/>
    <w:rsid w:val="00C60939"/>
    <w:rsid w:val="00C60A1F"/>
    <w:rsid w:val="00C60C4C"/>
    <w:rsid w:val="00C60DD5"/>
    <w:rsid w:val="00C60E6E"/>
    <w:rsid w:val="00C60E82"/>
    <w:rsid w:val="00C60F24"/>
    <w:rsid w:val="00C61229"/>
    <w:rsid w:val="00C61374"/>
    <w:rsid w:val="00C61421"/>
    <w:rsid w:val="00C61500"/>
    <w:rsid w:val="00C6157D"/>
    <w:rsid w:val="00C6176A"/>
    <w:rsid w:val="00C618AB"/>
    <w:rsid w:val="00C6192F"/>
    <w:rsid w:val="00C61A53"/>
    <w:rsid w:val="00C61C3A"/>
    <w:rsid w:val="00C61DDC"/>
    <w:rsid w:val="00C61FFA"/>
    <w:rsid w:val="00C62044"/>
    <w:rsid w:val="00C621F1"/>
    <w:rsid w:val="00C62207"/>
    <w:rsid w:val="00C624F4"/>
    <w:rsid w:val="00C627D1"/>
    <w:rsid w:val="00C627D7"/>
    <w:rsid w:val="00C629CC"/>
    <w:rsid w:val="00C62BB1"/>
    <w:rsid w:val="00C62BE0"/>
    <w:rsid w:val="00C62CD0"/>
    <w:rsid w:val="00C62DF9"/>
    <w:rsid w:val="00C62E1C"/>
    <w:rsid w:val="00C63239"/>
    <w:rsid w:val="00C6333B"/>
    <w:rsid w:val="00C633E5"/>
    <w:rsid w:val="00C633F6"/>
    <w:rsid w:val="00C6364E"/>
    <w:rsid w:val="00C63765"/>
    <w:rsid w:val="00C6390B"/>
    <w:rsid w:val="00C63967"/>
    <w:rsid w:val="00C6399C"/>
    <w:rsid w:val="00C63D65"/>
    <w:rsid w:val="00C63D80"/>
    <w:rsid w:val="00C64029"/>
    <w:rsid w:val="00C644C5"/>
    <w:rsid w:val="00C64564"/>
    <w:rsid w:val="00C64687"/>
    <w:rsid w:val="00C648DA"/>
    <w:rsid w:val="00C6498A"/>
    <w:rsid w:val="00C64ACF"/>
    <w:rsid w:val="00C64D8A"/>
    <w:rsid w:val="00C65273"/>
    <w:rsid w:val="00C655A4"/>
    <w:rsid w:val="00C655F8"/>
    <w:rsid w:val="00C65A0B"/>
    <w:rsid w:val="00C65F22"/>
    <w:rsid w:val="00C6628C"/>
    <w:rsid w:val="00C66295"/>
    <w:rsid w:val="00C6650A"/>
    <w:rsid w:val="00C66548"/>
    <w:rsid w:val="00C665C1"/>
    <w:rsid w:val="00C66639"/>
    <w:rsid w:val="00C667C8"/>
    <w:rsid w:val="00C669AC"/>
    <w:rsid w:val="00C66A8E"/>
    <w:rsid w:val="00C66B9A"/>
    <w:rsid w:val="00C66EBE"/>
    <w:rsid w:val="00C66F96"/>
    <w:rsid w:val="00C671D3"/>
    <w:rsid w:val="00C6734B"/>
    <w:rsid w:val="00C678C3"/>
    <w:rsid w:val="00C67AEC"/>
    <w:rsid w:val="00C67B31"/>
    <w:rsid w:val="00C67C45"/>
    <w:rsid w:val="00C67E3D"/>
    <w:rsid w:val="00C67EB2"/>
    <w:rsid w:val="00C67F97"/>
    <w:rsid w:val="00C70032"/>
    <w:rsid w:val="00C701F5"/>
    <w:rsid w:val="00C70401"/>
    <w:rsid w:val="00C704C1"/>
    <w:rsid w:val="00C7059C"/>
    <w:rsid w:val="00C70620"/>
    <w:rsid w:val="00C706CA"/>
    <w:rsid w:val="00C70781"/>
    <w:rsid w:val="00C70897"/>
    <w:rsid w:val="00C70B5D"/>
    <w:rsid w:val="00C70C20"/>
    <w:rsid w:val="00C70C49"/>
    <w:rsid w:val="00C70D5E"/>
    <w:rsid w:val="00C70F90"/>
    <w:rsid w:val="00C7108E"/>
    <w:rsid w:val="00C710A0"/>
    <w:rsid w:val="00C715F9"/>
    <w:rsid w:val="00C71793"/>
    <w:rsid w:val="00C717C2"/>
    <w:rsid w:val="00C71B1D"/>
    <w:rsid w:val="00C71CEA"/>
    <w:rsid w:val="00C71D3A"/>
    <w:rsid w:val="00C71D99"/>
    <w:rsid w:val="00C72206"/>
    <w:rsid w:val="00C722C5"/>
    <w:rsid w:val="00C724DF"/>
    <w:rsid w:val="00C72889"/>
    <w:rsid w:val="00C72922"/>
    <w:rsid w:val="00C72A9C"/>
    <w:rsid w:val="00C72E0E"/>
    <w:rsid w:val="00C73016"/>
    <w:rsid w:val="00C7333A"/>
    <w:rsid w:val="00C734E0"/>
    <w:rsid w:val="00C73524"/>
    <w:rsid w:val="00C73599"/>
    <w:rsid w:val="00C735C5"/>
    <w:rsid w:val="00C736AF"/>
    <w:rsid w:val="00C7386E"/>
    <w:rsid w:val="00C738EE"/>
    <w:rsid w:val="00C73B11"/>
    <w:rsid w:val="00C73B41"/>
    <w:rsid w:val="00C73C84"/>
    <w:rsid w:val="00C73D75"/>
    <w:rsid w:val="00C73F85"/>
    <w:rsid w:val="00C743DB"/>
    <w:rsid w:val="00C74472"/>
    <w:rsid w:val="00C744CD"/>
    <w:rsid w:val="00C74529"/>
    <w:rsid w:val="00C74573"/>
    <w:rsid w:val="00C745C3"/>
    <w:rsid w:val="00C746F1"/>
    <w:rsid w:val="00C74721"/>
    <w:rsid w:val="00C74806"/>
    <w:rsid w:val="00C748CD"/>
    <w:rsid w:val="00C74A10"/>
    <w:rsid w:val="00C74B67"/>
    <w:rsid w:val="00C74BCC"/>
    <w:rsid w:val="00C74CE0"/>
    <w:rsid w:val="00C74D1E"/>
    <w:rsid w:val="00C74D87"/>
    <w:rsid w:val="00C750CF"/>
    <w:rsid w:val="00C751DE"/>
    <w:rsid w:val="00C753BD"/>
    <w:rsid w:val="00C755B0"/>
    <w:rsid w:val="00C756E5"/>
    <w:rsid w:val="00C756EA"/>
    <w:rsid w:val="00C757DC"/>
    <w:rsid w:val="00C75E4D"/>
    <w:rsid w:val="00C764CD"/>
    <w:rsid w:val="00C765DA"/>
    <w:rsid w:val="00C7695A"/>
    <w:rsid w:val="00C76A4D"/>
    <w:rsid w:val="00C76AD4"/>
    <w:rsid w:val="00C76B45"/>
    <w:rsid w:val="00C76C9A"/>
    <w:rsid w:val="00C76CE5"/>
    <w:rsid w:val="00C76D40"/>
    <w:rsid w:val="00C76DEA"/>
    <w:rsid w:val="00C76EDC"/>
    <w:rsid w:val="00C773F6"/>
    <w:rsid w:val="00C7757A"/>
    <w:rsid w:val="00C775A9"/>
    <w:rsid w:val="00C77A39"/>
    <w:rsid w:val="00C77BB1"/>
    <w:rsid w:val="00C77D2B"/>
    <w:rsid w:val="00C77F6E"/>
    <w:rsid w:val="00C8013A"/>
    <w:rsid w:val="00C8029F"/>
    <w:rsid w:val="00C8069F"/>
    <w:rsid w:val="00C806C5"/>
    <w:rsid w:val="00C80846"/>
    <w:rsid w:val="00C809F3"/>
    <w:rsid w:val="00C80ECF"/>
    <w:rsid w:val="00C81010"/>
    <w:rsid w:val="00C81252"/>
    <w:rsid w:val="00C81254"/>
    <w:rsid w:val="00C8134F"/>
    <w:rsid w:val="00C81457"/>
    <w:rsid w:val="00C817BC"/>
    <w:rsid w:val="00C8189F"/>
    <w:rsid w:val="00C818E6"/>
    <w:rsid w:val="00C81A39"/>
    <w:rsid w:val="00C81A58"/>
    <w:rsid w:val="00C8268F"/>
    <w:rsid w:val="00C8270A"/>
    <w:rsid w:val="00C8290D"/>
    <w:rsid w:val="00C82B1E"/>
    <w:rsid w:val="00C82B94"/>
    <w:rsid w:val="00C82E2D"/>
    <w:rsid w:val="00C83029"/>
    <w:rsid w:val="00C8311F"/>
    <w:rsid w:val="00C8337A"/>
    <w:rsid w:val="00C83532"/>
    <w:rsid w:val="00C836F2"/>
    <w:rsid w:val="00C8373F"/>
    <w:rsid w:val="00C83C74"/>
    <w:rsid w:val="00C83FA3"/>
    <w:rsid w:val="00C840B3"/>
    <w:rsid w:val="00C84285"/>
    <w:rsid w:val="00C843A6"/>
    <w:rsid w:val="00C84521"/>
    <w:rsid w:val="00C8471E"/>
    <w:rsid w:val="00C84739"/>
    <w:rsid w:val="00C847BD"/>
    <w:rsid w:val="00C84CA9"/>
    <w:rsid w:val="00C84E47"/>
    <w:rsid w:val="00C8509F"/>
    <w:rsid w:val="00C8531D"/>
    <w:rsid w:val="00C85674"/>
    <w:rsid w:val="00C85885"/>
    <w:rsid w:val="00C859CC"/>
    <w:rsid w:val="00C85C6E"/>
    <w:rsid w:val="00C85CCC"/>
    <w:rsid w:val="00C86095"/>
    <w:rsid w:val="00C860B8"/>
    <w:rsid w:val="00C8611C"/>
    <w:rsid w:val="00C861D0"/>
    <w:rsid w:val="00C86269"/>
    <w:rsid w:val="00C863D5"/>
    <w:rsid w:val="00C8644F"/>
    <w:rsid w:val="00C86718"/>
    <w:rsid w:val="00C86832"/>
    <w:rsid w:val="00C868EC"/>
    <w:rsid w:val="00C8696F"/>
    <w:rsid w:val="00C86AC8"/>
    <w:rsid w:val="00C86B3C"/>
    <w:rsid w:val="00C86C68"/>
    <w:rsid w:val="00C86C6B"/>
    <w:rsid w:val="00C86C8B"/>
    <w:rsid w:val="00C86F25"/>
    <w:rsid w:val="00C86F31"/>
    <w:rsid w:val="00C86F84"/>
    <w:rsid w:val="00C86F87"/>
    <w:rsid w:val="00C86FCB"/>
    <w:rsid w:val="00C87267"/>
    <w:rsid w:val="00C873D4"/>
    <w:rsid w:val="00C87543"/>
    <w:rsid w:val="00C87556"/>
    <w:rsid w:val="00C87B97"/>
    <w:rsid w:val="00C87FB0"/>
    <w:rsid w:val="00C9022B"/>
    <w:rsid w:val="00C9029C"/>
    <w:rsid w:val="00C90326"/>
    <w:rsid w:val="00C90576"/>
    <w:rsid w:val="00C905D5"/>
    <w:rsid w:val="00C90769"/>
    <w:rsid w:val="00C90866"/>
    <w:rsid w:val="00C909DA"/>
    <w:rsid w:val="00C90B08"/>
    <w:rsid w:val="00C90B7F"/>
    <w:rsid w:val="00C90ECF"/>
    <w:rsid w:val="00C90F38"/>
    <w:rsid w:val="00C911D4"/>
    <w:rsid w:val="00C911EF"/>
    <w:rsid w:val="00C91259"/>
    <w:rsid w:val="00C912B0"/>
    <w:rsid w:val="00C91498"/>
    <w:rsid w:val="00C914E2"/>
    <w:rsid w:val="00C91AB3"/>
    <w:rsid w:val="00C91C3C"/>
    <w:rsid w:val="00C91D9B"/>
    <w:rsid w:val="00C9201A"/>
    <w:rsid w:val="00C92344"/>
    <w:rsid w:val="00C92386"/>
    <w:rsid w:val="00C924FE"/>
    <w:rsid w:val="00C92568"/>
    <w:rsid w:val="00C92635"/>
    <w:rsid w:val="00C9285F"/>
    <w:rsid w:val="00C92E4E"/>
    <w:rsid w:val="00C92F2B"/>
    <w:rsid w:val="00C92FAC"/>
    <w:rsid w:val="00C931BE"/>
    <w:rsid w:val="00C93655"/>
    <w:rsid w:val="00C936CB"/>
    <w:rsid w:val="00C9396C"/>
    <w:rsid w:val="00C93AB5"/>
    <w:rsid w:val="00C93B7D"/>
    <w:rsid w:val="00C93DD3"/>
    <w:rsid w:val="00C93F6C"/>
    <w:rsid w:val="00C93F7E"/>
    <w:rsid w:val="00C94065"/>
    <w:rsid w:val="00C94136"/>
    <w:rsid w:val="00C942DB"/>
    <w:rsid w:val="00C9434A"/>
    <w:rsid w:val="00C94369"/>
    <w:rsid w:val="00C94BF8"/>
    <w:rsid w:val="00C94E83"/>
    <w:rsid w:val="00C94EBF"/>
    <w:rsid w:val="00C94F89"/>
    <w:rsid w:val="00C95163"/>
    <w:rsid w:val="00C95324"/>
    <w:rsid w:val="00C958CA"/>
    <w:rsid w:val="00C95BF2"/>
    <w:rsid w:val="00C95CF9"/>
    <w:rsid w:val="00C9605B"/>
    <w:rsid w:val="00C9613D"/>
    <w:rsid w:val="00C96581"/>
    <w:rsid w:val="00C965F0"/>
    <w:rsid w:val="00C9673F"/>
    <w:rsid w:val="00C96844"/>
    <w:rsid w:val="00C96ADD"/>
    <w:rsid w:val="00C96B0F"/>
    <w:rsid w:val="00C96C43"/>
    <w:rsid w:val="00C96E67"/>
    <w:rsid w:val="00C96F6D"/>
    <w:rsid w:val="00C970BA"/>
    <w:rsid w:val="00C970EC"/>
    <w:rsid w:val="00C97292"/>
    <w:rsid w:val="00C973CA"/>
    <w:rsid w:val="00C97794"/>
    <w:rsid w:val="00C9794B"/>
    <w:rsid w:val="00C97950"/>
    <w:rsid w:val="00C97A47"/>
    <w:rsid w:val="00C97B9C"/>
    <w:rsid w:val="00C97FF5"/>
    <w:rsid w:val="00CA00A3"/>
    <w:rsid w:val="00CA0264"/>
    <w:rsid w:val="00CA02F5"/>
    <w:rsid w:val="00CA04AF"/>
    <w:rsid w:val="00CA076A"/>
    <w:rsid w:val="00CA08C7"/>
    <w:rsid w:val="00CA09EA"/>
    <w:rsid w:val="00CA0D7E"/>
    <w:rsid w:val="00CA0DEC"/>
    <w:rsid w:val="00CA0E2C"/>
    <w:rsid w:val="00CA0E58"/>
    <w:rsid w:val="00CA0FE6"/>
    <w:rsid w:val="00CA102B"/>
    <w:rsid w:val="00CA118F"/>
    <w:rsid w:val="00CA129B"/>
    <w:rsid w:val="00CA12B2"/>
    <w:rsid w:val="00CA13CA"/>
    <w:rsid w:val="00CA13CF"/>
    <w:rsid w:val="00CA13F0"/>
    <w:rsid w:val="00CA14CD"/>
    <w:rsid w:val="00CA1621"/>
    <w:rsid w:val="00CA1652"/>
    <w:rsid w:val="00CA18A0"/>
    <w:rsid w:val="00CA18DB"/>
    <w:rsid w:val="00CA1924"/>
    <w:rsid w:val="00CA1B8C"/>
    <w:rsid w:val="00CA1E83"/>
    <w:rsid w:val="00CA20EA"/>
    <w:rsid w:val="00CA2565"/>
    <w:rsid w:val="00CA2619"/>
    <w:rsid w:val="00CA27B7"/>
    <w:rsid w:val="00CA2CDA"/>
    <w:rsid w:val="00CA2D65"/>
    <w:rsid w:val="00CA2E41"/>
    <w:rsid w:val="00CA2E5B"/>
    <w:rsid w:val="00CA2FC2"/>
    <w:rsid w:val="00CA2FD6"/>
    <w:rsid w:val="00CA2FF3"/>
    <w:rsid w:val="00CA311D"/>
    <w:rsid w:val="00CA3192"/>
    <w:rsid w:val="00CA32C2"/>
    <w:rsid w:val="00CA37A5"/>
    <w:rsid w:val="00CA39F7"/>
    <w:rsid w:val="00CA3B78"/>
    <w:rsid w:val="00CA3F28"/>
    <w:rsid w:val="00CA415A"/>
    <w:rsid w:val="00CA427D"/>
    <w:rsid w:val="00CA466B"/>
    <w:rsid w:val="00CA46A3"/>
    <w:rsid w:val="00CA47C3"/>
    <w:rsid w:val="00CA4801"/>
    <w:rsid w:val="00CA4812"/>
    <w:rsid w:val="00CA4958"/>
    <w:rsid w:val="00CA4AC7"/>
    <w:rsid w:val="00CA4BFC"/>
    <w:rsid w:val="00CA4D0E"/>
    <w:rsid w:val="00CA4DEE"/>
    <w:rsid w:val="00CA4ED9"/>
    <w:rsid w:val="00CA4F7F"/>
    <w:rsid w:val="00CA53A3"/>
    <w:rsid w:val="00CA578A"/>
    <w:rsid w:val="00CA5900"/>
    <w:rsid w:val="00CA5AE2"/>
    <w:rsid w:val="00CA5B0C"/>
    <w:rsid w:val="00CA5BDD"/>
    <w:rsid w:val="00CA5CBB"/>
    <w:rsid w:val="00CA5D96"/>
    <w:rsid w:val="00CA5F9B"/>
    <w:rsid w:val="00CA613C"/>
    <w:rsid w:val="00CA649E"/>
    <w:rsid w:val="00CA65E4"/>
    <w:rsid w:val="00CA6A71"/>
    <w:rsid w:val="00CA6A78"/>
    <w:rsid w:val="00CA6C54"/>
    <w:rsid w:val="00CA6DE0"/>
    <w:rsid w:val="00CA6DF5"/>
    <w:rsid w:val="00CA6E00"/>
    <w:rsid w:val="00CA72B1"/>
    <w:rsid w:val="00CA72CD"/>
    <w:rsid w:val="00CA7376"/>
    <w:rsid w:val="00CA7627"/>
    <w:rsid w:val="00CA7852"/>
    <w:rsid w:val="00CA7978"/>
    <w:rsid w:val="00CA7FC1"/>
    <w:rsid w:val="00CB000B"/>
    <w:rsid w:val="00CB007C"/>
    <w:rsid w:val="00CB019D"/>
    <w:rsid w:val="00CB028D"/>
    <w:rsid w:val="00CB0314"/>
    <w:rsid w:val="00CB0557"/>
    <w:rsid w:val="00CB056A"/>
    <w:rsid w:val="00CB0A15"/>
    <w:rsid w:val="00CB0A28"/>
    <w:rsid w:val="00CB0CC3"/>
    <w:rsid w:val="00CB1039"/>
    <w:rsid w:val="00CB10D6"/>
    <w:rsid w:val="00CB117A"/>
    <w:rsid w:val="00CB1202"/>
    <w:rsid w:val="00CB1206"/>
    <w:rsid w:val="00CB13D7"/>
    <w:rsid w:val="00CB155A"/>
    <w:rsid w:val="00CB1584"/>
    <w:rsid w:val="00CB171A"/>
    <w:rsid w:val="00CB19F0"/>
    <w:rsid w:val="00CB1A59"/>
    <w:rsid w:val="00CB1C84"/>
    <w:rsid w:val="00CB1E92"/>
    <w:rsid w:val="00CB1FE8"/>
    <w:rsid w:val="00CB211F"/>
    <w:rsid w:val="00CB2124"/>
    <w:rsid w:val="00CB2247"/>
    <w:rsid w:val="00CB2342"/>
    <w:rsid w:val="00CB2405"/>
    <w:rsid w:val="00CB2460"/>
    <w:rsid w:val="00CB2652"/>
    <w:rsid w:val="00CB2708"/>
    <w:rsid w:val="00CB29EE"/>
    <w:rsid w:val="00CB2A05"/>
    <w:rsid w:val="00CB2AAB"/>
    <w:rsid w:val="00CB2C1E"/>
    <w:rsid w:val="00CB2CB0"/>
    <w:rsid w:val="00CB2F9A"/>
    <w:rsid w:val="00CB2FB5"/>
    <w:rsid w:val="00CB2FB6"/>
    <w:rsid w:val="00CB3161"/>
    <w:rsid w:val="00CB3238"/>
    <w:rsid w:val="00CB3651"/>
    <w:rsid w:val="00CB366B"/>
    <w:rsid w:val="00CB36D3"/>
    <w:rsid w:val="00CB3749"/>
    <w:rsid w:val="00CB38D9"/>
    <w:rsid w:val="00CB394A"/>
    <w:rsid w:val="00CB3B27"/>
    <w:rsid w:val="00CB3B81"/>
    <w:rsid w:val="00CB3E87"/>
    <w:rsid w:val="00CB3ECD"/>
    <w:rsid w:val="00CB3F2A"/>
    <w:rsid w:val="00CB430C"/>
    <w:rsid w:val="00CB4324"/>
    <w:rsid w:val="00CB4854"/>
    <w:rsid w:val="00CB48B1"/>
    <w:rsid w:val="00CB4A5A"/>
    <w:rsid w:val="00CB50CB"/>
    <w:rsid w:val="00CB5386"/>
    <w:rsid w:val="00CB5448"/>
    <w:rsid w:val="00CB546F"/>
    <w:rsid w:val="00CB55AD"/>
    <w:rsid w:val="00CB55DD"/>
    <w:rsid w:val="00CB58FC"/>
    <w:rsid w:val="00CB5B09"/>
    <w:rsid w:val="00CB5B2C"/>
    <w:rsid w:val="00CB5C58"/>
    <w:rsid w:val="00CB5D4B"/>
    <w:rsid w:val="00CB6066"/>
    <w:rsid w:val="00CB6305"/>
    <w:rsid w:val="00CB6316"/>
    <w:rsid w:val="00CB648F"/>
    <w:rsid w:val="00CB65F1"/>
    <w:rsid w:val="00CB660A"/>
    <w:rsid w:val="00CB6768"/>
    <w:rsid w:val="00CB6842"/>
    <w:rsid w:val="00CB6881"/>
    <w:rsid w:val="00CB69B5"/>
    <w:rsid w:val="00CB6A08"/>
    <w:rsid w:val="00CB6AEF"/>
    <w:rsid w:val="00CB6DFA"/>
    <w:rsid w:val="00CB7054"/>
    <w:rsid w:val="00CB70B2"/>
    <w:rsid w:val="00CB70CC"/>
    <w:rsid w:val="00CB712A"/>
    <w:rsid w:val="00CB7225"/>
    <w:rsid w:val="00CB7676"/>
    <w:rsid w:val="00CB780F"/>
    <w:rsid w:val="00CB78C3"/>
    <w:rsid w:val="00CB7C71"/>
    <w:rsid w:val="00CB7CBF"/>
    <w:rsid w:val="00CB7E6D"/>
    <w:rsid w:val="00CB7FE1"/>
    <w:rsid w:val="00CC00AF"/>
    <w:rsid w:val="00CC02F6"/>
    <w:rsid w:val="00CC0521"/>
    <w:rsid w:val="00CC056D"/>
    <w:rsid w:val="00CC08A8"/>
    <w:rsid w:val="00CC0B7C"/>
    <w:rsid w:val="00CC0C6C"/>
    <w:rsid w:val="00CC139E"/>
    <w:rsid w:val="00CC140C"/>
    <w:rsid w:val="00CC14BA"/>
    <w:rsid w:val="00CC151F"/>
    <w:rsid w:val="00CC15F7"/>
    <w:rsid w:val="00CC19CE"/>
    <w:rsid w:val="00CC1A32"/>
    <w:rsid w:val="00CC1A8F"/>
    <w:rsid w:val="00CC1B3A"/>
    <w:rsid w:val="00CC1E2D"/>
    <w:rsid w:val="00CC1E61"/>
    <w:rsid w:val="00CC1F8F"/>
    <w:rsid w:val="00CC21A9"/>
    <w:rsid w:val="00CC2228"/>
    <w:rsid w:val="00CC2251"/>
    <w:rsid w:val="00CC2297"/>
    <w:rsid w:val="00CC2352"/>
    <w:rsid w:val="00CC23B5"/>
    <w:rsid w:val="00CC23C5"/>
    <w:rsid w:val="00CC25CC"/>
    <w:rsid w:val="00CC25EE"/>
    <w:rsid w:val="00CC2626"/>
    <w:rsid w:val="00CC298C"/>
    <w:rsid w:val="00CC2997"/>
    <w:rsid w:val="00CC2D01"/>
    <w:rsid w:val="00CC2DF4"/>
    <w:rsid w:val="00CC2E6E"/>
    <w:rsid w:val="00CC2F04"/>
    <w:rsid w:val="00CC3092"/>
    <w:rsid w:val="00CC31EE"/>
    <w:rsid w:val="00CC386E"/>
    <w:rsid w:val="00CC398D"/>
    <w:rsid w:val="00CC3B56"/>
    <w:rsid w:val="00CC3C60"/>
    <w:rsid w:val="00CC42F5"/>
    <w:rsid w:val="00CC4333"/>
    <w:rsid w:val="00CC43CC"/>
    <w:rsid w:val="00CC4439"/>
    <w:rsid w:val="00CC45F5"/>
    <w:rsid w:val="00CC4615"/>
    <w:rsid w:val="00CC47EA"/>
    <w:rsid w:val="00CC4A0C"/>
    <w:rsid w:val="00CC4BEF"/>
    <w:rsid w:val="00CC4E97"/>
    <w:rsid w:val="00CC505D"/>
    <w:rsid w:val="00CC50BF"/>
    <w:rsid w:val="00CC52B6"/>
    <w:rsid w:val="00CC52D3"/>
    <w:rsid w:val="00CC542E"/>
    <w:rsid w:val="00CC54CA"/>
    <w:rsid w:val="00CC5706"/>
    <w:rsid w:val="00CC5963"/>
    <w:rsid w:val="00CC5C30"/>
    <w:rsid w:val="00CC5E4C"/>
    <w:rsid w:val="00CC5EFD"/>
    <w:rsid w:val="00CC5FDA"/>
    <w:rsid w:val="00CC6021"/>
    <w:rsid w:val="00CC6305"/>
    <w:rsid w:val="00CC634F"/>
    <w:rsid w:val="00CC6462"/>
    <w:rsid w:val="00CC674B"/>
    <w:rsid w:val="00CC6859"/>
    <w:rsid w:val="00CC6871"/>
    <w:rsid w:val="00CC6B22"/>
    <w:rsid w:val="00CC6BBA"/>
    <w:rsid w:val="00CC7193"/>
    <w:rsid w:val="00CC7388"/>
    <w:rsid w:val="00CC7455"/>
    <w:rsid w:val="00CC7625"/>
    <w:rsid w:val="00CC7723"/>
    <w:rsid w:val="00CC7A10"/>
    <w:rsid w:val="00CC7AC3"/>
    <w:rsid w:val="00CC7C58"/>
    <w:rsid w:val="00CC7CFD"/>
    <w:rsid w:val="00CC7F76"/>
    <w:rsid w:val="00CD032F"/>
    <w:rsid w:val="00CD0811"/>
    <w:rsid w:val="00CD1073"/>
    <w:rsid w:val="00CD1103"/>
    <w:rsid w:val="00CD1435"/>
    <w:rsid w:val="00CD16EA"/>
    <w:rsid w:val="00CD175D"/>
    <w:rsid w:val="00CD17C0"/>
    <w:rsid w:val="00CD18E7"/>
    <w:rsid w:val="00CD1A58"/>
    <w:rsid w:val="00CD1BFF"/>
    <w:rsid w:val="00CD1C2A"/>
    <w:rsid w:val="00CD1F32"/>
    <w:rsid w:val="00CD20AE"/>
    <w:rsid w:val="00CD219F"/>
    <w:rsid w:val="00CD2535"/>
    <w:rsid w:val="00CD27AB"/>
    <w:rsid w:val="00CD2A9E"/>
    <w:rsid w:val="00CD2AB8"/>
    <w:rsid w:val="00CD2B05"/>
    <w:rsid w:val="00CD2BED"/>
    <w:rsid w:val="00CD2C90"/>
    <w:rsid w:val="00CD2CF6"/>
    <w:rsid w:val="00CD2D43"/>
    <w:rsid w:val="00CD2E39"/>
    <w:rsid w:val="00CD2F4B"/>
    <w:rsid w:val="00CD310A"/>
    <w:rsid w:val="00CD315C"/>
    <w:rsid w:val="00CD3164"/>
    <w:rsid w:val="00CD31A5"/>
    <w:rsid w:val="00CD3223"/>
    <w:rsid w:val="00CD33C1"/>
    <w:rsid w:val="00CD3770"/>
    <w:rsid w:val="00CD38D7"/>
    <w:rsid w:val="00CD3AB5"/>
    <w:rsid w:val="00CD3BDF"/>
    <w:rsid w:val="00CD3CBC"/>
    <w:rsid w:val="00CD3DC6"/>
    <w:rsid w:val="00CD3F14"/>
    <w:rsid w:val="00CD40CE"/>
    <w:rsid w:val="00CD4317"/>
    <w:rsid w:val="00CD4466"/>
    <w:rsid w:val="00CD4548"/>
    <w:rsid w:val="00CD4826"/>
    <w:rsid w:val="00CD4995"/>
    <w:rsid w:val="00CD4B52"/>
    <w:rsid w:val="00CD4ED1"/>
    <w:rsid w:val="00CD4FC9"/>
    <w:rsid w:val="00CD52D7"/>
    <w:rsid w:val="00CD57E0"/>
    <w:rsid w:val="00CD57EC"/>
    <w:rsid w:val="00CD5850"/>
    <w:rsid w:val="00CD5B5D"/>
    <w:rsid w:val="00CD5B6A"/>
    <w:rsid w:val="00CD5B8A"/>
    <w:rsid w:val="00CD5EB2"/>
    <w:rsid w:val="00CD6355"/>
    <w:rsid w:val="00CD6358"/>
    <w:rsid w:val="00CD6563"/>
    <w:rsid w:val="00CD6690"/>
    <w:rsid w:val="00CD68B3"/>
    <w:rsid w:val="00CD69F3"/>
    <w:rsid w:val="00CD6E5C"/>
    <w:rsid w:val="00CD6F85"/>
    <w:rsid w:val="00CD7039"/>
    <w:rsid w:val="00CD7265"/>
    <w:rsid w:val="00CD77FF"/>
    <w:rsid w:val="00CD78E2"/>
    <w:rsid w:val="00CE0094"/>
    <w:rsid w:val="00CE0307"/>
    <w:rsid w:val="00CE039E"/>
    <w:rsid w:val="00CE0487"/>
    <w:rsid w:val="00CE07B1"/>
    <w:rsid w:val="00CE0AEA"/>
    <w:rsid w:val="00CE0C0C"/>
    <w:rsid w:val="00CE0D9A"/>
    <w:rsid w:val="00CE0FB8"/>
    <w:rsid w:val="00CE121D"/>
    <w:rsid w:val="00CE1229"/>
    <w:rsid w:val="00CE1282"/>
    <w:rsid w:val="00CE12BB"/>
    <w:rsid w:val="00CE1354"/>
    <w:rsid w:val="00CE1355"/>
    <w:rsid w:val="00CE137F"/>
    <w:rsid w:val="00CE17A1"/>
    <w:rsid w:val="00CE183D"/>
    <w:rsid w:val="00CE1892"/>
    <w:rsid w:val="00CE1982"/>
    <w:rsid w:val="00CE1A30"/>
    <w:rsid w:val="00CE1C3D"/>
    <w:rsid w:val="00CE1C94"/>
    <w:rsid w:val="00CE1C9D"/>
    <w:rsid w:val="00CE1ECC"/>
    <w:rsid w:val="00CE2080"/>
    <w:rsid w:val="00CE2099"/>
    <w:rsid w:val="00CE21FE"/>
    <w:rsid w:val="00CE2406"/>
    <w:rsid w:val="00CE2506"/>
    <w:rsid w:val="00CE25C3"/>
    <w:rsid w:val="00CE2819"/>
    <w:rsid w:val="00CE2AEF"/>
    <w:rsid w:val="00CE2B59"/>
    <w:rsid w:val="00CE2BDF"/>
    <w:rsid w:val="00CE2CB1"/>
    <w:rsid w:val="00CE2F6B"/>
    <w:rsid w:val="00CE3274"/>
    <w:rsid w:val="00CE336D"/>
    <w:rsid w:val="00CE3751"/>
    <w:rsid w:val="00CE38E4"/>
    <w:rsid w:val="00CE3C58"/>
    <w:rsid w:val="00CE3D38"/>
    <w:rsid w:val="00CE3DC0"/>
    <w:rsid w:val="00CE3E93"/>
    <w:rsid w:val="00CE427E"/>
    <w:rsid w:val="00CE42E6"/>
    <w:rsid w:val="00CE44B0"/>
    <w:rsid w:val="00CE454B"/>
    <w:rsid w:val="00CE45FF"/>
    <w:rsid w:val="00CE4892"/>
    <w:rsid w:val="00CE4C31"/>
    <w:rsid w:val="00CE4CF2"/>
    <w:rsid w:val="00CE4CFD"/>
    <w:rsid w:val="00CE4D6F"/>
    <w:rsid w:val="00CE4F2B"/>
    <w:rsid w:val="00CE5021"/>
    <w:rsid w:val="00CE5028"/>
    <w:rsid w:val="00CE50BE"/>
    <w:rsid w:val="00CE5254"/>
    <w:rsid w:val="00CE52CA"/>
    <w:rsid w:val="00CE5539"/>
    <w:rsid w:val="00CE556D"/>
    <w:rsid w:val="00CE55D9"/>
    <w:rsid w:val="00CE55DD"/>
    <w:rsid w:val="00CE56D8"/>
    <w:rsid w:val="00CE59CD"/>
    <w:rsid w:val="00CE5ADB"/>
    <w:rsid w:val="00CE5B11"/>
    <w:rsid w:val="00CE5B13"/>
    <w:rsid w:val="00CE5E1F"/>
    <w:rsid w:val="00CE5F1D"/>
    <w:rsid w:val="00CE5F61"/>
    <w:rsid w:val="00CE6000"/>
    <w:rsid w:val="00CE65DA"/>
    <w:rsid w:val="00CE66A8"/>
    <w:rsid w:val="00CE6723"/>
    <w:rsid w:val="00CE6919"/>
    <w:rsid w:val="00CE6E90"/>
    <w:rsid w:val="00CE6F46"/>
    <w:rsid w:val="00CE6F76"/>
    <w:rsid w:val="00CE72A6"/>
    <w:rsid w:val="00CE7440"/>
    <w:rsid w:val="00CE770C"/>
    <w:rsid w:val="00CE7748"/>
    <w:rsid w:val="00CE7812"/>
    <w:rsid w:val="00CE792F"/>
    <w:rsid w:val="00CE7A4A"/>
    <w:rsid w:val="00CE7AC9"/>
    <w:rsid w:val="00CE7E1E"/>
    <w:rsid w:val="00CF0033"/>
    <w:rsid w:val="00CF0318"/>
    <w:rsid w:val="00CF03F4"/>
    <w:rsid w:val="00CF046C"/>
    <w:rsid w:val="00CF05A9"/>
    <w:rsid w:val="00CF07B2"/>
    <w:rsid w:val="00CF07CB"/>
    <w:rsid w:val="00CF0880"/>
    <w:rsid w:val="00CF09B5"/>
    <w:rsid w:val="00CF0BCC"/>
    <w:rsid w:val="00CF0F47"/>
    <w:rsid w:val="00CF0FE4"/>
    <w:rsid w:val="00CF1096"/>
    <w:rsid w:val="00CF112F"/>
    <w:rsid w:val="00CF121C"/>
    <w:rsid w:val="00CF1247"/>
    <w:rsid w:val="00CF12E6"/>
    <w:rsid w:val="00CF1305"/>
    <w:rsid w:val="00CF141D"/>
    <w:rsid w:val="00CF1710"/>
    <w:rsid w:val="00CF1740"/>
    <w:rsid w:val="00CF1957"/>
    <w:rsid w:val="00CF1A44"/>
    <w:rsid w:val="00CF1CBD"/>
    <w:rsid w:val="00CF2135"/>
    <w:rsid w:val="00CF23EF"/>
    <w:rsid w:val="00CF24B6"/>
    <w:rsid w:val="00CF276A"/>
    <w:rsid w:val="00CF2A20"/>
    <w:rsid w:val="00CF2AE2"/>
    <w:rsid w:val="00CF2B7F"/>
    <w:rsid w:val="00CF2F93"/>
    <w:rsid w:val="00CF3480"/>
    <w:rsid w:val="00CF37D2"/>
    <w:rsid w:val="00CF38A7"/>
    <w:rsid w:val="00CF3A51"/>
    <w:rsid w:val="00CF3A93"/>
    <w:rsid w:val="00CF3AF2"/>
    <w:rsid w:val="00CF3B56"/>
    <w:rsid w:val="00CF3B96"/>
    <w:rsid w:val="00CF3E88"/>
    <w:rsid w:val="00CF42FD"/>
    <w:rsid w:val="00CF443E"/>
    <w:rsid w:val="00CF48E0"/>
    <w:rsid w:val="00CF4A62"/>
    <w:rsid w:val="00CF4BEA"/>
    <w:rsid w:val="00CF4BEC"/>
    <w:rsid w:val="00CF4C64"/>
    <w:rsid w:val="00CF4D3E"/>
    <w:rsid w:val="00CF4F9B"/>
    <w:rsid w:val="00CF50AA"/>
    <w:rsid w:val="00CF5150"/>
    <w:rsid w:val="00CF5172"/>
    <w:rsid w:val="00CF5178"/>
    <w:rsid w:val="00CF5351"/>
    <w:rsid w:val="00CF53DB"/>
    <w:rsid w:val="00CF54AC"/>
    <w:rsid w:val="00CF560F"/>
    <w:rsid w:val="00CF57D3"/>
    <w:rsid w:val="00CF5916"/>
    <w:rsid w:val="00CF59C5"/>
    <w:rsid w:val="00CF5E64"/>
    <w:rsid w:val="00CF5ED2"/>
    <w:rsid w:val="00CF60B8"/>
    <w:rsid w:val="00CF6457"/>
    <w:rsid w:val="00CF6499"/>
    <w:rsid w:val="00CF64C5"/>
    <w:rsid w:val="00CF669A"/>
    <w:rsid w:val="00CF68E8"/>
    <w:rsid w:val="00CF6A06"/>
    <w:rsid w:val="00CF6C1A"/>
    <w:rsid w:val="00CF6C51"/>
    <w:rsid w:val="00CF6CCA"/>
    <w:rsid w:val="00CF70C1"/>
    <w:rsid w:val="00CF7148"/>
    <w:rsid w:val="00CF7347"/>
    <w:rsid w:val="00CF7395"/>
    <w:rsid w:val="00CF754C"/>
    <w:rsid w:val="00CF7856"/>
    <w:rsid w:val="00CF7871"/>
    <w:rsid w:val="00CF7889"/>
    <w:rsid w:val="00CF7AC7"/>
    <w:rsid w:val="00CF7B22"/>
    <w:rsid w:val="00CF7BC7"/>
    <w:rsid w:val="00CF7C8A"/>
    <w:rsid w:val="00CF7CBE"/>
    <w:rsid w:val="00CF7CDD"/>
    <w:rsid w:val="00CF7D6D"/>
    <w:rsid w:val="00CF7FD3"/>
    <w:rsid w:val="00D00123"/>
    <w:rsid w:val="00D002FF"/>
    <w:rsid w:val="00D00398"/>
    <w:rsid w:val="00D00458"/>
    <w:rsid w:val="00D0064F"/>
    <w:rsid w:val="00D00903"/>
    <w:rsid w:val="00D00AAC"/>
    <w:rsid w:val="00D00B64"/>
    <w:rsid w:val="00D00C11"/>
    <w:rsid w:val="00D00E89"/>
    <w:rsid w:val="00D00EA7"/>
    <w:rsid w:val="00D00FA2"/>
    <w:rsid w:val="00D01034"/>
    <w:rsid w:val="00D01183"/>
    <w:rsid w:val="00D0136D"/>
    <w:rsid w:val="00D01547"/>
    <w:rsid w:val="00D015E7"/>
    <w:rsid w:val="00D017B0"/>
    <w:rsid w:val="00D01A1C"/>
    <w:rsid w:val="00D01F5B"/>
    <w:rsid w:val="00D01F5C"/>
    <w:rsid w:val="00D01FBF"/>
    <w:rsid w:val="00D021B0"/>
    <w:rsid w:val="00D02344"/>
    <w:rsid w:val="00D02482"/>
    <w:rsid w:val="00D02568"/>
    <w:rsid w:val="00D02647"/>
    <w:rsid w:val="00D02668"/>
    <w:rsid w:val="00D0280E"/>
    <w:rsid w:val="00D02861"/>
    <w:rsid w:val="00D02964"/>
    <w:rsid w:val="00D02A7E"/>
    <w:rsid w:val="00D02A8B"/>
    <w:rsid w:val="00D02A96"/>
    <w:rsid w:val="00D03216"/>
    <w:rsid w:val="00D033A4"/>
    <w:rsid w:val="00D033D5"/>
    <w:rsid w:val="00D036A3"/>
    <w:rsid w:val="00D036ED"/>
    <w:rsid w:val="00D037B4"/>
    <w:rsid w:val="00D03A4E"/>
    <w:rsid w:val="00D03B65"/>
    <w:rsid w:val="00D04092"/>
    <w:rsid w:val="00D040EE"/>
    <w:rsid w:val="00D0429B"/>
    <w:rsid w:val="00D0438D"/>
    <w:rsid w:val="00D04446"/>
    <w:rsid w:val="00D04527"/>
    <w:rsid w:val="00D04654"/>
    <w:rsid w:val="00D046B4"/>
    <w:rsid w:val="00D04711"/>
    <w:rsid w:val="00D04D24"/>
    <w:rsid w:val="00D04DCA"/>
    <w:rsid w:val="00D04E7C"/>
    <w:rsid w:val="00D051A4"/>
    <w:rsid w:val="00D05275"/>
    <w:rsid w:val="00D054B7"/>
    <w:rsid w:val="00D055A8"/>
    <w:rsid w:val="00D055AD"/>
    <w:rsid w:val="00D05617"/>
    <w:rsid w:val="00D05916"/>
    <w:rsid w:val="00D0596D"/>
    <w:rsid w:val="00D05B58"/>
    <w:rsid w:val="00D05C61"/>
    <w:rsid w:val="00D05CD5"/>
    <w:rsid w:val="00D05E06"/>
    <w:rsid w:val="00D05E1C"/>
    <w:rsid w:val="00D05E28"/>
    <w:rsid w:val="00D05E64"/>
    <w:rsid w:val="00D05F63"/>
    <w:rsid w:val="00D0613F"/>
    <w:rsid w:val="00D06141"/>
    <w:rsid w:val="00D06208"/>
    <w:rsid w:val="00D0628A"/>
    <w:rsid w:val="00D06366"/>
    <w:rsid w:val="00D067E9"/>
    <w:rsid w:val="00D06BF0"/>
    <w:rsid w:val="00D06C98"/>
    <w:rsid w:val="00D06CF7"/>
    <w:rsid w:val="00D06EA2"/>
    <w:rsid w:val="00D0724C"/>
    <w:rsid w:val="00D074D9"/>
    <w:rsid w:val="00D07663"/>
    <w:rsid w:val="00D076E9"/>
    <w:rsid w:val="00D07771"/>
    <w:rsid w:val="00D0785E"/>
    <w:rsid w:val="00D07A69"/>
    <w:rsid w:val="00D07AE0"/>
    <w:rsid w:val="00D07C49"/>
    <w:rsid w:val="00D07D0F"/>
    <w:rsid w:val="00D1059F"/>
    <w:rsid w:val="00D108F3"/>
    <w:rsid w:val="00D10B4B"/>
    <w:rsid w:val="00D10BB4"/>
    <w:rsid w:val="00D10F0F"/>
    <w:rsid w:val="00D10F1E"/>
    <w:rsid w:val="00D11532"/>
    <w:rsid w:val="00D1177D"/>
    <w:rsid w:val="00D11879"/>
    <w:rsid w:val="00D11B14"/>
    <w:rsid w:val="00D11C2D"/>
    <w:rsid w:val="00D11CF7"/>
    <w:rsid w:val="00D11D17"/>
    <w:rsid w:val="00D11F16"/>
    <w:rsid w:val="00D12091"/>
    <w:rsid w:val="00D12344"/>
    <w:rsid w:val="00D12398"/>
    <w:rsid w:val="00D125AA"/>
    <w:rsid w:val="00D12644"/>
    <w:rsid w:val="00D1292E"/>
    <w:rsid w:val="00D12ACB"/>
    <w:rsid w:val="00D12D2A"/>
    <w:rsid w:val="00D12E2C"/>
    <w:rsid w:val="00D132D6"/>
    <w:rsid w:val="00D1399A"/>
    <w:rsid w:val="00D13D0C"/>
    <w:rsid w:val="00D13D1F"/>
    <w:rsid w:val="00D13E89"/>
    <w:rsid w:val="00D13F92"/>
    <w:rsid w:val="00D13FDD"/>
    <w:rsid w:val="00D140D4"/>
    <w:rsid w:val="00D14120"/>
    <w:rsid w:val="00D141B7"/>
    <w:rsid w:val="00D142C6"/>
    <w:rsid w:val="00D142FA"/>
    <w:rsid w:val="00D1447C"/>
    <w:rsid w:val="00D144F1"/>
    <w:rsid w:val="00D14820"/>
    <w:rsid w:val="00D14824"/>
    <w:rsid w:val="00D14864"/>
    <w:rsid w:val="00D14A3E"/>
    <w:rsid w:val="00D14DAD"/>
    <w:rsid w:val="00D14FC6"/>
    <w:rsid w:val="00D15074"/>
    <w:rsid w:val="00D152D4"/>
    <w:rsid w:val="00D15342"/>
    <w:rsid w:val="00D15386"/>
    <w:rsid w:val="00D153F9"/>
    <w:rsid w:val="00D1547C"/>
    <w:rsid w:val="00D1549A"/>
    <w:rsid w:val="00D154AA"/>
    <w:rsid w:val="00D1584C"/>
    <w:rsid w:val="00D158BC"/>
    <w:rsid w:val="00D1592A"/>
    <w:rsid w:val="00D1594C"/>
    <w:rsid w:val="00D1595C"/>
    <w:rsid w:val="00D15D7C"/>
    <w:rsid w:val="00D15DAA"/>
    <w:rsid w:val="00D15F32"/>
    <w:rsid w:val="00D15FFF"/>
    <w:rsid w:val="00D16167"/>
    <w:rsid w:val="00D16452"/>
    <w:rsid w:val="00D16486"/>
    <w:rsid w:val="00D1653B"/>
    <w:rsid w:val="00D16570"/>
    <w:rsid w:val="00D166D3"/>
    <w:rsid w:val="00D168B6"/>
    <w:rsid w:val="00D16AF5"/>
    <w:rsid w:val="00D16C1D"/>
    <w:rsid w:val="00D16C1E"/>
    <w:rsid w:val="00D16C72"/>
    <w:rsid w:val="00D16D74"/>
    <w:rsid w:val="00D16E55"/>
    <w:rsid w:val="00D1708E"/>
    <w:rsid w:val="00D17330"/>
    <w:rsid w:val="00D174DE"/>
    <w:rsid w:val="00D176F4"/>
    <w:rsid w:val="00D177CF"/>
    <w:rsid w:val="00D177E3"/>
    <w:rsid w:val="00D17A62"/>
    <w:rsid w:val="00D17BB4"/>
    <w:rsid w:val="00D17C33"/>
    <w:rsid w:val="00D2009D"/>
    <w:rsid w:val="00D20162"/>
    <w:rsid w:val="00D203C2"/>
    <w:rsid w:val="00D208CD"/>
    <w:rsid w:val="00D208DB"/>
    <w:rsid w:val="00D20A1A"/>
    <w:rsid w:val="00D20D29"/>
    <w:rsid w:val="00D20F3C"/>
    <w:rsid w:val="00D20FDF"/>
    <w:rsid w:val="00D21081"/>
    <w:rsid w:val="00D211C4"/>
    <w:rsid w:val="00D215EA"/>
    <w:rsid w:val="00D218CB"/>
    <w:rsid w:val="00D21A98"/>
    <w:rsid w:val="00D21BAA"/>
    <w:rsid w:val="00D21C3B"/>
    <w:rsid w:val="00D21C4D"/>
    <w:rsid w:val="00D21CB0"/>
    <w:rsid w:val="00D21E84"/>
    <w:rsid w:val="00D21E88"/>
    <w:rsid w:val="00D21EE3"/>
    <w:rsid w:val="00D2207E"/>
    <w:rsid w:val="00D221C6"/>
    <w:rsid w:val="00D222FE"/>
    <w:rsid w:val="00D2259A"/>
    <w:rsid w:val="00D22725"/>
    <w:rsid w:val="00D22833"/>
    <w:rsid w:val="00D22855"/>
    <w:rsid w:val="00D228A6"/>
    <w:rsid w:val="00D22AFF"/>
    <w:rsid w:val="00D22CE6"/>
    <w:rsid w:val="00D22D64"/>
    <w:rsid w:val="00D22DF4"/>
    <w:rsid w:val="00D22F8B"/>
    <w:rsid w:val="00D231BD"/>
    <w:rsid w:val="00D232EC"/>
    <w:rsid w:val="00D233C5"/>
    <w:rsid w:val="00D23564"/>
    <w:rsid w:val="00D2356E"/>
    <w:rsid w:val="00D23A69"/>
    <w:rsid w:val="00D23C72"/>
    <w:rsid w:val="00D23CF1"/>
    <w:rsid w:val="00D240F7"/>
    <w:rsid w:val="00D24245"/>
    <w:rsid w:val="00D244D2"/>
    <w:rsid w:val="00D24738"/>
    <w:rsid w:val="00D24AA9"/>
    <w:rsid w:val="00D24AC3"/>
    <w:rsid w:val="00D24CBC"/>
    <w:rsid w:val="00D250C9"/>
    <w:rsid w:val="00D250D1"/>
    <w:rsid w:val="00D252DE"/>
    <w:rsid w:val="00D252E8"/>
    <w:rsid w:val="00D253DF"/>
    <w:rsid w:val="00D254E8"/>
    <w:rsid w:val="00D2560C"/>
    <w:rsid w:val="00D2567C"/>
    <w:rsid w:val="00D2591F"/>
    <w:rsid w:val="00D25A08"/>
    <w:rsid w:val="00D25A62"/>
    <w:rsid w:val="00D25DF5"/>
    <w:rsid w:val="00D25E4F"/>
    <w:rsid w:val="00D25FE1"/>
    <w:rsid w:val="00D26169"/>
    <w:rsid w:val="00D26202"/>
    <w:rsid w:val="00D2639D"/>
    <w:rsid w:val="00D26550"/>
    <w:rsid w:val="00D26836"/>
    <w:rsid w:val="00D26975"/>
    <w:rsid w:val="00D26A09"/>
    <w:rsid w:val="00D26A48"/>
    <w:rsid w:val="00D26D5F"/>
    <w:rsid w:val="00D26D65"/>
    <w:rsid w:val="00D2700D"/>
    <w:rsid w:val="00D27040"/>
    <w:rsid w:val="00D270A3"/>
    <w:rsid w:val="00D271D0"/>
    <w:rsid w:val="00D2722A"/>
    <w:rsid w:val="00D27336"/>
    <w:rsid w:val="00D2733B"/>
    <w:rsid w:val="00D273D4"/>
    <w:rsid w:val="00D27529"/>
    <w:rsid w:val="00D275D8"/>
    <w:rsid w:val="00D2783C"/>
    <w:rsid w:val="00D27EED"/>
    <w:rsid w:val="00D300D0"/>
    <w:rsid w:val="00D30224"/>
    <w:rsid w:val="00D30302"/>
    <w:rsid w:val="00D3069A"/>
    <w:rsid w:val="00D30702"/>
    <w:rsid w:val="00D30767"/>
    <w:rsid w:val="00D30791"/>
    <w:rsid w:val="00D307CB"/>
    <w:rsid w:val="00D3085E"/>
    <w:rsid w:val="00D30970"/>
    <w:rsid w:val="00D309B9"/>
    <w:rsid w:val="00D30AF3"/>
    <w:rsid w:val="00D30BBC"/>
    <w:rsid w:val="00D310A2"/>
    <w:rsid w:val="00D312E4"/>
    <w:rsid w:val="00D31386"/>
    <w:rsid w:val="00D31460"/>
    <w:rsid w:val="00D315F9"/>
    <w:rsid w:val="00D318A2"/>
    <w:rsid w:val="00D31AAF"/>
    <w:rsid w:val="00D31BC3"/>
    <w:rsid w:val="00D31DA1"/>
    <w:rsid w:val="00D31ECB"/>
    <w:rsid w:val="00D31FAB"/>
    <w:rsid w:val="00D325CE"/>
    <w:rsid w:val="00D327C7"/>
    <w:rsid w:val="00D3293B"/>
    <w:rsid w:val="00D32B8D"/>
    <w:rsid w:val="00D32C3F"/>
    <w:rsid w:val="00D32CBE"/>
    <w:rsid w:val="00D32F2B"/>
    <w:rsid w:val="00D33054"/>
    <w:rsid w:val="00D33235"/>
    <w:rsid w:val="00D3329C"/>
    <w:rsid w:val="00D334EF"/>
    <w:rsid w:val="00D3381F"/>
    <w:rsid w:val="00D33C66"/>
    <w:rsid w:val="00D33D7A"/>
    <w:rsid w:val="00D33DEE"/>
    <w:rsid w:val="00D33E01"/>
    <w:rsid w:val="00D34018"/>
    <w:rsid w:val="00D34020"/>
    <w:rsid w:val="00D34118"/>
    <w:rsid w:val="00D341F0"/>
    <w:rsid w:val="00D34629"/>
    <w:rsid w:val="00D34C6E"/>
    <w:rsid w:val="00D35258"/>
    <w:rsid w:val="00D3551E"/>
    <w:rsid w:val="00D35770"/>
    <w:rsid w:val="00D359AC"/>
    <w:rsid w:val="00D35A72"/>
    <w:rsid w:val="00D35CF7"/>
    <w:rsid w:val="00D35E4F"/>
    <w:rsid w:val="00D35FF9"/>
    <w:rsid w:val="00D362FE"/>
    <w:rsid w:val="00D36370"/>
    <w:rsid w:val="00D363EC"/>
    <w:rsid w:val="00D36535"/>
    <w:rsid w:val="00D36619"/>
    <w:rsid w:val="00D368EB"/>
    <w:rsid w:val="00D36AD3"/>
    <w:rsid w:val="00D36BB2"/>
    <w:rsid w:val="00D36E97"/>
    <w:rsid w:val="00D36FEA"/>
    <w:rsid w:val="00D370A1"/>
    <w:rsid w:val="00D372CE"/>
    <w:rsid w:val="00D373E2"/>
    <w:rsid w:val="00D37514"/>
    <w:rsid w:val="00D3753D"/>
    <w:rsid w:val="00D37729"/>
    <w:rsid w:val="00D3778D"/>
    <w:rsid w:val="00D3786E"/>
    <w:rsid w:val="00D378FB"/>
    <w:rsid w:val="00D401B4"/>
    <w:rsid w:val="00D40684"/>
    <w:rsid w:val="00D40D2C"/>
    <w:rsid w:val="00D40DAB"/>
    <w:rsid w:val="00D40EEB"/>
    <w:rsid w:val="00D41068"/>
    <w:rsid w:val="00D412AE"/>
    <w:rsid w:val="00D41557"/>
    <w:rsid w:val="00D415CA"/>
    <w:rsid w:val="00D41716"/>
    <w:rsid w:val="00D41906"/>
    <w:rsid w:val="00D41C98"/>
    <w:rsid w:val="00D41D7B"/>
    <w:rsid w:val="00D41DF2"/>
    <w:rsid w:val="00D41EEC"/>
    <w:rsid w:val="00D4224D"/>
    <w:rsid w:val="00D42262"/>
    <w:rsid w:val="00D42342"/>
    <w:rsid w:val="00D4235B"/>
    <w:rsid w:val="00D4237E"/>
    <w:rsid w:val="00D4238B"/>
    <w:rsid w:val="00D424A7"/>
    <w:rsid w:val="00D42560"/>
    <w:rsid w:val="00D425C4"/>
    <w:rsid w:val="00D42949"/>
    <w:rsid w:val="00D42A6D"/>
    <w:rsid w:val="00D42C24"/>
    <w:rsid w:val="00D42E22"/>
    <w:rsid w:val="00D42EBE"/>
    <w:rsid w:val="00D42FAC"/>
    <w:rsid w:val="00D432C0"/>
    <w:rsid w:val="00D434B7"/>
    <w:rsid w:val="00D435B2"/>
    <w:rsid w:val="00D43761"/>
    <w:rsid w:val="00D43876"/>
    <w:rsid w:val="00D43AA1"/>
    <w:rsid w:val="00D43AC1"/>
    <w:rsid w:val="00D43AF2"/>
    <w:rsid w:val="00D43CC1"/>
    <w:rsid w:val="00D43D76"/>
    <w:rsid w:val="00D44516"/>
    <w:rsid w:val="00D445B5"/>
    <w:rsid w:val="00D445D7"/>
    <w:rsid w:val="00D44A9F"/>
    <w:rsid w:val="00D44BE4"/>
    <w:rsid w:val="00D44E00"/>
    <w:rsid w:val="00D450FA"/>
    <w:rsid w:val="00D4576B"/>
    <w:rsid w:val="00D4576F"/>
    <w:rsid w:val="00D45848"/>
    <w:rsid w:val="00D459B2"/>
    <w:rsid w:val="00D45A90"/>
    <w:rsid w:val="00D45C62"/>
    <w:rsid w:val="00D45D08"/>
    <w:rsid w:val="00D45EB3"/>
    <w:rsid w:val="00D45ED8"/>
    <w:rsid w:val="00D463BB"/>
    <w:rsid w:val="00D464D1"/>
    <w:rsid w:val="00D4672A"/>
    <w:rsid w:val="00D467C3"/>
    <w:rsid w:val="00D4689E"/>
    <w:rsid w:val="00D469C4"/>
    <w:rsid w:val="00D469EF"/>
    <w:rsid w:val="00D46A3E"/>
    <w:rsid w:val="00D46AA4"/>
    <w:rsid w:val="00D46BD6"/>
    <w:rsid w:val="00D46C90"/>
    <w:rsid w:val="00D46E1B"/>
    <w:rsid w:val="00D46F48"/>
    <w:rsid w:val="00D46F4F"/>
    <w:rsid w:val="00D470D3"/>
    <w:rsid w:val="00D470EA"/>
    <w:rsid w:val="00D47176"/>
    <w:rsid w:val="00D47264"/>
    <w:rsid w:val="00D47AC8"/>
    <w:rsid w:val="00D47B01"/>
    <w:rsid w:val="00D47BF8"/>
    <w:rsid w:val="00D47DC7"/>
    <w:rsid w:val="00D5005D"/>
    <w:rsid w:val="00D500CB"/>
    <w:rsid w:val="00D5016F"/>
    <w:rsid w:val="00D5032A"/>
    <w:rsid w:val="00D50406"/>
    <w:rsid w:val="00D5083B"/>
    <w:rsid w:val="00D50B02"/>
    <w:rsid w:val="00D50F6D"/>
    <w:rsid w:val="00D50FAC"/>
    <w:rsid w:val="00D5119B"/>
    <w:rsid w:val="00D5144F"/>
    <w:rsid w:val="00D514B3"/>
    <w:rsid w:val="00D51568"/>
    <w:rsid w:val="00D5173E"/>
    <w:rsid w:val="00D51898"/>
    <w:rsid w:val="00D51923"/>
    <w:rsid w:val="00D519BC"/>
    <w:rsid w:val="00D51A62"/>
    <w:rsid w:val="00D51BA0"/>
    <w:rsid w:val="00D51BA9"/>
    <w:rsid w:val="00D51BEE"/>
    <w:rsid w:val="00D51C42"/>
    <w:rsid w:val="00D51D4C"/>
    <w:rsid w:val="00D51DEE"/>
    <w:rsid w:val="00D51E12"/>
    <w:rsid w:val="00D51F04"/>
    <w:rsid w:val="00D52086"/>
    <w:rsid w:val="00D52320"/>
    <w:rsid w:val="00D523DF"/>
    <w:rsid w:val="00D5245F"/>
    <w:rsid w:val="00D526C3"/>
    <w:rsid w:val="00D527BF"/>
    <w:rsid w:val="00D52AC7"/>
    <w:rsid w:val="00D52B8B"/>
    <w:rsid w:val="00D52CB5"/>
    <w:rsid w:val="00D52CBD"/>
    <w:rsid w:val="00D52F56"/>
    <w:rsid w:val="00D53126"/>
    <w:rsid w:val="00D53131"/>
    <w:rsid w:val="00D53258"/>
    <w:rsid w:val="00D53408"/>
    <w:rsid w:val="00D53902"/>
    <w:rsid w:val="00D53BA1"/>
    <w:rsid w:val="00D53C8B"/>
    <w:rsid w:val="00D53C9A"/>
    <w:rsid w:val="00D53DA2"/>
    <w:rsid w:val="00D53DB6"/>
    <w:rsid w:val="00D53E5C"/>
    <w:rsid w:val="00D5406F"/>
    <w:rsid w:val="00D543B8"/>
    <w:rsid w:val="00D54486"/>
    <w:rsid w:val="00D54562"/>
    <w:rsid w:val="00D546FA"/>
    <w:rsid w:val="00D54948"/>
    <w:rsid w:val="00D54949"/>
    <w:rsid w:val="00D54AE1"/>
    <w:rsid w:val="00D54B97"/>
    <w:rsid w:val="00D54C17"/>
    <w:rsid w:val="00D5506C"/>
    <w:rsid w:val="00D55109"/>
    <w:rsid w:val="00D55232"/>
    <w:rsid w:val="00D5534F"/>
    <w:rsid w:val="00D55403"/>
    <w:rsid w:val="00D55787"/>
    <w:rsid w:val="00D557D5"/>
    <w:rsid w:val="00D557F1"/>
    <w:rsid w:val="00D55BF5"/>
    <w:rsid w:val="00D55D45"/>
    <w:rsid w:val="00D55EAE"/>
    <w:rsid w:val="00D56337"/>
    <w:rsid w:val="00D564D1"/>
    <w:rsid w:val="00D56511"/>
    <w:rsid w:val="00D565DD"/>
    <w:rsid w:val="00D56678"/>
    <w:rsid w:val="00D566BB"/>
    <w:rsid w:val="00D56841"/>
    <w:rsid w:val="00D56940"/>
    <w:rsid w:val="00D56999"/>
    <w:rsid w:val="00D56CC4"/>
    <w:rsid w:val="00D57026"/>
    <w:rsid w:val="00D570BD"/>
    <w:rsid w:val="00D5727D"/>
    <w:rsid w:val="00D5737E"/>
    <w:rsid w:val="00D57560"/>
    <w:rsid w:val="00D576BA"/>
    <w:rsid w:val="00D5787C"/>
    <w:rsid w:val="00D5787F"/>
    <w:rsid w:val="00D5799A"/>
    <w:rsid w:val="00D579EB"/>
    <w:rsid w:val="00D57A0E"/>
    <w:rsid w:val="00D57BF6"/>
    <w:rsid w:val="00D57D6E"/>
    <w:rsid w:val="00D60051"/>
    <w:rsid w:val="00D600AF"/>
    <w:rsid w:val="00D60304"/>
    <w:rsid w:val="00D603D4"/>
    <w:rsid w:val="00D60552"/>
    <w:rsid w:val="00D6068F"/>
    <w:rsid w:val="00D60742"/>
    <w:rsid w:val="00D608A0"/>
    <w:rsid w:val="00D60A85"/>
    <w:rsid w:val="00D60B17"/>
    <w:rsid w:val="00D60C6C"/>
    <w:rsid w:val="00D60D4D"/>
    <w:rsid w:val="00D60E40"/>
    <w:rsid w:val="00D61206"/>
    <w:rsid w:val="00D6140B"/>
    <w:rsid w:val="00D61556"/>
    <w:rsid w:val="00D61654"/>
    <w:rsid w:val="00D616D0"/>
    <w:rsid w:val="00D6193A"/>
    <w:rsid w:val="00D619CB"/>
    <w:rsid w:val="00D61A40"/>
    <w:rsid w:val="00D61A8B"/>
    <w:rsid w:val="00D61B46"/>
    <w:rsid w:val="00D61BEB"/>
    <w:rsid w:val="00D61C35"/>
    <w:rsid w:val="00D62A57"/>
    <w:rsid w:val="00D62B03"/>
    <w:rsid w:val="00D62CCF"/>
    <w:rsid w:val="00D62CFC"/>
    <w:rsid w:val="00D63202"/>
    <w:rsid w:val="00D633B8"/>
    <w:rsid w:val="00D636C6"/>
    <w:rsid w:val="00D63891"/>
    <w:rsid w:val="00D6398C"/>
    <w:rsid w:val="00D6401C"/>
    <w:rsid w:val="00D640ED"/>
    <w:rsid w:val="00D64324"/>
    <w:rsid w:val="00D643DC"/>
    <w:rsid w:val="00D64613"/>
    <w:rsid w:val="00D64AC5"/>
    <w:rsid w:val="00D64B84"/>
    <w:rsid w:val="00D65206"/>
    <w:rsid w:val="00D6523B"/>
    <w:rsid w:val="00D653C4"/>
    <w:rsid w:val="00D654C8"/>
    <w:rsid w:val="00D657CC"/>
    <w:rsid w:val="00D659DF"/>
    <w:rsid w:val="00D65E14"/>
    <w:rsid w:val="00D65E2F"/>
    <w:rsid w:val="00D65F99"/>
    <w:rsid w:val="00D666CC"/>
    <w:rsid w:val="00D66774"/>
    <w:rsid w:val="00D66872"/>
    <w:rsid w:val="00D66B99"/>
    <w:rsid w:val="00D66CBC"/>
    <w:rsid w:val="00D66D14"/>
    <w:rsid w:val="00D66ED0"/>
    <w:rsid w:val="00D66FE0"/>
    <w:rsid w:val="00D671CC"/>
    <w:rsid w:val="00D6721A"/>
    <w:rsid w:val="00D6723C"/>
    <w:rsid w:val="00D6732E"/>
    <w:rsid w:val="00D674F1"/>
    <w:rsid w:val="00D677C2"/>
    <w:rsid w:val="00D67C8F"/>
    <w:rsid w:val="00D67D7A"/>
    <w:rsid w:val="00D67E65"/>
    <w:rsid w:val="00D67F6E"/>
    <w:rsid w:val="00D70260"/>
    <w:rsid w:val="00D70284"/>
    <w:rsid w:val="00D702AD"/>
    <w:rsid w:val="00D7055D"/>
    <w:rsid w:val="00D706EC"/>
    <w:rsid w:val="00D70A16"/>
    <w:rsid w:val="00D70B67"/>
    <w:rsid w:val="00D70E37"/>
    <w:rsid w:val="00D70EE7"/>
    <w:rsid w:val="00D70FAB"/>
    <w:rsid w:val="00D7107B"/>
    <w:rsid w:val="00D711CF"/>
    <w:rsid w:val="00D712EB"/>
    <w:rsid w:val="00D71305"/>
    <w:rsid w:val="00D7151A"/>
    <w:rsid w:val="00D717AD"/>
    <w:rsid w:val="00D7198D"/>
    <w:rsid w:val="00D71998"/>
    <w:rsid w:val="00D71B3C"/>
    <w:rsid w:val="00D71C47"/>
    <w:rsid w:val="00D71D18"/>
    <w:rsid w:val="00D71E46"/>
    <w:rsid w:val="00D72067"/>
    <w:rsid w:val="00D72189"/>
    <w:rsid w:val="00D7226E"/>
    <w:rsid w:val="00D7231F"/>
    <w:rsid w:val="00D724CD"/>
    <w:rsid w:val="00D727C3"/>
    <w:rsid w:val="00D72BFE"/>
    <w:rsid w:val="00D72C6A"/>
    <w:rsid w:val="00D72C8E"/>
    <w:rsid w:val="00D72D6A"/>
    <w:rsid w:val="00D72E1D"/>
    <w:rsid w:val="00D72F03"/>
    <w:rsid w:val="00D7302E"/>
    <w:rsid w:val="00D7303A"/>
    <w:rsid w:val="00D73423"/>
    <w:rsid w:val="00D737F4"/>
    <w:rsid w:val="00D7384E"/>
    <w:rsid w:val="00D73AED"/>
    <w:rsid w:val="00D73BD5"/>
    <w:rsid w:val="00D73C70"/>
    <w:rsid w:val="00D73ECB"/>
    <w:rsid w:val="00D73F63"/>
    <w:rsid w:val="00D74152"/>
    <w:rsid w:val="00D74AC3"/>
    <w:rsid w:val="00D74AFC"/>
    <w:rsid w:val="00D74B41"/>
    <w:rsid w:val="00D74EF0"/>
    <w:rsid w:val="00D74F1A"/>
    <w:rsid w:val="00D74FBD"/>
    <w:rsid w:val="00D753A3"/>
    <w:rsid w:val="00D754C7"/>
    <w:rsid w:val="00D75630"/>
    <w:rsid w:val="00D75666"/>
    <w:rsid w:val="00D75832"/>
    <w:rsid w:val="00D75881"/>
    <w:rsid w:val="00D759E2"/>
    <w:rsid w:val="00D75A7D"/>
    <w:rsid w:val="00D75C0F"/>
    <w:rsid w:val="00D75DC3"/>
    <w:rsid w:val="00D75E46"/>
    <w:rsid w:val="00D75FD6"/>
    <w:rsid w:val="00D75FD7"/>
    <w:rsid w:val="00D7641D"/>
    <w:rsid w:val="00D76498"/>
    <w:rsid w:val="00D7652E"/>
    <w:rsid w:val="00D766D6"/>
    <w:rsid w:val="00D76785"/>
    <w:rsid w:val="00D767B7"/>
    <w:rsid w:val="00D76832"/>
    <w:rsid w:val="00D76893"/>
    <w:rsid w:val="00D76C58"/>
    <w:rsid w:val="00D76CCF"/>
    <w:rsid w:val="00D76E6E"/>
    <w:rsid w:val="00D76E8F"/>
    <w:rsid w:val="00D76FB9"/>
    <w:rsid w:val="00D76FF0"/>
    <w:rsid w:val="00D7701A"/>
    <w:rsid w:val="00D77133"/>
    <w:rsid w:val="00D77494"/>
    <w:rsid w:val="00D77688"/>
    <w:rsid w:val="00D776EB"/>
    <w:rsid w:val="00D7782C"/>
    <w:rsid w:val="00D77B91"/>
    <w:rsid w:val="00D77D0F"/>
    <w:rsid w:val="00D77DD6"/>
    <w:rsid w:val="00D77DFC"/>
    <w:rsid w:val="00D77E89"/>
    <w:rsid w:val="00D80114"/>
    <w:rsid w:val="00D80572"/>
    <w:rsid w:val="00D806F6"/>
    <w:rsid w:val="00D8070B"/>
    <w:rsid w:val="00D807F9"/>
    <w:rsid w:val="00D808AF"/>
    <w:rsid w:val="00D809AE"/>
    <w:rsid w:val="00D80C7F"/>
    <w:rsid w:val="00D80E65"/>
    <w:rsid w:val="00D81155"/>
    <w:rsid w:val="00D81524"/>
    <w:rsid w:val="00D816DA"/>
    <w:rsid w:val="00D81965"/>
    <w:rsid w:val="00D81993"/>
    <w:rsid w:val="00D81A85"/>
    <w:rsid w:val="00D81AEA"/>
    <w:rsid w:val="00D81B7A"/>
    <w:rsid w:val="00D81BA1"/>
    <w:rsid w:val="00D81C7A"/>
    <w:rsid w:val="00D81DFF"/>
    <w:rsid w:val="00D81F6F"/>
    <w:rsid w:val="00D820B8"/>
    <w:rsid w:val="00D821F3"/>
    <w:rsid w:val="00D82479"/>
    <w:rsid w:val="00D82575"/>
    <w:rsid w:val="00D826C2"/>
    <w:rsid w:val="00D8271C"/>
    <w:rsid w:val="00D827BA"/>
    <w:rsid w:val="00D82809"/>
    <w:rsid w:val="00D82816"/>
    <w:rsid w:val="00D82945"/>
    <w:rsid w:val="00D82E22"/>
    <w:rsid w:val="00D82E29"/>
    <w:rsid w:val="00D82E52"/>
    <w:rsid w:val="00D83071"/>
    <w:rsid w:val="00D831D7"/>
    <w:rsid w:val="00D835BF"/>
    <w:rsid w:val="00D8367D"/>
    <w:rsid w:val="00D836A0"/>
    <w:rsid w:val="00D83850"/>
    <w:rsid w:val="00D83A48"/>
    <w:rsid w:val="00D83C21"/>
    <w:rsid w:val="00D83C98"/>
    <w:rsid w:val="00D83CD4"/>
    <w:rsid w:val="00D83E3F"/>
    <w:rsid w:val="00D83E48"/>
    <w:rsid w:val="00D83FCA"/>
    <w:rsid w:val="00D83FEF"/>
    <w:rsid w:val="00D84160"/>
    <w:rsid w:val="00D84179"/>
    <w:rsid w:val="00D84315"/>
    <w:rsid w:val="00D843FE"/>
    <w:rsid w:val="00D8441F"/>
    <w:rsid w:val="00D84457"/>
    <w:rsid w:val="00D84487"/>
    <w:rsid w:val="00D845F7"/>
    <w:rsid w:val="00D846BE"/>
    <w:rsid w:val="00D84797"/>
    <w:rsid w:val="00D847AF"/>
    <w:rsid w:val="00D84B55"/>
    <w:rsid w:val="00D84CEB"/>
    <w:rsid w:val="00D84D15"/>
    <w:rsid w:val="00D850A9"/>
    <w:rsid w:val="00D8528A"/>
    <w:rsid w:val="00D857DA"/>
    <w:rsid w:val="00D85AD0"/>
    <w:rsid w:val="00D85B06"/>
    <w:rsid w:val="00D85BC2"/>
    <w:rsid w:val="00D85E12"/>
    <w:rsid w:val="00D860DF"/>
    <w:rsid w:val="00D8618E"/>
    <w:rsid w:val="00D86315"/>
    <w:rsid w:val="00D8637E"/>
    <w:rsid w:val="00D8643C"/>
    <w:rsid w:val="00D865C4"/>
    <w:rsid w:val="00D8660A"/>
    <w:rsid w:val="00D86C99"/>
    <w:rsid w:val="00D86EE3"/>
    <w:rsid w:val="00D8739E"/>
    <w:rsid w:val="00D87451"/>
    <w:rsid w:val="00D876B9"/>
    <w:rsid w:val="00D876C6"/>
    <w:rsid w:val="00D8786C"/>
    <w:rsid w:val="00D87970"/>
    <w:rsid w:val="00D87BC1"/>
    <w:rsid w:val="00D87E47"/>
    <w:rsid w:val="00D87F35"/>
    <w:rsid w:val="00D87F3F"/>
    <w:rsid w:val="00D902EA"/>
    <w:rsid w:val="00D90425"/>
    <w:rsid w:val="00D9046D"/>
    <w:rsid w:val="00D904A3"/>
    <w:rsid w:val="00D904B2"/>
    <w:rsid w:val="00D904C1"/>
    <w:rsid w:val="00D90638"/>
    <w:rsid w:val="00D90713"/>
    <w:rsid w:val="00D90755"/>
    <w:rsid w:val="00D907B4"/>
    <w:rsid w:val="00D90D54"/>
    <w:rsid w:val="00D9101E"/>
    <w:rsid w:val="00D91309"/>
    <w:rsid w:val="00D914B5"/>
    <w:rsid w:val="00D915D6"/>
    <w:rsid w:val="00D91AC3"/>
    <w:rsid w:val="00D91B56"/>
    <w:rsid w:val="00D91BCF"/>
    <w:rsid w:val="00D91D54"/>
    <w:rsid w:val="00D91F46"/>
    <w:rsid w:val="00D91FC8"/>
    <w:rsid w:val="00D92112"/>
    <w:rsid w:val="00D921D8"/>
    <w:rsid w:val="00D92541"/>
    <w:rsid w:val="00D925FD"/>
    <w:rsid w:val="00D92694"/>
    <w:rsid w:val="00D9269A"/>
    <w:rsid w:val="00D92712"/>
    <w:rsid w:val="00D92820"/>
    <w:rsid w:val="00D92A05"/>
    <w:rsid w:val="00D92C4B"/>
    <w:rsid w:val="00D92E7A"/>
    <w:rsid w:val="00D92F5E"/>
    <w:rsid w:val="00D93193"/>
    <w:rsid w:val="00D9324F"/>
    <w:rsid w:val="00D935B8"/>
    <w:rsid w:val="00D93739"/>
    <w:rsid w:val="00D93847"/>
    <w:rsid w:val="00D93DA9"/>
    <w:rsid w:val="00D93DEB"/>
    <w:rsid w:val="00D93E18"/>
    <w:rsid w:val="00D93F26"/>
    <w:rsid w:val="00D94160"/>
    <w:rsid w:val="00D942DC"/>
    <w:rsid w:val="00D9449A"/>
    <w:rsid w:val="00D9494C"/>
    <w:rsid w:val="00D94C35"/>
    <w:rsid w:val="00D94F31"/>
    <w:rsid w:val="00D94F4E"/>
    <w:rsid w:val="00D94F7F"/>
    <w:rsid w:val="00D952BA"/>
    <w:rsid w:val="00D9554E"/>
    <w:rsid w:val="00D95BD4"/>
    <w:rsid w:val="00D95DEE"/>
    <w:rsid w:val="00D96008"/>
    <w:rsid w:val="00D9606F"/>
    <w:rsid w:val="00D96086"/>
    <w:rsid w:val="00D9608F"/>
    <w:rsid w:val="00D96154"/>
    <w:rsid w:val="00D9643F"/>
    <w:rsid w:val="00D964E7"/>
    <w:rsid w:val="00D96634"/>
    <w:rsid w:val="00D966E6"/>
    <w:rsid w:val="00D96939"/>
    <w:rsid w:val="00D96949"/>
    <w:rsid w:val="00D96A54"/>
    <w:rsid w:val="00D96FA3"/>
    <w:rsid w:val="00D97018"/>
    <w:rsid w:val="00D97025"/>
    <w:rsid w:val="00D97582"/>
    <w:rsid w:val="00D9790B"/>
    <w:rsid w:val="00D97CE0"/>
    <w:rsid w:val="00D97F54"/>
    <w:rsid w:val="00DA00E5"/>
    <w:rsid w:val="00DA02AD"/>
    <w:rsid w:val="00DA034F"/>
    <w:rsid w:val="00DA04FB"/>
    <w:rsid w:val="00DA052B"/>
    <w:rsid w:val="00DA05CE"/>
    <w:rsid w:val="00DA0724"/>
    <w:rsid w:val="00DA07C8"/>
    <w:rsid w:val="00DA091D"/>
    <w:rsid w:val="00DA0B1A"/>
    <w:rsid w:val="00DA0B8D"/>
    <w:rsid w:val="00DA115E"/>
    <w:rsid w:val="00DA129A"/>
    <w:rsid w:val="00DA1502"/>
    <w:rsid w:val="00DA15B8"/>
    <w:rsid w:val="00DA15F8"/>
    <w:rsid w:val="00DA1642"/>
    <w:rsid w:val="00DA1680"/>
    <w:rsid w:val="00DA1735"/>
    <w:rsid w:val="00DA17AA"/>
    <w:rsid w:val="00DA17DD"/>
    <w:rsid w:val="00DA1BC4"/>
    <w:rsid w:val="00DA1C4E"/>
    <w:rsid w:val="00DA1D79"/>
    <w:rsid w:val="00DA1E4F"/>
    <w:rsid w:val="00DA1F63"/>
    <w:rsid w:val="00DA1FD4"/>
    <w:rsid w:val="00DA2196"/>
    <w:rsid w:val="00DA21AB"/>
    <w:rsid w:val="00DA2241"/>
    <w:rsid w:val="00DA247D"/>
    <w:rsid w:val="00DA273D"/>
    <w:rsid w:val="00DA2749"/>
    <w:rsid w:val="00DA27A3"/>
    <w:rsid w:val="00DA2C8D"/>
    <w:rsid w:val="00DA2E30"/>
    <w:rsid w:val="00DA2F03"/>
    <w:rsid w:val="00DA2FA7"/>
    <w:rsid w:val="00DA3001"/>
    <w:rsid w:val="00DA3255"/>
    <w:rsid w:val="00DA3259"/>
    <w:rsid w:val="00DA32F3"/>
    <w:rsid w:val="00DA3499"/>
    <w:rsid w:val="00DA3850"/>
    <w:rsid w:val="00DA397E"/>
    <w:rsid w:val="00DA3BBC"/>
    <w:rsid w:val="00DA3C19"/>
    <w:rsid w:val="00DA3C8E"/>
    <w:rsid w:val="00DA3D4D"/>
    <w:rsid w:val="00DA3D59"/>
    <w:rsid w:val="00DA3F49"/>
    <w:rsid w:val="00DA43A9"/>
    <w:rsid w:val="00DA4498"/>
    <w:rsid w:val="00DA46E2"/>
    <w:rsid w:val="00DA4748"/>
    <w:rsid w:val="00DA48BC"/>
    <w:rsid w:val="00DA4B5A"/>
    <w:rsid w:val="00DA4BEE"/>
    <w:rsid w:val="00DA4D4B"/>
    <w:rsid w:val="00DA5006"/>
    <w:rsid w:val="00DA503B"/>
    <w:rsid w:val="00DA512A"/>
    <w:rsid w:val="00DA5405"/>
    <w:rsid w:val="00DA5927"/>
    <w:rsid w:val="00DA593F"/>
    <w:rsid w:val="00DA5C45"/>
    <w:rsid w:val="00DA5E37"/>
    <w:rsid w:val="00DA6024"/>
    <w:rsid w:val="00DA629A"/>
    <w:rsid w:val="00DA62A0"/>
    <w:rsid w:val="00DA681A"/>
    <w:rsid w:val="00DA68C1"/>
    <w:rsid w:val="00DA6B11"/>
    <w:rsid w:val="00DA6C80"/>
    <w:rsid w:val="00DA6CD8"/>
    <w:rsid w:val="00DA6FA8"/>
    <w:rsid w:val="00DA7055"/>
    <w:rsid w:val="00DA706D"/>
    <w:rsid w:val="00DA73EE"/>
    <w:rsid w:val="00DA7568"/>
    <w:rsid w:val="00DA7650"/>
    <w:rsid w:val="00DA7675"/>
    <w:rsid w:val="00DA7774"/>
    <w:rsid w:val="00DA7779"/>
    <w:rsid w:val="00DA77B6"/>
    <w:rsid w:val="00DA7C08"/>
    <w:rsid w:val="00DA7C68"/>
    <w:rsid w:val="00DA7C8F"/>
    <w:rsid w:val="00DA7D85"/>
    <w:rsid w:val="00DA7E2F"/>
    <w:rsid w:val="00DA7E89"/>
    <w:rsid w:val="00DB0144"/>
    <w:rsid w:val="00DB025E"/>
    <w:rsid w:val="00DB02DE"/>
    <w:rsid w:val="00DB0311"/>
    <w:rsid w:val="00DB0387"/>
    <w:rsid w:val="00DB0771"/>
    <w:rsid w:val="00DB07D4"/>
    <w:rsid w:val="00DB0874"/>
    <w:rsid w:val="00DB091C"/>
    <w:rsid w:val="00DB0994"/>
    <w:rsid w:val="00DB0A54"/>
    <w:rsid w:val="00DB0B6A"/>
    <w:rsid w:val="00DB1006"/>
    <w:rsid w:val="00DB12B5"/>
    <w:rsid w:val="00DB1487"/>
    <w:rsid w:val="00DB1776"/>
    <w:rsid w:val="00DB17F9"/>
    <w:rsid w:val="00DB1B28"/>
    <w:rsid w:val="00DB1BEA"/>
    <w:rsid w:val="00DB1D8B"/>
    <w:rsid w:val="00DB1EDB"/>
    <w:rsid w:val="00DB1FB8"/>
    <w:rsid w:val="00DB211C"/>
    <w:rsid w:val="00DB2B28"/>
    <w:rsid w:val="00DB2C0D"/>
    <w:rsid w:val="00DB2E20"/>
    <w:rsid w:val="00DB2E2E"/>
    <w:rsid w:val="00DB2F7B"/>
    <w:rsid w:val="00DB2FDC"/>
    <w:rsid w:val="00DB3015"/>
    <w:rsid w:val="00DB307D"/>
    <w:rsid w:val="00DB3093"/>
    <w:rsid w:val="00DB32A2"/>
    <w:rsid w:val="00DB3485"/>
    <w:rsid w:val="00DB350C"/>
    <w:rsid w:val="00DB3523"/>
    <w:rsid w:val="00DB357E"/>
    <w:rsid w:val="00DB38F0"/>
    <w:rsid w:val="00DB3A00"/>
    <w:rsid w:val="00DB3A84"/>
    <w:rsid w:val="00DB3CBB"/>
    <w:rsid w:val="00DB3CF3"/>
    <w:rsid w:val="00DB3D81"/>
    <w:rsid w:val="00DB3FCC"/>
    <w:rsid w:val="00DB43AD"/>
    <w:rsid w:val="00DB43E9"/>
    <w:rsid w:val="00DB454D"/>
    <w:rsid w:val="00DB47CF"/>
    <w:rsid w:val="00DB4959"/>
    <w:rsid w:val="00DB4A50"/>
    <w:rsid w:val="00DB4AC5"/>
    <w:rsid w:val="00DB4C09"/>
    <w:rsid w:val="00DB4CAF"/>
    <w:rsid w:val="00DB4DF5"/>
    <w:rsid w:val="00DB4FE4"/>
    <w:rsid w:val="00DB5203"/>
    <w:rsid w:val="00DB528F"/>
    <w:rsid w:val="00DB58A6"/>
    <w:rsid w:val="00DB5B43"/>
    <w:rsid w:val="00DB5BB4"/>
    <w:rsid w:val="00DB6003"/>
    <w:rsid w:val="00DB60C0"/>
    <w:rsid w:val="00DB659D"/>
    <w:rsid w:val="00DB6827"/>
    <w:rsid w:val="00DB684C"/>
    <w:rsid w:val="00DB6B7A"/>
    <w:rsid w:val="00DB6E1C"/>
    <w:rsid w:val="00DB73D1"/>
    <w:rsid w:val="00DB7483"/>
    <w:rsid w:val="00DB74FB"/>
    <w:rsid w:val="00DB75AB"/>
    <w:rsid w:val="00DB7937"/>
    <w:rsid w:val="00DB7D1C"/>
    <w:rsid w:val="00DC0095"/>
    <w:rsid w:val="00DC0212"/>
    <w:rsid w:val="00DC027B"/>
    <w:rsid w:val="00DC039D"/>
    <w:rsid w:val="00DC07AF"/>
    <w:rsid w:val="00DC0ABE"/>
    <w:rsid w:val="00DC0CF7"/>
    <w:rsid w:val="00DC0F06"/>
    <w:rsid w:val="00DC1350"/>
    <w:rsid w:val="00DC15DB"/>
    <w:rsid w:val="00DC16E1"/>
    <w:rsid w:val="00DC16E9"/>
    <w:rsid w:val="00DC1721"/>
    <w:rsid w:val="00DC1752"/>
    <w:rsid w:val="00DC19FF"/>
    <w:rsid w:val="00DC1A0E"/>
    <w:rsid w:val="00DC220B"/>
    <w:rsid w:val="00DC2228"/>
    <w:rsid w:val="00DC22F1"/>
    <w:rsid w:val="00DC2A9A"/>
    <w:rsid w:val="00DC2D0E"/>
    <w:rsid w:val="00DC2F03"/>
    <w:rsid w:val="00DC309B"/>
    <w:rsid w:val="00DC30B2"/>
    <w:rsid w:val="00DC3214"/>
    <w:rsid w:val="00DC33EA"/>
    <w:rsid w:val="00DC3426"/>
    <w:rsid w:val="00DC3672"/>
    <w:rsid w:val="00DC36BA"/>
    <w:rsid w:val="00DC3826"/>
    <w:rsid w:val="00DC3941"/>
    <w:rsid w:val="00DC3980"/>
    <w:rsid w:val="00DC3D60"/>
    <w:rsid w:val="00DC3E5C"/>
    <w:rsid w:val="00DC3FEF"/>
    <w:rsid w:val="00DC3FFD"/>
    <w:rsid w:val="00DC4023"/>
    <w:rsid w:val="00DC43CB"/>
    <w:rsid w:val="00DC4713"/>
    <w:rsid w:val="00DC4988"/>
    <w:rsid w:val="00DC4996"/>
    <w:rsid w:val="00DC4CAF"/>
    <w:rsid w:val="00DC53EF"/>
    <w:rsid w:val="00DC5527"/>
    <w:rsid w:val="00DC55A8"/>
    <w:rsid w:val="00DC55D8"/>
    <w:rsid w:val="00DC55DB"/>
    <w:rsid w:val="00DC58FA"/>
    <w:rsid w:val="00DC5E98"/>
    <w:rsid w:val="00DC6039"/>
    <w:rsid w:val="00DC628D"/>
    <w:rsid w:val="00DC62FF"/>
    <w:rsid w:val="00DC63B2"/>
    <w:rsid w:val="00DC643B"/>
    <w:rsid w:val="00DC68C5"/>
    <w:rsid w:val="00DC6A13"/>
    <w:rsid w:val="00DC6C4A"/>
    <w:rsid w:val="00DC6C51"/>
    <w:rsid w:val="00DC6E4F"/>
    <w:rsid w:val="00DC6E6E"/>
    <w:rsid w:val="00DC6FB3"/>
    <w:rsid w:val="00DC70DE"/>
    <w:rsid w:val="00DC7103"/>
    <w:rsid w:val="00DC72F5"/>
    <w:rsid w:val="00DC74D7"/>
    <w:rsid w:val="00DC7581"/>
    <w:rsid w:val="00DC75A8"/>
    <w:rsid w:val="00DC7609"/>
    <w:rsid w:val="00DC78E9"/>
    <w:rsid w:val="00DC7A49"/>
    <w:rsid w:val="00DD002C"/>
    <w:rsid w:val="00DD0199"/>
    <w:rsid w:val="00DD04EE"/>
    <w:rsid w:val="00DD08CF"/>
    <w:rsid w:val="00DD096D"/>
    <w:rsid w:val="00DD0977"/>
    <w:rsid w:val="00DD09E5"/>
    <w:rsid w:val="00DD0ABF"/>
    <w:rsid w:val="00DD0B5F"/>
    <w:rsid w:val="00DD0B63"/>
    <w:rsid w:val="00DD0BA7"/>
    <w:rsid w:val="00DD0BC1"/>
    <w:rsid w:val="00DD0BF6"/>
    <w:rsid w:val="00DD0E8D"/>
    <w:rsid w:val="00DD0F1D"/>
    <w:rsid w:val="00DD0FA4"/>
    <w:rsid w:val="00DD1053"/>
    <w:rsid w:val="00DD105C"/>
    <w:rsid w:val="00DD143A"/>
    <w:rsid w:val="00DD145B"/>
    <w:rsid w:val="00DD15CD"/>
    <w:rsid w:val="00DD1648"/>
    <w:rsid w:val="00DD197F"/>
    <w:rsid w:val="00DD19E7"/>
    <w:rsid w:val="00DD2CAA"/>
    <w:rsid w:val="00DD2D53"/>
    <w:rsid w:val="00DD2DEA"/>
    <w:rsid w:val="00DD2E12"/>
    <w:rsid w:val="00DD2F98"/>
    <w:rsid w:val="00DD339D"/>
    <w:rsid w:val="00DD3A45"/>
    <w:rsid w:val="00DD3A62"/>
    <w:rsid w:val="00DD3A93"/>
    <w:rsid w:val="00DD3F4A"/>
    <w:rsid w:val="00DD3FFF"/>
    <w:rsid w:val="00DD4341"/>
    <w:rsid w:val="00DD45EB"/>
    <w:rsid w:val="00DD488C"/>
    <w:rsid w:val="00DD4BA2"/>
    <w:rsid w:val="00DD500D"/>
    <w:rsid w:val="00DD514A"/>
    <w:rsid w:val="00DD52DC"/>
    <w:rsid w:val="00DD5341"/>
    <w:rsid w:val="00DD56BC"/>
    <w:rsid w:val="00DD57C6"/>
    <w:rsid w:val="00DD5880"/>
    <w:rsid w:val="00DD5ADA"/>
    <w:rsid w:val="00DD5B93"/>
    <w:rsid w:val="00DD5C53"/>
    <w:rsid w:val="00DD5C7E"/>
    <w:rsid w:val="00DD5EF5"/>
    <w:rsid w:val="00DD5FA8"/>
    <w:rsid w:val="00DD5FED"/>
    <w:rsid w:val="00DD6094"/>
    <w:rsid w:val="00DD61C1"/>
    <w:rsid w:val="00DD62BF"/>
    <w:rsid w:val="00DD631F"/>
    <w:rsid w:val="00DD63A1"/>
    <w:rsid w:val="00DD643D"/>
    <w:rsid w:val="00DD6485"/>
    <w:rsid w:val="00DD659F"/>
    <w:rsid w:val="00DD66AD"/>
    <w:rsid w:val="00DD69A3"/>
    <w:rsid w:val="00DD69C2"/>
    <w:rsid w:val="00DD6C24"/>
    <w:rsid w:val="00DD6CA8"/>
    <w:rsid w:val="00DD7465"/>
    <w:rsid w:val="00DD74D2"/>
    <w:rsid w:val="00DD76F5"/>
    <w:rsid w:val="00DD7825"/>
    <w:rsid w:val="00DD7983"/>
    <w:rsid w:val="00DD79E9"/>
    <w:rsid w:val="00DD79F9"/>
    <w:rsid w:val="00DD7A68"/>
    <w:rsid w:val="00DD7BF9"/>
    <w:rsid w:val="00DD7C0D"/>
    <w:rsid w:val="00DD7CB9"/>
    <w:rsid w:val="00DE00F9"/>
    <w:rsid w:val="00DE04C2"/>
    <w:rsid w:val="00DE04C9"/>
    <w:rsid w:val="00DE057E"/>
    <w:rsid w:val="00DE0607"/>
    <w:rsid w:val="00DE071B"/>
    <w:rsid w:val="00DE0815"/>
    <w:rsid w:val="00DE084B"/>
    <w:rsid w:val="00DE0A78"/>
    <w:rsid w:val="00DE111C"/>
    <w:rsid w:val="00DE11A8"/>
    <w:rsid w:val="00DE1217"/>
    <w:rsid w:val="00DE14AF"/>
    <w:rsid w:val="00DE1502"/>
    <w:rsid w:val="00DE18E4"/>
    <w:rsid w:val="00DE1C08"/>
    <w:rsid w:val="00DE1CA5"/>
    <w:rsid w:val="00DE1DDA"/>
    <w:rsid w:val="00DE1F77"/>
    <w:rsid w:val="00DE20D6"/>
    <w:rsid w:val="00DE21C7"/>
    <w:rsid w:val="00DE21E7"/>
    <w:rsid w:val="00DE2242"/>
    <w:rsid w:val="00DE2386"/>
    <w:rsid w:val="00DE25DD"/>
    <w:rsid w:val="00DE25DE"/>
    <w:rsid w:val="00DE2640"/>
    <w:rsid w:val="00DE2815"/>
    <w:rsid w:val="00DE294B"/>
    <w:rsid w:val="00DE2974"/>
    <w:rsid w:val="00DE2A3A"/>
    <w:rsid w:val="00DE2DF5"/>
    <w:rsid w:val="00DE2FFE"/>
    <w:rsid w:val="00DE37A0"/>
    <w:rsid w:val="00DE3895"/>
    <w:rsid w:val="00DE3982"/>
    <w:rsid w:val="00DE3B58"/>
    <w:rsid w:val="00DE3C40"/>
    <w:rsid w:val="00DE3D3D"/>
    <w:rsid w:val="00DE3D41"/>
    <w:rsid w:val="00DE4116"/>
    <w:rsid w:val="00DE4207"/>
    <w:rsid w:val="00DE4233"/>
    <w:rsid w:val="00DE431D"/>
    <w:rsid w:val="00DE437D"/>
    <w:rsid w:val="00DE43DB"/>
    <w:rsid w:val="00DE441A"/>
    <w:rsid w:val="00DE452A"/>
    <w:rsid w:val="00DE453C"/>
    <w:rsid w:val="00DE46E4"/>
    <w:rsid w:val="00DE49A2"/>
    <w:rsid w:val="00DE4B0B"/>
    <w:rsid w:val="00DE4B82"/>
    <w:rsid w:val="00DE4C78"/>
    <w:rsid w:val="00DE4D31"/>
    <w:rsid w:val="00DE4DCA"/>
    <w:rsid w:val="00DE51BC"/>
    <w:rsid w:val="00DE545C"/>
    <w:rsid w:val="00DE546D"/>
    <w:rsid w:val="00DE561D"/>
    <w:rsid w:val="00DE5766"/>
    <w:rsid w:val="00DE5A67"/>
    <w:rsid w:val="00DE5C1A"/>
    <w:rsid w:val="00DE5F35"/>
    <w:rsid w:val="00DE605D"/>
    <w:rsid w:val="00DE617D"/>
    <w:rsid w:val="00DE61B3"/>
    <w:rsid w:val="00DE61CF"/>
    <w:rsid w:val="00DE61E3"/>
    <w:rsid w:val="00DE626C"/>
    <w:rsid w:val="00DE6292"/>
    <w:rsid w:val="00DE6328"/>
    <w:rsid w:val="00DE657A"/>
    <w:rsid w:val="00DE6862"/>
    <w:rsid w:val="00DE6D30"/>
    <w:rsid w:val="00DE6E6B"/>
    <w:rsid w:val="00DE6E8A"/>
    <w:rsid w:val="00DE7009"/>
    <w:rsid w:val="00DE728C"/>
    <w:rsid w:val="00DE72F7"/>
    <w:rsid w:val="00DE7548"/>
    <w:rsid w:val="00DE766D"/>
    <w:rsid w:val="00DE7806"/>
    <w:rsid w:val="00DE79DF"/>
    <w:rsid w:val="00DE7BC1"/>
    <w:rsid w:val="00DE7CDB"/>
    <w:rsid w:val="00DE7F0F"/>
    <w:rsid w:val="00DE7F35"/>
    <w:rsid w:val="00DF0575"/>
    <w:rsid w:val="00DF07BE"/>
    <w:rsid w:val="00DF07D7"/>
    <w:rsid w:val="00DF07E5"/>
    <w:rsid w:val="00DF08A3"/>
    <w:rsid w:val="00DF0980"/>
    <w:rsid w:val="00DF0E28"/>
    <w:rsid w:val="00DF10CB"/>
    <w:rsid w:val="00DF123D"/>
    <w:rsid w:val="00DF1912"/>
    <w:rsid w:val="00DF19AF"/>
    <w:rsid w:val="00DF1B68"/>
    <w:rsid w:val="00DF1C95"/>
    <w:rsid w:val="00DF2144"/>
    <w:rsid w:val="00DF2148"/>
    <w:rsid w:val="00DF2262"/>
    <w:rsid w:val="00DF2518"/>
    <w:rsid w:val="00DF268B"/>
    <w:rsid w:val="00DF26CD"/>
    <w:rsid w:val="00DF274E"/>
    <w:rsid w:val="00DF2CE1"/>
    <w:rsid w:val="00DF2D82"/>
    <w:rsid w:val="00DF30E4"/>
    <w:rsid w:val="00DF34C3"/>
    <w:rsid w:val="00DF36F2"/>
    <w:rsid w:val="00DF3702"/>
    <w:rsid w:val="00DF3762"/>
    <w:rsid w:val="00DF3782"/>
    <w:rsid w:val="00DF3860"/>
    <w:rsid w:val="00DF3883"/>
    <w:rsid w:val="00DF3988"/>
    <w:rsid w:val="00DF4077"/>
    <w:rsid w:val="00DF41C0"/>
    <w:rsid w:val="00DF4203"/>
    <w:rsid w:val="00DF429C"/>
    <w:rsid w:val="00DF445B"/>
    <w:rsid w:val="00DF4788"/>
    <w:rsid w:val="00DF48B4"/>
    <w:rsid w:val="00DF4B94"/>
    <w:rsid w:val="00DF4D38"/>
    <w:rsid w:val="00DF4E16"/>
    <w:rsid w:val="00DF4E55"/>
    <w:rsid w:val="00DF4EB7"/>
    <w:rsid w:val="00DF4F96"/>
    <w:rsid w:val="00DF5140"/>
    <w:rsid w:val="00DF565E"/>
    <w:rsid w:val="00DF5A70"/>
    <w:rsid w:val="00DF5A7C"/>
    <w:rsid w:val="00DF5AE6"/>
    <w:rsid w:val="00DF5B88"/>
    <w:rsid w:val="00DF5C1B"/>
    <w:rsid w:val="00DF5CE7"/>
    <w:rsid w:val="00DF5DE1"/>
    <w:rsid w:val="00DF5E3B"/>
    <w:rsid w:val="00DF5F88"/>
    <w:rsid w:val="00DF6027"/>
    <w:rsid w:val="00DF60D8"/>
    <w:rsid w:val="00DF60FF"/>
    <w:rsid w:val="00DF6381"/>
    <w:rsid w:val="00DF648B"/>
    <w:rsid w:val="00DF657E"/>
    <w:rsid w:val="00DF674D"/>
    <w:rsid w:val="00DF698C"/>
    <w:rsid w:val="00DF6ADA"/>
    <w:rsid w:val="00DF6C49"/>
    <w:rsid w:val="00DF6DC4"/>
    <w:rsid w:val="00DF6E68"/>
    <w:rsid w:val="00DF6E70"/>
    <w:rsid w:val="00DF6F45"/>
    <w:rsid w:val="00DF6F69"/>
    <w:rsid w:val="00DF71C3"/>
    <w:rsid w:val="00DF7237"/>
    <w:rsid w:val="00DF72AB"/>
    <w:rsid w:val="00DF7426"/>
    <w:rsid w:val="00DF7560"/>
    <w:rsid w:val="00DF768E"/>
    <w:rsid w:val="00DF76D3"/>
    <w:rsid w:val="00DF781E"/>
    <w:rsid w:val="00DF7953"/>
    <w:rsid w:val="00DF796A"/>
    <w:rsid w:val="00DF7CE5"/>
    <w:rsid w:val="00E00025"/>
    <w:rsid w:val="00E00081"/>
    <w:rsid w:val="00E0008E"/>
    <w:rsid w:val="00E0044A"/>
    <w:rsid w:val="00E006B0"/>
    <w:rsid w:val="00E006BA"/>
    <w:rsid w:val="00E008C2"/>
    <w:rsid w:val="00E00C6F"/>
    <w:rsid w:val="00E00C75"/>
    <w:rsid w:val="00E00F21"/>
    <w:rsid w:val="00E0113B"/>
    <w:rsid w:val="00E011B9"/>
    <w:rsid w:val="00E014B5"/>
    <w:rsid w:val="00E01F4E"/>
    <w:rsid w:val="00E0201B"/>
    <w:rsid w:val="00E024B2"/>
    <w:rsid w:val="00E026A6"/>
    <w:rsid w:val="00E026D0"/>
    <w:rsid w:val="00E02A75"/>
    <w:rsid w:val="00E02ABD"/>
    <w:rsid w:val="00E02B19"/>
    <w:rsid w:val="00E02CFE"/>
    <w:rsid w:val="00E02E01"/>
    <w:rsid w:val="00E02F06"/>
    <w:rsid w:val="00E02F15"/>
    <w:rsid w:val="00E030FF"/>
    <w:rsid w:val="00E031FD"/>
    <w:rsid w:val="00E03640"/>
    <w:rsid w:val="00E03769"/>
    <w:rsid w:val="00E03AB7"/>
    <w:rsid w:val="00E03AF2"/>
    <w:rsid w:val="00E03D7D"/>
    <w:rsid w:val="00E03E9C"/>
    <w:rsid w:val="00E0441D"/>
    <w:rsid w:val="00E04540"/>
    <w:rsid w:val="00E04573"/>
    <w:rsid w:val="00E04AC9"/>
    <w:rsid w:val="00E04AE5"/>
    <w:rsid w:val="00E04B7F"/>
    <w:rsid w:val="00E04CA9"/>
    <w:rsid w:val="00E04DD8"/>
    <w:rsid w:val="00E04E2D"/>
    <w:rsid w:val="00E04F4E"/>
    <w:rsid w:val="00E0509B"/>
    <w:rsid w:val="00E050CF"/>
    <w:rsid w:val="00E05206"/>
    <w:rsid w:val="00E0548D"/>
    <w:rsid w:val="00E0562C"/>
    <w:rsid w:val="00E05BAF"/>
    <w:rsid w:val="00E05C34"/>
    <w:rsid w:val="00E05C87"/>
    <w:rsid w:val="00E05C98"/>
    <w:rsid w:val="00E05DB5"/>
    <w:rsid w:val="00E05E88"/>
    <w:rsid w:val="00E05FBB"/>
    <w:rsid w:val="00E06655"/>
    <w:rsid w:val="00E06800"/>
    <w:rsid w:val="00E06BCC"/>
    <w:rsid w:val="00E06CF8"/>
    <w:rsid w:val="00E06D0C"/>
    <w:rsid w:val="00E06FC6"/>
    <w:rsid w:val="00E0709D"/>
    <w:rsid w:val="00E07236"/>
    <w:rsid w:val="00E0725B"/>
    <w:rsid w:val="00E073DD"/>
    <w:rsid w:val="00E0752F"/>
    <w:rsid w:val="00E07578"/>
    <w:rsid w:val="00E07702"/>
    <w:rsid w:val="00E077D9"/>
    <w:rsid w:val="00E07A5E"/>
    <w:rsid w:val="00E07A74"/>
    <w:rsid w:val="00E07B6C"/>
    <w:rsid w:val="00E07B78"/>
    <w:rsid w:val="00E1021A"/>
    <w:rsid w:val="00E10473"/>
    <w:rsid w:val="00E1052F"/>
    <w:rsid w:val="00E10696"/>
    <w:rsid w:val="00E1069D"/>
    <w:rsid w:val="00E106ED"/>
    <w:rsid w:val="00E1088A"/>
    <w:rsid w:val="00E1091C"/>
    <w:rsid w:val="00E10A3C"/>
    <w:rsid w:val="00E10B1A"/>
    <w:rsid w:val="00E10CFC"/>
    <w:rsid w:val="00E10DBA"/>
    <w:rsid w:val="00E10E25"/>
    <w:rsid w:val="00E10EF6"/>
    <w:rsid w:val="00E10F56"/>
    <w:rsid w:val="00E110A7"/>
    <w:rsid w:val="00E110C0"/>
    <w:rsid w:val="00E11B64"/>
    <w:rsid w:val="00E11D65"/>
    <w:rsid w:val="00E12179"/>
    <w:rsid w:val="00E1228E"/>
    <w:rsid w:val="00E1244D"/>
    <w:rsid w:val="00E12496"/>
    <w:rsid w:val="00E12889"/>
    <w:rsid w:val="00E1288C"/>
    <w:rsid w:val="00E12898"/>
    <w:rsid w:val="00E12E13"/>
    <w:rsid w:val="00E12EFC"/>
    <w:rsid w:val="00E12F5F"/>
    <w:rsid w:val="00E12FE2"/>
    <w:rsid w:val="00E12FEA"/>
    <w:rsid w:val="00E132DC"/>
    <w:rsid w:val="00E135C8"/>
    <w:rsid w:val="00E13664"/>
    <w:rsid w:val="00E137FD"/>
    <w:rsid w:val="00E13F03"/>
    <w:rsid w:val="00E14068"/>
    <w:rsid w:val="00E14282"/>
    <w:rsid w:val="00E1436F"/>
    <w:rsid w:val="00E145A2"/>
    <w:rsid w:val="00E14624"/>
    <w:rsid w:val="00E14708"/>
    <w:rsid w:val="00E147B1"/>
    <w:rsid w:val="00E1483A"/>
    <w:rsid w:val="00E1505F"/>
    <w:rsid w:val="00E154AD"/>
    <w:rsid w:val="00E15C2A"/>
    <w:rsid w:val="00E15C57"/>
    <w:rsid w:val="00E15CCB"/>
    <w:rsid w:val="00E15E03"/>
    <w:rsid w:val="00E15F4C"/>
    <w:rsid w:val="00E1606E"/>
    <w:rsid w:val="00E160F5"/>
    <w:rsid w:val="00E16811"/>
    <w:rsid w:val="00E1689E"/>
    <w:rsid w:val="00E16CC9"/>
    <w:rsid w:val="00E16DD1"/>
    <w:rsid w:val="00E1703D"/>
    <w:rsid w:val="00E171DA"/>
    <w:rsid w:val="00E17288"/>
    <w:rsid w:val="00E172B9"/>
    <w:rsid w:val="00E177D1"/>
    <w:rsid w:val="00E17886"/>
    <w:rsid w:val="00E17C97"/>
    <w:rsid w:val="00E17D37"/>
    <w:rsid w:val="00E17D5B"/>
    <w:rsid w:val="00E20149"/>
    <w:rsid w:val="00E20193"/>
    <w:rsid w:val="00E20290"/>
    <w:rsid w:val="00E20345"/>
    <w:rsid w:val="00E20AC6"/>
    <w:rsid w:val="00E20BA2"/>
    <w:rsid w:val="00E20CBC"/>
    <w:rsid w:val="00E20F54"/>
    <w:rsid w:val="00E21061"/>
    <w:rsid w:val="00E214E3"/>
    <w:rsid w:val="00E216AC"/>
    <w:rsid w:val="00E21801"/>
    <w:rsid w:val="00E21936"/>
    <w:rsid w:val="00E21967"/>
    <w:rsid w:val="00E21A6B"/>
    <w:rsid w:val="00E21C96"/>
    <w:rsid w:val="00E21D1A"/>
    <w:rsid w:val="00E21EE1"/>
    <w:rsid w:val="00E21FA5"/>
    <w:rsid w:val="00E22272"/>
    <w:rsid w:val="00E22337"/>
    <w:rsid w:val="00E2242A"/>
    <w:rsid w:val="00E2242F"/>
    <w:rsid w:val="00E22896"/>
    <w:rsid w:val="00E22951"/>
    <w:rsid w:val="00E22CA1"/>
    <w:rsid w:val="00E22EC7"/>
    <w:rsid w:val="00E2305F"/>
    <w:rsid w:val="00E2345F"/>
    <w:rsid w:val="00E2366B"/>
    <w:rsid w:val="00E237A0"/>
    <w:rsid w:val="00E23842"/>
    <w:rsid w:val="00E23B8C"/>
    <w:rsid w:val="00E23B93"/>
    <w:rsid w:val="00E23D07"/>
    <w:rsid w:val="00E23E23"/>
    <w:rsid w:val="00E2404F"/>
    <w:rsid w:val="00E2413C"/>
    <w:rsid w:val="00E242E2"/>
    <w:rsid w:val="00E24540"/>
    <w:rsid w:val="00E246CD"/>
    <w:rsid w:val="00E24DB5"/>
    <w:rsid w:val="00E24DF7"/>
    <w:rsid w:val="00E24F35"/>
    <w:rsid w:val="00E25379"/>
    <w:rsid w:val="00E253AE"/>
    <w:rsid w:val="00E2551A"/>
    <w:rsid w:val="00E2557B"/>
    <w:rsid w:val="00E255C0"/>
    <w:rsid w:val="00E2562A"/>
    <w:rsid w:val="00E2596D"/>
    <w:rsid w:val="00E2597E"/>
    <w:rsid w:val="00E259B8"/>
    <w:rsid w:val="00E259C0"/>
    <w:rsid w:val="00E25C5B"/>
    <w:rsid w:val="00E25D5B"/>
    <w:rsid w:val="00E25E42"/>
    <w:rsid w:val="00E25F67"/>
    <w:rsid w:val="00E260D0"/>
    <w:rsid w:val="00E2616D"/>
    <w:rsid w:val="00E2623C"/>
    <w:rsid w:val="00E2624F"/>
    <w:rsid w:val="00E264BC"/>
    <w:rsid w:val="00E26504"/>
    <w:rsid w:val="00E26953"/>
    <w:rsid w:val="00E26ACD"/>
    <w:rsid w:val="00E26D44"/>
    <w:rsid w:val="00E26D59"/>
    <w:rsid w:val="00E26DD0"/>
    <w:rsid w:val="00E26FCD"/>
    <w:rsid w:val="00E27273"/>
    <w:rsid w:val="00E27649"/>
    <w:rsid w:val="00E276E5"/>
    <w:rsid w:val="00E277F0"/>
    <w:rsid w:val="00E278B7"/>
    <w:rsid w:val="00E278C9"/>
    <w:rsid w:val="00E2794E"/>
    <w:rsid w:val="00E27D17"/>
    <w:rsid w:val="00E27E39"/>
    <w:rsid w:val="00E30033"/>
    <w:rsid w:val="00E30098"/>
    <w:rsid w:val="00E304A8"/>
    <w:rsid w:val="00E309C9"/>
    <w:rsid w:val="00E30B84"/>
    <w:rsid w:val="00E30CAA"/>
    <w:rsid w:val="00E31057"/>
    <w:rsid w:val="00E31244"/>
    <w:rsid w:val="00E31397"/>
    <w:rsid w:val="00E31476"/>
    <w:rsid w:val="00E31483"/>
    <w:rsid w:val="00E31815"/>
    <w:rsid w:val="00E318C0"/>
    <w:rsid w:val="00E318FF"/>
    <w:rsid w:val="00E31AE2"/>
    <w:rsid w:val="00E31BB1"/>
    <w:rsid w:val="00E31BF5"/>
    <w:rsid w:val="00E31C3D"/>
    <w:rsid w:val="00E31D07"/>
    <w:rsid w:val="00E31DFF"/>
    <w:rsid w:val="00E32107"/>
    <w:rsid w:val="00E32225"/>
    <w:rsid w:val="00E32627"/>
    <w:rsid w:val="00E32799"/>
    <w:rsid w:val="00E32873"/>
    <w:rsid w:val="00E32958"/>
    <w:rsid w:val="00E32A43"/>
    <w:rsid w:val="00E32B5C"/>
    <w:rsid w:val="00E32D24"/>
    <w:rsid w:val="00E32F75"/>
    <w:rsid w:val="00E3307D"/>
    <w:rsid w:val="00E332AC"/>
    <w:rsid w:val="00E33571"/>
    <w:rsid w:val="00E3358F"/>
    <w:rsid w:val="00E33621"/>
    <w:rsid w:val="00E338B0"/>
    <w:rsid w:val="00E33A35"/>
    <w:rsid w:val="00E33B76"/>
    <w:rsid w:val="00E33C38"/>
    <w:rsid w:val="00E33E60"/>
    <w:rsid w:val="00E33EE9"/>
    <w:rsid w:val="00E33F19"/>
    <w:rsid w:val="00E34037"/>
    <w:rsid w:val="00E34165"/>
    <w:rsid w:val="00E341AF"/>
    <w:rsid w:val="00E34534"/>
    <w:rsid w:val="00E3453E"/>
    <w:rsid w:val="00E34795"/>
    <w:rsid w:val="00E3488B"/>
    <w:rsid w:val="00E34973"/>
    <w:rsid w:val="00E34A23"/>
    <w:rsid w:val="00E34AC3"/>
    <w:rsid w:val="00E34DCC"/>
    <w:rsid w:val="00E350F8"/>
    <w:rsid w:val="00E350FD"/>
    <w:rsid w:val="00E35611"/>
    <w:rsid w:val="00E35B03"/>
    <w:rsid w:val="00E35D04"/>
    <w:rsid w:val="00E35D18"/>
    <w:rsid w:val="00E35D59"/>
    <w:rsid w:val="00E35DE8"/>
    <w:rsid w:val="00E35F0F"/>
    <w:rsid w:val="00E35FAE"/>
    <w:rsid w:val="00E36010"/>
    <w:rsid w:val="00E36052"/>
    <w:rsid w:val="00E3626D"/>
    <w:rsid w:val="00E364E5"/>
    <w:rsid w:val="00E36688"/>
    <w:rsid w:val="00E367F1"/>
    <w:rsid w:val="00E36A7F"/>
    <w:rsid w:val="00E36BFB"/>
    <w:rsid w:val="00E36CE5"/>
    <w:rsid w:val="00E36D90"/>
    <w:rsid w:val="00E36F4F"/>
    <w:rsid w:val="00E372B2"/>
    <w:rsid w:val="00E37385"/>
    <w:rsid w:val="00E3740B"/>
    <w:rsid w:val="00E3763A"/>
    <w:rsid w:val="00E3779B"/>
    <w:rsid w:val="00E37808"/>
    <w:rsid w:val="00E378D0"/>
    <w:rsid w:val="00E378D4"/>
    <w:rsid w:val="00E37E5C"/>
    <w:rsid w:val="00E37EFF"/>
    <w:rsid w:val="00E37F79"/>
    <w:rsid w:val="00E4005B"/>
    <w:rsid w:val="00E4049C"/>
    <w:rsid w:val="00E404FB"/>
    <w:rsid w:val="00E405B7"/>
    <w:rsid w:val="00E408DB"/>
    <w:rsid w:val="00E4091D"/>
    <w:rsid w:val="00E40ACF"/>
    <w:rsid w:val="00E40BEA"/>
    <w:rsid w:val="00E40CA7"/>
    <w:rsid w:val="00E40E10"/>
    <w:rsid w:val="00E40F6C"/>
    <w:rsid w:val="00E411DF"/>
    <w:rsid w:val="00E4149F"/>
    <w:rsid w:val="00E416DA"/>
    <w:rsid w:val="00E419A5"/>
    <w:rsid w:val="00E41AFF"/>
    <w:rsid w:val="00E41E6B"/>
    <w:rsid w:val="00E41EFF"/>
    <w:rsid w:val="00E420BF"/>
    <w:rsid w:val="00E4233D"/>
    <w:rsid w:val="00E424C3"/>
    <w:rsid w:val="00E424C7"/>
    <w:rsid w:val="00E4263C"/>
    <w:rsid w:val="00E427D4"/>
    <w:rsid w:val="00E4283F"/>
    <w:rsid w:val="00E428A6"/>
    <w:rsid w:val="00E42D25"/>
    <w:rsid w:val="00E431BF"/>
    <w:rsid w:val="00E4328B"/>
    <w:rsid w:val="00E43305"/>
    <w:rsid w:val="00E433F4"/>
    <w:rsid w:val="00E43406"/>
    <w:rsid w:val="00E43626"/>
    <w:rsid w:val="00E43883"/>
    <w:rsid w:val="00E438EB"/>
    <w:rsid w:val="00E43A66"/>
    <w:rsid w:val="00E43B56"/>
    <w:rsid w:val="00E43C19"/>
    <w:rsid w:val="00E43CBE"/>
    <w:rsid w:val="00E43CCA"/>
    <w:rsid w:val="00E43DA6"/>
    <w:rsid w:val="00E43F59"/>
    <w:rsid w:val="00E43FF4"/>
    <w:rsid w:val="00E44008"/>
    <w:rsid w:val="00E44051"/>
    <w:rsid w:val="00E44096"/>
    <w:rsid w:val="00E440C5"/>
    <w:rsid w:val="00E4436F"/>
    <w:rsid w:val="00E44384"/>
    <w:rsid w:val="00E44881"/>
    <w:rsid w:val="00E448E9"/>
    <w:rsid w:val="00E44A05"/>
    <w:rsid w:val="00E44C0F"/>
    <w:rsid w:val="00E44E5F"/>
    <w:rsid w:val="00E44F32"/>
    <w:rsid w:val="00E4500B"/>
    <w:rsid w:val="00E450B6"/>
    <w:rsid w:val="00E4538D"/>
    <w:rsid w:val="00E45AF0"/>
    <w:rsid w:val="00E45CFE"/>
    <w:rsid w:val="00E45F70"/>
    <w:rsid w:val="00E462A4"/>
    <w:rsid w:val="00E46415"/>
    <w:rsid w:val="00E464CB"/>
    <w:rsid w:val="00E46538"/>
    <w:rsid w:val="00E46691"/>
    <w:rsid w:val="00E46703"/>
    <w:rsid w:val="00E46848"/>
    <w:rsid w:val="00E46AFC"/>
    <w:rsid w:val="00E46B47"/>
    <w:rsid w:val="00E46D53"/>
    <w:rsid w:val="00E46DD2"/>
    <w:rsid w:val="00E46F93"/>
    <w:rsid w:val="00E4700B"/>
    <w:rsid w:val="00E4728B"/>
    <w:rsid w:val="00E47432"/>
    <w:rsid w:val="00E47671"/>
    <w:rsid w:val="00E4783A"/>
    <w:rsid w:val="00E47AAA"/>
    <w:rsid w:val="00E47AAC"/>
    <w:rsid w:val="00E47ACD"/>
    <w:rsid w:val="00E47BF6"/>
    <w:rsid w:val="00E47C2B"/>
    <w:rsid w:val="00E5001A"/>
    <w:rsid w:val="00E501D5"/>
    <w:rsid w:val="00E501E8"/>
    <w:rsid w:val="00E50429"/>
    <w:rsid w:val="00E50458"/>
    <w:rsid w:val="00E5046C"/>
    <w:rsid w:val="00E50898"/>
    <w:rsid w:val="00E5092F"/>
    <w:rsid w:val="00E50AB7"/>
    <w:rsid w:val="00E50B94"/>
    <w:rsid w:val="00E50BE6"/>
    <w:rsid w:val="00E50C45"/>
    <w:rsid w:val="00E50C50"/>
    <w:rsid w:val="00E50C9F"/>
    <w:rsid w:val="00E50DA7"/>
    <w:rsid w:val="00E50EC4"/>
    <w:rsid w:val="00E513D3"/>
    <w:rsid w:val="00E51424"/>
    <w:rsid w:val="00E51968"/>
    <w:rsid w:val="00E51C32"/>
    <w:rsid w:val="00E51C95"/>
    <w:rsid w:val="00E51CB9"/>
    <w:rsid w:val="00E51EC7"/>
    <w:rsid w:val="00E51F2E"/>
    <w:rsid w:val="00E52131"/>
    <w:rsid w:val="00E522D1"/>
    <w:rsid w:val="00E523F8"/>
    <w:rsid w:val="00E5263E"/>
    <w:rsid w:val="00E528C4"/>
    <w:rsid w:val="00E529FA"/>
    <w:rsid w:val="00E52B8F"/>
    <w:rsid w:val="00E52C46"/>
    <w:rsid w:val="00E530F9"/>
    <w:rsid w:val="00E53647"/>
    <w:rsid w:val="00E5368B"/>
    <w:rsid w:val="00E53763"/>
    <w:rsid w:val="00E53E15"/>
    <w:rsid w:val="00E53F24"/>
    <w:rsid w:val="00E5449F"/>
    <w:rsid w:val="00E54646"/>
    <w:rsid w:val="00E54863"/>
    <w:rsid w:val="00E548CD"/>
    <w:rsid w:val="00E549F0"/>
    <w:rsid w:val="00E54B1F"/>
    <w:rsid w:val="00E54C8B"/>
    <w:rsid w:val="00E54CDA"/>
    <w:rsid w:val="00E54D33"/>
    <w:rsid w:val="00E54D8D"/>
    <w:rsid w:val="00E54E33"/>
    <w:rsid w:val="00E54EC8"/>
    <w:rsid w:val="00E54FDF"/>
    <w:rsid w:val="00E55479"/>
    <w:rsid w:val="00E55729"/>
    <w:rsid w:val="00E557BC"/>
    <w:rsid w:val="00E55964"/>
    <w:rsid w:val="00E559B1"/>
    <w:rsid w:val="00E55B81"/>
    <w:rsid w:val="00E55C4B"/>
    <w:rsid w:val="00E55E21"/>
    <w:rsid w:val="00E55F18"/>
    <w:rsid w:val="00E5602A"/>
    <w:rsid w:val="00E56049"/>
    <w:rsid w:val="00E56132"/>
    <w:rsid w:val="00E56208"/>
    <w:rsid w:val="00E56520"/>
    <w:rsid w:val="00E565FE"/>
    <w:rsid w:val="00E56769"/>
    <w:rsid w:val="00E56942"/>
    <w:rsid w:val="00E56E13"/>
    <w:rsid w:val="00E56EE8"/>
    <w:rsid w:val="00E56FE4"/>
    <w:rsid w:val="00E570D4"/>
    <w:rsid w:val="00E57126"/>
    <w:rsid w:val="00E573E9"/>
    <w:rsid w:val="00E5764D"/>
    <w:rsid w:val="00E57A88"/>
    <w:rsid w:val="00E57CC0"/>
    <w:rsid w:val="00E57E71"/>
    <w:rsid w:val="00E57F49"/>
    <w:rsid w:val="00E6003D"/>
    <w:rsid w:val="00E6007B"/>
    <w:rsid w:val="00E600A7"/>
    <w:rsid w:val="00E6012D"/>
    <w:rsid w:val="00E60912"/>
    <w:rsid w:val="00E611AC"/>
    <w:rsid w:val="00E611F8"/>
    <w:rsid w:val="00E61389"/>
    <w:rsid w:val="00E61621"/>
    <w:rsid w:val="00E6178C"/>
    <w:rsid w:val="00E6194C"/>
    <w:rsid w:val="00E61CDC"/>
    <w:rsid w:val="00E61DE0"/>
    <w:rsid w:val="00E61E59"/>
    <w:rsid w:val="00E61EDC"/>
    <w:rsid w:val="00E61FE7"/>
    <w:rsid w:val="00E62067"/>
    <w:rsid w:val="00E623E4"/>
    <w:rsid w:val="00E62496"/>
    <w:rsid w:val="00E624F3"/>
    <w:rsid w:val="00E6255E"/>
    <w:rsid w:val="00E62604"/>
    <w:rsid w:val="00E62676"/>
    <w:rsid w:val="00E62AF9"/>
    <w:rsid w:val="00E62D45"/>
    <w:rsid w:val="00E62EBD"/>
    <w:rsid w:val="00E6304E"/>
    <w:rsid w:val="00E635E1"/>
    <w:rsid w:val="00E635E6"/>
    <w:rsid w:val="00E6382A"/>
    <w:rsid w:val="00E63872"/>
    <w:rsid w:val="00E63D92"/>
    <w:rsid w:val="00E63E11"/>
    <w:rsid w:val="00E63EAD"/>
    <w:rsid w:val="00E63FCC"/>
    <w:rsid w:val="00E64284"/>
    <w:rsid w:val="00E64302"/>
    <w:rsid w:val="00E645DC"/>
    <w:rsid w:val="00E64771"/>
    <w:rsid w:val="00E648E1"/>
    <w:rsid w:val="00E64A87"/>
    <w:rsid w:val="00E64CA8"/>
    <w:rsid w:val="00E64F40"/>
    <w:rsid w:val="00E65074"/>
    <w:rsid w:val="00E6535B"/>
    <w:rsid w:val="00E65384"/>
    <w:rsid w:val="00E653A2"/>
    <w:rsid w:val="00E654E6"/>
    <w:rsid w:val="00E65567"/>
    <w:rsid w:val="00E6557B"/>
    <w:rsid w:val="00E6579C"/>
    <w:rsid w:val="00E65C6C"/>
    <w:rsid w:val="00E65D55"/>
    <w:rsid w:val="00E65E64"/>
    <w:rsid w:val="00E65F8D"/>
    <w:rsid w:val="00E66002"/>
    <w:rsid w:val="00E66195"/>
    <w:rsid w:val="00E66240"/>
    <w:rsid w:val="00E6625A"/>
    <w:rsid w:val="00E6634A"/>
    <w:rsid w:val="00E665F8"/>
    <w:rsid w:val="00E6691D"/>
    <w:rsid w:val="00E66A62"/>
    <w:rsid w:val="00E66A7F"/>
    <w:rsid w:val="00E66E80"/>
    <w:rsid w:val="00E66EB6"/>
    <w:rsid w:val="00E67153"/>
    <w:rsid w:val="00E673B9"/>
    <w:rsid w:val="00E6757F"/>
    <w:rsid w:val="00E67643"/>
    <w:rsid w:val="00E6774F"/>
    <w:rsid w:val="00E67754"/>
    <w:rsid w:val="00E678A8"/>
    <w:rsid w:val="00E67B87"/>
    <w:rsid w:val="00E67CEF"/>
    <w:rsid w:val="00E67E44"/>
    <w:rsid w:val="00E7038F"/>
    <w:rsid w:val="00E70419"/>
    <w:rsid w:val="00E70451"/>
    <w:rsid w:val="00E70CC7"/>
    <w:rsid w:val="00E70DF2"/>
    <w:rsid w:val="00E71082"/>
    <w:rsid w:val="00E71142"/>
    <w:rsid w:val="00E7121B"/>
    <w:rsid w:val="00E712FC"/>
    <w:rsid w:val="00E71384"/>
    <w:rsid w:val="00E71867"/>
    <w:rsid w:val="00E718F0"/>
    <w:rsid w:val="00E7197D"/>
    <w:rsid w:val="00E71A90"/>
    <w:rsid w:val="00E71C24"/>
    <w:rsid w:val="00E71DBA"/>
    <w:rsid w:val="00E7218A"/>
    <w:rsid w:val="00E725C1"/>
    <w:rsid w:val="00E72BB5"/>
    <w:rsid w:val="00E72D74"/>
    <w:rsid w:val="00E72EC5"/>
    <w:rsid w:val="00E72F4C"/>
    <w:rsid w:val="00E73113"/>
    <w:rsid w:val="00E73134"/>
    <w:rsid w:val="00E73302"/>
    <w:rsid w:val="00E734BB"/>
    <w:rsid w:val="00E7357D"/>
    <w:rsid w:val="00E735EA"/>
    <w:rsid w:val="00E735F8"/>
    <w:rsid w:val="00E737A3"/>
    <w:rsid w:val="00E7380D"/>
    <w:rsid w:val="00E7395F"/>
    <w:rsid w:val="00E739BC"/>
    <w:rsid w:val="00E73DB2"/>
    <w:rsid w:val="00E73E41"/>
    <w:rsid w:val="00E7406E"/>
    <w:rsid w:val="00E74097"/>
    <w:rsid w:val="00E74112"/>
    <w:rsid w:val="00E74114"/>
    <w:rsid w:val="00E74120"/>
    <w:rsid w:val="00E7417F"/>
    <w:rsid w:val="00E7451D"/>
    <w:rsid w:val="00E74691"/>
    <w:rsid w:val="00E74912"/>
    <w:rsid w:val="00E74944"/>
    <w:rsid w:val="00E74B3C"/>
    <w:rsid w:val="00E74BA2"/>
    <w:rsid w:val="00E74DE0"/>
    <w:rsid w:val="00E74F78"/>
    <w:rsid w:val="00E74FF0"/>
    <w:rsid w:val="00E75055"/>
    <w:rsid w:val="00E753E1"/>
    <w:rsid w:val="00E754D4"/>
    <w:rsid w:val="00E75534"/>
    <w:rsid w:val="00E7574A"/>
    <w:rsid w:val="00E75A5B"/>
    <w:rsid w:val="00E75B43"/>
    <w:rsid w:val="00E75B88"/>
    <w:rsid w:val="00E75C2E"/>
    <w:rsid w:val="00E75C41"/>
    <w:rsid w:val="00E75DA8"/>
    <w:rsid w:val="00E75DE7"/>
    <w:rsid w:val="00E7621B"/>
    <w:rsid w:val="00E76329"/>
    <w:rsid w:val="00E7639B"/>
    <w:rsid w:val="00E763FF"/>
    <w:rsid w:val="00E766FA"/>
    <w:rsid w:val="00E76740"/>
    <w:rsid w:val="00E76808"/>
    <w:rsid w:val="00E76888"/>
    <w:rsid w:val="00E76DAA"/>
    <w:rsid w:val="00E76E99"/>
    <w:rsid w:val="00E76F65"/>
    <w:rsid w:val="00E77380"/>
    <w:rsid w:val="00E77788"/>
    <w:rsid w:val="00E77977"/>
    <w:rsid w:val="00E77FD8"/>
    <w:rsid w:val="00E80160"/>
    <w:rsid w:val="00E80299"/>
    <w:rsid w:val="00E803FE"/>
    <w:rsid w:val="00E8056A"/>
    <w:rsid w:val="00E8081A"/>
    <w:rsid w:val="00E80B36"/>
    <w:rsid w:val="00E80C67"/>
    <w:rsid w:val="00E80E38"/>
    <w:rsid w:val="00E81036"/>
    <w:rsid w:val="00E8110E"/>
    <w:rsid w:val="00E8168B"/>
    <w:rsid w:val="00E81707"/>
    <w:rsid w:val="00E8179D"/>
    <w:rsid w:val="00E81845"/>
    <w:rsid w:val="00E81940"/>
    <w:rsid w:val="00E81B44"/>
    <w:rsid w:val="00E81C2F"/>
    <w:rsid w:val="00E81CFE"/>
    <w:rsid w:val="00E81EA0"/>
    <w:rsid w:val="00E824D3"/>
    <w:rsid w:val="00E82851"/>
    <w:rsid w:val="00E82AC6"/>
    <w:rsid w:val="00E82C73"/>
    <w:rsid w:val="00E82E94"/>
    <w:rsid w:val="00E8301C"/>
    <w:rsid w:val="00E8337E"/>
    <w:rsid w:val="00E83383"/>
    <w:rsid w:val="00E83540"/>
    <w:rsid w:val="00E837A6"/>
    <w:rsid w:val="00E837B5"/>
    <w:rsid w:val="00E8399B"/>
    <w:rsid w:val="00E83A75"/>
    <w:rsid w:val="00E83ABD"/>
    <w:rsid w:val="00E83D3B"/>
    <w:rsid w:val="00E83E5E"/>
    <w:rsid w:val="00E83F80"/>
    <w:rsid w:val="00E840C3"/>
    <w:rsid w:val="00E8425A"/>
    <w:rsid w:val="00E84293"/>
    <w:rsid w:val="00E842B3"/>
    <w:rsid w:val="00E84353"/>
    <w:rsid w:val="00E84446"/>
    <w:rsid w:val="00E8447F"/>
    <w:rsid w:val="00E845FB"/>
    <w:rsid w:val="00E848E3"/>
    <w:rsid w:val="00E848F9"/>
    <w:rsid w:val="00E8503B"/>
    <w:rsid w:val="00E8541B"/>
    <w:rsid w:val="00E854D5"/>
    <w:rsid w:val="00E8557E"/>
    <w:rsid w:val="00E855CD"/>
    <w:rsid w:val="00E858E4"/>
    <w:rsid w:val="00E85BFF"/>
    <w:rsid w:val="00E85CB1"/>
    <w:rsid w:val="00E85ED9"/>
    <w:rsid w:val="00E85FF1"/>
    <w:rsid w:val="00E86273"/>
    <w:rsid w:val="00E867C9"/>
    <w:rsid w:val="00E867D5"/>
    <w:rsid w:val="00E8686A"/>
    <w:rsid w:val="00E86BFF"/>
    <w:rsid w:val="00E87112"/>
    <w:rsid w:val="00E87168"/>
    <w:rsid w:val="00E872A3"/>
    <w:rsid w:val="00E872DB"/>
    <w:rsid w:val="00E873FC"/>
    <w:rsid w:val="00E87744"/>
    <w:rsid w:val="00E8787C"/>
    <w:rsid w:val="00E87A7D"/>
    <w:rsid w:val="00E87B7A"/>
    <w:rsid w:val="00E87C1A"/>
    <w:rsid w:val="00E87C6B"/>
    <w:rsid w:val="00E87CE2"/>
    <w:rsid w:val="00E87EB8"/>
    <w:rsid w:val="00E87EDE"/>
    <w:rsid w:val="00E87FA4"/>
    <w:rsid w:val="00E90181"/>
    <w:rsid w:val="00E905E4"/>
    <w:rsid w:val="00E90623"/>
    <w:rsid w:val="00E90995"/>
    <w:rsid w:val="00E90AB7"/>
    <w:rsid w:val="00E90C61"/>
    <w:rsid w:val="00E91239"/>
    <w:rsid w:val="00E91251"/>
    <w:rsid w:val="00E912C3"/>
    <w:rsid w:val="00E91439"/>
    <w:rsid w:val="00E91699"/>
    <w:rsid w:val="00E9191A"/>
    <w:rsid w:val="00E91C87"/>
    <w:rsid w:val="00E91D57"/>
    <w:rsid w:val="00E91D63"/>
    <w:rsid w:val="00E91DDE"/>
    <w:rsid w:val="00E91EE1"/>
    <w:rsid w:val="00E91EED"/>
    <w:rsid w:val="00E92054"/>
    <w:rsid w:val="00E9208E"/>
    <w:rsid w:val="00E923A8"/>
    <w:rsid w:val="00E92444"/>
    <w:rsid w:val="00E92637"/>
    <w:rsid w:val="00E92890"/>
    <w:rsid w:val="00E929A9"/>
    <w:rsid w:val="00E929CC"/>
    <w:rsid w:val="00E92C9F"/>
    <w:rsid w:val="00E92CE3"/>
    <w:rsid w:val="00E92D2F"/>
    <w:rsid w:val="00E92E2B"/>
    <w:rsid w:val="00E93310"/>
    <w:rsid w:val="00E933E9"/>
    <w:rsid w:val="00E934FC"/>
    <w:rsid w:val="00E936FE"/>
    <w:rsid w:val="00E93846"/>
    <w:rsid w:val="00E93B0C"/>
    <w:rsid w:val="00E93C5B"/>
    <w:rsid w:val="00E94150"/>
    <w:rsid w:val="00E94190"/>
    <w:rsid w:val="00E943D8"/>
    <w:rsid w:val="00E94569"/>
    <w:rsid w:val="00E94677"/>
    <w:rsid w:val="00E94A0C"/>
    <w:rsid w:val="00E94B80"/>
    <w:rsid w:val="00E951BF"/>
    <w:rsid w:val="00E952EB"/>
    <w:rsid w:val="00E954F1"/>
    <w:rsid w:val="00E95A0C"/>
    <w:rsid w:val="00E95A71"/>
    <w:rsid w:val="00E95AB9"/>
    <w:rsid w:val="00E95C4B"/>
    <w:rsid w:val="00E95EF7"/>
    <w:rsid w:val="00E9610B"/>
    <w:rsid w:val="00E9611D"/>
    <w:rsid w:val="00E962A5"/>
    <w:rsid w:val="00E963B3"/>
    <w:rsid w:val="00E96402"/>
    <w:rsid w:val="00E965ED"/>
    <w:rsid w:val="00E967F7"/>
    <w:rsid w:val="00E96A89"/>
    <w:rsid w:val="00E96BBB"/>
    <w:rsid w:val="00E96F8B"/>
    <w:rsid w:val="00E9721A"/>
    <w:rsid w:val="00E97336"/>
    <w:rsid w:val="00E973B6"/>
    <w:rsid w:val="00E973E3"/>
    <w:rsid w:val="00E9763F"/>
    <w:rsid w:val="00E976D4"/>
    <w:rsid w:val="00E97800"/>
    <w:rsid w:val="00E97A69"/>
    <w:rsid w:val="00E97F2C"/>
    <w:rsid w:val="00EA0291"/>
    <w:rsid w:val="00EA02C1"/>
    <w:rsid w:val="00EA040E"/>
    <w:rsid w:val="00EA098A"/>
    <w:rsid w:val="00EA09B0"/>
    <w:rsid w:val="00EA0A13"/>
    <w:rsid w:val="00EA0BA4"/>
    <w:rsid w:val="00EA0C6F"/>
    <w:rsid w:val="00EA0E1E"/>
    <w:rsid w:val="00EA0E21"/>
    <w:rsid w:val="00EA0E2D"/>
    <w:rsid w:val="00EA0F0B"/>
    <w:rsid w:val="00EA1330"/>
    <w:rsid w:val="00EA1352"/>
    <w:rsid w:val="00EA1439"/>
    <w:rsid w:val="00EA1551"/>
    <w:rsid w:val="00EA185E"/>
    <w:rsid w:val="00EA18FF"/>
    <w:rsid w:val="00EA1A24"/>
    <w:rsid w:val="00EA1B05"/>
    <w:rsid w:val="00EA20A8"/>
    <w:rsid w:val="00EA22F6"/>
    <w:rsid w:val="00EA2488"/>
    <w:rsid w:val="00EA28D1"/>
    <w:rsid w:val="00EA294E"/>
    <w:rsid w:val="00EA2B1B"/>
    <w:rsid w:val="00EA2C64"/>
    <w:rsid w:val="00EA2E2D"/>
    <w:rsid w:val="00EA30FD"/>
    <w:rsid w:val="00EA329A"/>
    <w:rsid w:val="00EA330E"/>
    <w:rsid w:val="00EA352A"/>
    <w:rsid w:val="00EA358D"/>
    <w:rsid w:val="00EA3599"/>
    <w:rsid w:val="00EA35BD"/>
    <w:rsid w:val="00EA38FB"/>
    <w:rsid w:val="00EA39A7"/>
    <w:rsid w:val="00EA3B8E"/>
    <w:rsid w:val="00EA3BCE"/>
    <w:rsid w:val="00EA3BE0"/>
    <w:rsid w:val="00EA3CC5"/>
    <w:rsid w:val="00EA4142"/>
    <w:rsid w:val="00EA418E"/>
    <w:rsid w:val="00EA44C0"/>
    <w:rsid w:val="00EA459C"/>
    <w:rsid w:val="00EA492B"/>
    <w:rsid w:val="00EA4B99"/>
    <w:rsid w:val="00EA4BC0"/>
    <w:rsid w:val="00EA4E1A"/>
    <w:rsid w:val="00EA4E71"/>
    <w:rsid w:val="00EA4EA8"/>
    <w:rsid w:val="00EA4F09"/>
    <w:rsid w:val="00EA4F19"/>
    <w:rsid w:val="00EA5019"/>
    <w:rsid w:val="00EA5323"/>
    <w:rsid w:val="00EA53F1"/>
    <w:rsid w:val="00EA5469"/>
    <w:rsid w:val="00EA5A36"/>
    <w:rsid w:val="00EA5C8D"/>
    <w:rsid w:val="00EA5F97"/>
    <w:rsid w:val="00EA60AC"/>
    <w:rsid w:val="00EA629E"/>
    <w:rsid w:val="00EA62A1"/>
    <w:rsid w:val="00EA64C0"/>
    <w:rsid w:val="00EA66A3"/>
    <w:rsid w:val="00EA67CA"/>
    <w:rsid w:val="00EA688B"/>
    <w:rsid w:val="00EA68F0"/>
    <w:rsid w:val="00EA6929"/>
    <w:rsid w:val="00EA6A52"/>
    <w:rsid w:val="00EA6D35"/>
    <w:rsid w:val="00EA6D52"/>
    <w:rsid w:val="00EA6DBD"/>
    <w:rsid w:val="00EA7124"/>
    <w:rsid w:val="00EA7175"/>
    <w:rsid w:val="00EA7419"/>
    <w:rsid w:val="00EA7460"/>
    <w:rsid w:val="00EA7496"/>
    <w:rsid w:val="00EA7884"/>
    <w:rsid w:val="00EA7978"/>
    <w:rsid w:val="00EA79B1"/>
    <w:rsid w:val="00EA79C6"/>
    <w:rsid w:val="00EA7A3A"/>
    <w:rsid w:val="00EA7AB2"/>
    <w:rsid w:val="00EA7AFD"/>
    <w:rsid w:val="00EA7C4C"/>
    <w:rsid w:val="00EA7D3C"/>
    <w:rsid w:val="00EA7DFD"/>
    <w:rsid w:val="00EA7E5B"/>
    <w:rsid w:val="00EA7F8D"/>
    <w:rsid w:val="00EB0051"/>
    <w:rsid w:val="00EB0440"/>
    <w:rsid w:val="00EB05AF"/>
    <w:rsid w:val="00EB05DC"/>
    <w:rsid w:val="00EB073B"/>
    <w:rsid w:val="00EB07E7"/>
    <w:rsid w:val="00EB07EA"/>
    <w:rsid w:val="00EB0B2F"/>
    <w:rsid w:val="00EB0CE9"/>
    <w:rsid w:val="00EB0D8C"/>
    <w:rsid w:val="00EB0E2F"/>
    <w:rsid w:val="00EB130F"/>
    <w:rsid w:val="00EB1A2E"/>
    <w:rsid w:val="00EB1B1A"/>
    <w:rsid w:val="00EB1BFA"/>
    <w:rsid w:val="00EB1C02"/>
    <w:rsid w:val="00EB1C0F"/>
    <w:rsid w:val="00EB1F42"/>
    <w:rsid w:val="00EB2110"/>
    <w:rsid w:val="00EB26FF"/>
    <w:rsid w:val="00EB2839"/>
    <w:rsid w:val="00EB2894"/>
    <w:rsid w:val="00EB2B60"/>
    <w:rsid w:val="00EB2B84"/>
    <w:rsid w:val="00EB2F99"/>
    <w:rsid w:val="00EB30DE"/>
    <w:rsid w:val="00EB3506"/>
    <w:rsid w:val="00EB354F"/>
    <w:rsid w:val="00EB3728"/>
    <w:rsid w:val="00EB3847"/>
    <w:rsid w:val="00EB3869"/>
    <w:rsid w:val="00EB393C"/>
    <w:rsid w:val="00EB3981"/>
    <w:rsid w:val="00EB39E1"/>
    <w:rsid w:val="00EB3B5A"/>
    <w:rsid w:val="00EB3BC9"/>
    <w:rsid w:val="00EB3C47"/>
    <w:rsid w:val="00EB3C8F"/>
    <w:rsid w:val="00EB3FE7"/>
    <w:rsid w:val="00EB4062"/>
    <w:rsid w:val="00EB442A"/>
    <w:rsid w:val="00EB4840"/>
    <w:rsid w:val="00EB4855"/>
    <w:rsid w:val="00EB4866"/>
    <w:rsid w:val="00EB4B93"/>
    <w:rsid w:val="00EB4BCB"/>
    <w:rsid w:val="00EB4BD7"/>
    <w:rsid w:val="00EB4E92"/>
    <w:rsid w:val="00EB4F4E"/>
    <w:rsid w:val="00EB4FD5"/>
    <w:rsid w:val="00EB5048"/>
    <w:rsid w:val="00EB5115"/>
    <w:rsid w:val="00EB5271"/>
    <w:rsid w:val="00EB53A0"/>
    <w:rsid w:val="00EB5446"/>
    <w:rsid w:val="00EB54F0"/>
    <w:rsid w:val="00EB55A8"/>
    <w:rsid w:val="00EB5B88"/>
    <w:rsid w:val="00EB5C4C"/>
    <w:rsid w:val="00EB60BF"/>
    <w:rsid w:val="00EB62A5"/>
    <w:rsid w:val="00EB62AC"/>
    <w:rsid w:val="00EB6602"/>
    <w:rsid w:val="00EB670B"/>
    <w:rsid w:val="00EB67D2"/>
    <w:rsid w:val="00EB6835"/>
    <w:rsid w:val="00EB6877"/>
    <w:rsid w:val="00EB69A7"/>
    <w:rsid w:val="00EB69DB"/>
    <w:rsid w:val="00EB69E3"/>
    <w:rsid w:val="00EB6DC3"/>
    <w:rsid w:val="00EB6DCA"/>
    <w:rsid w:val="00EB70A5"/>
    <w:rsid w:val="00EB7209"/>
    <w:rsid w:val="00EB75B3"/>
    <w:rsid w:val="00EB7660"/>
    <w:rsid w:val="00EB78FD"/>
    <w:rsid w:val="00EB7CFE"/>
    <w:rsid w:val="00EB7DB0"/>
    <w:rsid w:val="00EB7E80"/>
    <w:rsid w:val="00EB7ECE"/>
    <w:rsid w:val="00EB7FC1"/>
    <w:rsid w:val="00EC0063"/>
    <w:rsid w:val="00EC0493"/>
    <w:rsid w:val="00EC0732"/>
    <w:rsid w:val="00EC098C"/>
    <w:rsid w:val="00EC0B6E"/>
    <w:rsid w:val="00EC0DA9"/>
    <w:rsid w:val="00EC0F7C"/>
    <w:rsid w:val="00EC1003"/>
    <w:rsid w:val="00EC1055"/>
    <w:rsid w:val="00EC11FD"/>
    <w:rsid w:val="00EC1233"/>
    <w:rsid w:val="00EC1713"/>
    <w:rsid w:val="00EC1734"/>
    <w:rsid w:val="00EC18FB"/>
    <w:rsid w:val="00EC19FD"/>
    <w:rsid w:val="00EC1E00"/>
    <w:rsid w:val="00EC1EE4"/>
    <w:rsid w:val="00EC204A"/>
    <w:rsid w:val="00EC23EB"/>
    <w:rsid w:val="00EC2569"/>
    <w:rsid w:val="00EC25AB"/>
    <w:rsid w:val="00EC266F"/>
    <w:rsid w:val="00EC26E7"/>
    <w:rsid w:val="00EC273C"/>
    <w:rsid w:val="00EC2776"/>
    <w:rsid w:val="00EC2798"/>
    <w:rsid w:val="00EC2874"/>
    <w:rsid w:val="00EC29D4"/>
    <w:rsid w:val="00EC31CE"/>
    <w:rsid w:val="00EC32A2"/>
    <w:rsid w:val="00EC332C"/>
    <w:rsid w:val="00EC367B"/>
    <w:rsid w:val="00EC3B77"/>
    <w:rsid w:val="00EC3DB1"/>
    <w:rsid w:val="00EC4013"/>
    <w:rsid w:val="00EC42AA"/>
    <w:rsid w:val="00EC4480"/>
    <w:rsid w:val="00EC44FF"/>
    <w:rsid w:val="00EC4559"/>
    <w:rsid w:val="00EC47FA"/>
    <w:rsid w:val="00EC4E2C"/>
    <w:rsid w:val="00EC4ED8"/>
    <w:rsid w:val="00EC4F47"/>
    <w:rsid w:val="00EC500F"/>
    <w:rsid w:val="00EC50B0"/>
    <w:rsid w:val="00EC53F7"/>
    <w:rsid w:val="00EC58EA"/>
    <w:rsid w:val="00EC5906"/>
    <w:rsid w:val="00EC59CF"/>
    <w:rsid w:val="00EC5BC1"/>
    <w:rsid w:val="00EC5D63"/>
    <w:rsid w:val="00EC6076"/>
    <w:rsid w:val="00EC6222"/>
    <w:rsid w:val="00EC6367"/>
    <w:rsid w:val="00EC63B7"/>
    <w:rsid w:val="00EC652F"/>
    <w:rsid w:val="00EC65D0"/>
    <w:rsid w:val="00EC6C22"/>
    <w:rsid w:val="00EC6CDE"/>
    <w:rsid w:val="00EC6D1B"/>
    <w:rsid w:val="00EC6E36"/>
    <w:rsid w:val="00EC6F33"/>
    <w:rsid w:val="00EC6F80"/>
    <w:rsid w:val="00EC73A4"/>
    <w:rsid w:val="00EC7448"/>
    <w:rsid w:val="00EC7637"/>
    <w:rsid w:val="00EC77D9"/>
    <w:rsid w:val="00EC78D6"/>
    <w:rsid w:val="00EC79EC"/>
    <w:rsid w:val="00EC7A0A"/>
    <w:rsid w:val="00EC7D6D"/>
    <w:rsid w:val="00ED019E"/>
    <w:rsid w:val="00ED01D7"/>
    <w:rsid w:val="00ED01E7"/>
    <w:rsid w:val="00ED0599"/>
    <w:rsid w:val="00ED09E6"/>
    <w:rsid w:val="00ED0A1B"/>
    <w:rsid w:val="00ED0C4F"/>
    <w:rsid w:val="00ED0CE6"/>
    <w:rsid w:val="00ED0D65"/>
    <w:rsid w:val="00ED0F31"/>
    <w:rsid w:val="00ED1388"/>
    <w:rsid w:val="00ED14F6"/>
    <w:rsid w:val="00ED1721"/>
    <w:rsid w:val="00ED1A5B"/>
    <w:rsid w:val="00ED1ACD"/>
    <w:rsid w:val="00ED1AF5"/>
    <w:rsid w:val="00ED1B6B"/>
    <w:rsid w:val="00ED1C30"/>
    <w:rsid w:val="00ED1E57"/>
    <w:rsid w:val="00ED1FAC"/>
    <w:rsid w:val="00ED24F2"/>
    <w:rsid w:val="00ED2793"/>
    <w:rsid w:val="00ED2B71"/>
    <w:rsid w:val="00ED2C89"/>
    <w:rsid w:val="00ED2E72"/>
    <w:rsid w:val="00ED2F6D"/>
    <w:rsid w:val="00ED30AE"/>
    <w:rsid w:val="00ED315E"/>
    <w:rsid w:val="00ED31DC"/>
    <w:rsid w:val="00ED321E"/>
    <w:rsid w:val="00ED356D"/>
    <w:rsid w:val="00ED3996"/>
    <w:rsid w:val="00ED3A22"/>
    <w:rsid w:val="00ED3B01"/>
    <w:rsid w:val="00ED3BA5"/>
    <w:rsid w:val="00ED3C06"/>
    <w:rsid w:val="00ED3C64"/>
    <w:rsid w:val="00ED3E62"/>
    <w:rsid w:val="00ED3F2F"/>
    <w:rsid w:val="00ED40DC"/>
    <w:rsid w:val="00ED4636"/>
    <w:rsid w:val="00ED48D5"/>
    <w:rsid w:val="00ED4A2E"/>
    <w:rsid w:val="00ED4A32"/>
    <w:rsid w:val="00ED4B59"/>
    <w:rsid w:val="00ED4B7E"/>
    <w:rsid w:val="00ED4D5C"/>
    <w:rsid w:val="00ED5316"/>
    <w:rsid w:val="00ED533D"/>
    <w:rsid w:val="00ED56B9"/>
    <w:rsid w:val="00ED576F"/>
    <w:rsid w:val="00ED5865"/>
    <w:rsid w:val="00ED5901"/>
    <w:rsid w:val="00ED5976"/>
    <w:rsid w:val="00ED59E9"/>
    <w:rsid w:val="00ED5CA6"/>
    <w:rsid w:val="00ED5DA6"/>
    <w:rsid w:val="00ED5FA2"/>
    <w:rsid w:val="00ED6067"/>
    <w:rsid w:val="00ED6182"/>
    <w:rsid w:val="00ED6AA1"/>
    <w:rsid w:val="00ED6D1A"/>
    <w:rsid w:val="00ED6D99"/>
    <w:rsid w:val="00ED706E"/>
    <w:rsid w:val="00ED727B"/>
    <w:rsid w:val="00ED762B"/>
    <w:rsid w:val="00ED76AB"/>
    <w:rsid w:val="00ED77BE"/>
    <w:rsid w:val="00ED77F6"/>
    <w:rsid w:val="00ED7890"/>
    <w:rsid w:val="00ED7AA9"/>
    <w:rsid w:val="00ED7CB5"/>
    <w:rsid w:val="00ED7D18"/>
    <w:rsid w:val="00ED7D5B"/>
    <w:rsid w:val="00ED7DAD"/>
    <w:rsid w:val="00ED7F0C"/>
    <w:rsid w:val="00EE011E"/>
    <w:rsid w:val="00EE0159"/>
    <w:rsid w:val="00EE018B"/>
    <w:rsid w:val="00EE028C"/>
    <w:rsid w:val="00EE05C9"/>
    <w:rsid w:val="00EE0A9B"/>
    <w:rsid w:val="00EE0C21"/>
    <w:rsid w:val="00EE124F"/>
    <w:rsid w:val="00EE12DE"/>
    <w:rsid w:val="00EE1342"/>
    <w:rsid w:val="00EE148E"/>
    <w:rsid w:val="00EE14D8"/>
    <w:rsid w:val="00EE14F7"/>
    <w:rsid w:val="00EE156E"/>
    <w:rsid w:val="00EE15CF"/>
    <w:rsid w:val="00EE15FB"/>
    <w:rsid w:val="00EE1740"/>
    <w:rsid w:val="00EE1877"/>
    <w:rsid w:val="00EE19B5"/>
    <w:rsid w:val="00EE1DDB"/>
    <w:rsid w:val="00EE1FF3"/>
    <w:rsid w:val="00EE214C"/>
    <w:rsid w:val="00EE215D"/>
    <w:rsid w:val="00EE218D"/>
    <w:rsid w:val="00EE229B"/>
    <w:rsid w:val="00EE22E1"/>
    <w:rsid w:val="00EE2AB7"/>
    <w:rsid w:val="00EE2DFE"/>
    <w:rsid w:val="00EE2E61"/>
    <w:rsid w:val="00EE2F2D"/>
    <w:rsid w:val="00EE31F2"/>
    <w:rsid w:val="00EE324C"/>
    <w:rsid w:val="00EE3290"/>
    <w:rsid w:val="00EE3940"/>
    <w:rsid w:val="00EE3B0E"/>
    <w:rsid w:val="00EE3CCE"/>
    <w:rsid w:val="00EE3DA7"/>
    <w:rsid w:val="00EE4278"/>
    <w:rsid w:val="00EE458C"/>
    <w:rsid w:val="00EE47CB"/>
    <w:rsid w:val="00EE481F"/>
    <w:rsid w:val="00EE489A"/>
    <w:rsid w:val="00EE4AC7"/>
    <w:rsid w:val="00EE4BBB"/>
    <w:rsid w:val="00EE4D66"/>
    <w:rsid w:val="00EE504B"/>
    <w:rsid w:val="00EE50A5"/>
    <w:rsid w:val="00EE50B9"/>
    <w:rsid w:val="00EE5416"/>
    <w:rsid w:val="00EE547A"/>
    <w:rsid w:val="00EE5482"/>
    <w:rsid w:val="00EE564D"/>
    <w:rsid w:val="00EE5E00"/>
    <w:rsid w:val="00EE61A0"/>
    <w:rsid w:val="00EE62B8"/>
    <w:rsid w:val="00EE682F"/>
    <w:rsid w:val="00EE6906"/>
    <w:rsid w:val="00EE6991"/>
    <w:rsid w:val="00EE6B04"/>
    <w:rsid w:val="00EE6B06"/>
    <w:rsid w:val="00EE6BF2"/>
    <w:rsid w:val="00EE71A1"/>
    <w:rsid w:val="00EE74FD"/>
    <w:rsid w:val="00EE7854"/>
    <w:rsid w:val="00EE78DB"/>
    <w:rsid w:val="00EE7AC4"/>
    <w:rsid w:val="00EE7DDB"/>
    <w:rsid w:val="00EE7E35"/>
    <w:rsid w:val="00EF0166"/>
    <w:rsid w:val="00EF02A4"/>
    <w:rsid w:val="00EF036D"/>
    <w:rsid w:val="00EF051A"/>
    <w:rsid w:val="00EF0562"/>
    <w:rsid w:val="00EF05A9"/>
    <w:rsid w:val="00EF0730"/>
    <w:rsid w:val="00EF0BD3"/>
    <w:rsid w:val="00EF0BEF"/>
    <w:rsid w:val="00EF0CBC"/>
    <w:rsid w:val="00EF0D18"/>
    <w:rsid w:val="00EF1353"/>
    <w:rsid w:val="00EF1379"/>
    <w:rsid w:val="00EF142C"/>
    <w:rsid w:val="00EF146D"/>
    <w:rsid w:val="00EF1591"/>
    <w:rsid w:val="00EF1595"/>
    <w:rsid w:val="00EF1661"/>
    <w:rsid w:val="00EF1666"/>
    <w:rsid w:val="00EF16A3"/>
    <w:rsid w:val="00EF182D"/>
    <w:rsid w:val="00EF19E0"/>
    <w:rsid w:val="00EF1B2E"/>
    <w:rsid w:val="00EF1F11"/>
    <w:rsid w:val="00EF2022"/>
    <w:rsid w:val="00EF21F8"/>
    <w:rsid w:val="00EF2324"/>
    <w:rsid w:val="00EF2399"/>
    <w:rsid w:val="00EF27C0"/>
    <w:rsid w:val="00EF27FD"/>
    <w:rsid w:val="00EF29A2"/>
    <w:rsid w:val="00EF2A3A"/>
    <w:rsid w:val="00EF322E"/>
    <w:rsid w:val="00EF334F"/>
    <w:rsid w:val="00EF3637"/>
    <w:rsid w:val="00EF39F4"/>
    <w:rsid w:val="00EF3BC2"/>
    <w:rsid w:val="00EF3C4C"/>
    <w:rsid w:val="00EF3E2C"/>
    <w:rsid w:val="00EF3F5F"/>
    <w:rsid w:val="00EF4342"/>
    <w:rsid w:val="00EF4363"/>
    <w:rsid w:val="00EF4469"/>
    <w:rsid w:val="00EF4561"/>
    <w:rsid w:val="00EF4767"/>
    <w:rsid w:val="00EF4DD3"/>
    <w:rsid w:val="00EF4EF7"/>
    <w:rsid w:val="00EF5008"/>
    <w:rsid w:val="00EF51A7"/>
    <w:rsid w:val="00EF52C1"/>
    <w:rsid w:val="00EF545A"/>
    <w:rsid w:val="00EF55E8"/>
    <w:rsid w:val="00EF56B7"/>
    <w:rsid w:val="00EF57F9"/>
    <w:rsid w:val="00EF5C03"/>
    <w:rsid w:val="00EF5EDE"/>
    <w:rsid w:val="00EF6332"/>
    <w:rsid w:val="00EF653F"/>
    <w:rsid w:val="00EF654E"/>
    <w:rsid w:val="00EF6705"/>
    <w:rsid w:val="00EF6952"/>
    <w:rsid w:val="00EF6B0F"/>
    <w:rsid w:val="00EF6C8D"/>
    <w:rsid w:val="00EF6FD7"/>
    <w:rsid w:val="00EF70A5"/>
    <w:rsid w:val="00EF728B"/>
    <w:rsid w:val="00EF73DA"/>
    <w:rsid w:val="00EF7573"/>
    <w:rsid w:val="00EF75B9"/>
    <w:rsid w:val="00EF77F9"/>
    <w:rsid w:val="00EF7A43"/>
    <w:rsid w:val="00EF7D8D"/>
    <w:rsid w:val="00EF7E94"/>
    <w:rsid w:val="00EF7FCB"/>
    <w:rsid w:val="00F000D4"/>
    <w:rsid w:val="00F000DA"/>
    <w:rsid w:val="00F0013F"/>
    <w:rsid w:val="00F001AD"/>
    <w:rsid w:val="00F0040F"/>
    <w:rsid w:val="00F0043A"/>
    <w:rsid w:val="00F006D5"/>
    <w:rsid w:val="00F008CE"/>
    <w:rsid w:val="00F009C5"/>
    <w:rsid w:val="00F00C54"/>
    <w:rsid w:val="00F00D85"/>
    <w:rsid w:val="00F0102B"/>
    <w:rsid w:val="00F0112F"/>
    <w:rsid w:val="00F0124C"/>
    <w:rsid w:val="00F01489"/>
    <w:rsid w:val="00F018F7"/>
    <w:rsid w:val="00F01A28"/>
    <w:rsid w:val="00F01B5B"/>
    <w:rsid w:val="00F01D09"/>
    <w:rsid w:val="00F02191"/>
    <w:rsid w:val="00F022B6"/>
    <w:rsid w:val="00F0235A"/>
    <w:rsid w:val="00F02433"/>
    <w:rsid w:val="00F0248D"/>
    <w:rsid w:val="00F0251A"/>
    <w:rsid w:val="00F025A7"/>
    <w:rsid w:val="00F0265D"/>
    <w:rsid w:val="00F02999"/>
    <w:rsid w:val="00F02AB8"/>
    <w:rsid w:val="00F02BDF"/>
    <w:rsid w:val="00F02E30"/>
    <w:rsid w:val="00F02EF9"/>
    <w:rsid w:val="00F02EFE"/>
    <w:rsid w:val="00F03029"/>
    <w:rsid w:val="00F03115"/>
    <w:rsid w:val="00F03442"/>
    <w:rsid w:val="00F034D3"/>
    <w:rsid w:val="00F034E6"/>
    <w:rsid w:val="00F036CD"/>
    <w:rsid w:val="00F03944"/>
    <w:rsid w:val="00F03BE0"/>
    <w:rsid w:val="00F03E67"/>
    <w:rsid w:val="00F040B6"/>
    <w:rsid w:val="00F041C4"/>
    <w:rsid w:val="00F04221"/>
    <w:rsid w:val="00F043C5"/>
    <w:rsid w:val="00F046B6"/>
    <w:rsid w:val="00F046F6"/>
    <w:rsid w:val="00F04725"/>
    <w:rsid w:val="00F049CD"/>
    <w:rsid w:val="00F049FD"/>
    <w:rsid w:val="00F04B3A"/>
    <w:rsid w:val="00F04C95"/>
    <w:rsid w:val="00F04FE3"/>
    <w:rsid w:val="00F0502B"/>
    <w:rsid w:val="00F050A0"/>
    <w:rsid w:val="00F051C4"/>
    <w:rsid w:val="00F0550E"/>
    <w:rsid w:val="00F055CC"/>
    <w:rsid w:val="00F058F7"/>
    <w:rsid w:val="00F05A04"/>
    <w:rsid w:val="00F05B36"/>
    <w:rsid w:val="00F05C8D"/>
    <w:rsid w:val="00F05D09"/>
    <w:rsid w:val="00F05DA9"/>
    <w:rsid w:val="00F05DCF"/>
    <w:rsid w:val="00F05F38"/>
    <w:rsid w:val="00F05FDE"/>
    <w:rsid w:val="00F06179"/>
    <w:rsid w:val="00F06232"/>
    <w:rsid w:val="00F06546"/>
    <w:rsid w:val="00F066B6"/>
    <w:rsid w:val="00F067D7"/>
    <w:rsid w:val="00F067ED"/>
    <w:rsid w:val="00F06E70"/>
    <w:rsid w:val="00F06E9C"/>
    <w:rsid w:val="00F06F49"/>
    <w:rsid w:val="00F07043"/>
    <w:rsid w:val="00F07361"/>
    <w:rsid w:val="00F073D8"/>
    <w:rsid w:val="00F07462"/>
    <w:rsid w:val="00F07599"/>
    <w:rsid w:val="00F078EF"/>
    <w:rsid w:val="00F079CC"/>
    <w:rsid w:val="00F07B91"/>
    <w:rsid w:val="00F07CFF"/>
    <w:rsid w:val="00F07E2F"/>
    <w:rsid w:val="00F1009D"/>
    <w:rsid w:val="00F10201"/>
    <w:rsid w:val="00F102A3"/>
    <w:rsid w:val="00F103B0"/>
    <w:rsid w:val="00F105B5"/>
    <w:rsid w:val="00F10886"/>
    <w:rsid w:val="00F10AC3"/>
    <w:rsid w:val="00F10C30"/>
    <w:rsid w:val="00F10CE9"/>
    <w:rsid w:val="00F10D00"/>
    <w:rsid w:val="00F10DAB"/>
    <w:rsid w:val="00F10E73"/>
    <w:rsid w:val="00F11026"/>
    <w:rsid w:val="00F11073"/>
    <w:rsid w:val="00F11144"/>
    <w:rsid w:val="00F114C9"/>
    <w:rsid w:val="00F116C7"/>
    <w:rsid w:val="00F116DA"/>
    <w:rsid w:val="00F11784"/>
    <w:rsid w:val="00F11CA3"/>
    <w:rsid w:val="00F121C9"/>
    <w:rsid w:val="00F123E5"/>
    <w:rsid w:val="00F128CE"/>
    <w:rsid w:val="00F129C2"/>
    <w:rsid w:val="00F12AD6"/>
    <w:rsid w:val="00F12B79"/>
    <w:rsid w:val="00F12CA1"/>
    <w:rsid w:val="00F12E7A"/>
    <w:rsid w:val="00F13025"/>
    <w:rsid w:val="00F13108"/>
    <w:rsid w:val="00F1372C"/>
    <w:rsid w:val="00F13798"/>
    <w:rsid w:val="00F137A1"/>
    <w:rsid w:val="00F138E6"/>
    <w:rsid w:val="00F1398D"/>
    <w:rsid w:val="00F13A20"/>
    <w:rsid w:val="00F13D6C"/>
    <w:rsid w:val="00F13E66"/>
    <w:rsid w:val="00F13F43"/>
    <w:rsid w:val="00F1408E"/>
    <w:rsid w:val="00F141F3"/>
    <w:rsid w:val="00F142E7"/>
    <w:rsid w:val="00F143EF"/>
    <w:rsid w:val="00F14509"/>
    <w:rsid w:val="00F145EF"/>
    <w:rsid w:val="00F148B7"/>
    <w:rsid w:val="00F1499E"/>
    <w:rsid w:val="00F14C20"/>
    <w:rsid w:val="00F150D9"/>
    <w:rsid w:val="00F150FC"/>
    <w:rsid w:val="00F151A8"/>
    <w:rsid w:val="00F151C5"/>
    <w:rsid w:val="00F152A3"/>
    <w:rsid w:val="00F1530A"/>
    <w:rsid w:val="00F156C3"/>
    <w:rsid w:val="00F158C9"/>
    <w:rsid w:val="00F15EF0"/>
    <w:rsid w:val="00F15FA1"/>
    <w:rsid w:val="00F1610F"/>
    <w:rsid w:val="00F16219"/>
    <w:rsid w:val="00F16334"/>
    <w:rsid w:val="00F16400"/>
    <w:rsid w:val="00F16854"/>
    <w:rsid w:val="00F16D02"/>
    <w:rsid w:val="00F170C2"/>
    <w:rsid w:val="00F17236"/>
    <w:rsid w:val="00F1724C"/>
    <w:rsid w:val="00F1727B"/>
    <w:rsid w:val="00F177B3"/>
    <w:rsid w:val="00F1786E"/>
    <w:rsid w:val="00F17992"/>
    <w:rsid w:val="00F17D3A"/>
    <w:rsid w:val="00F17DBE"/>
    <w:rsid w:val="00F17E5F"/>
    <w:rsid w:val="00F17E97"/>
    <w:rsid w:val="00F17F63"/>
    <w:rsid w:val="00F20299"/>
    <w:rsid w:val="00F20383"/>
    <w:rsid w:val="00F20385"/>
    <w:rsid w:val="00F20548"/>
    <w:rsid w:val="00F20C7B"/>
    <w:rsid w:val="00F20F23"/>
    <w:rsid w:val="00F20FE7"/>
    <w:rsid w:val="00F21043"/>
    <w:rsid w:val="00F213A1"/>
    <w:rsid w:val="00F2184F"/>
    <w:rsid w:val="00F21BF2"/>
    <w:rsid w:val="00F21EB1"/>
    <w:rsid w:val="00F21F81"/>
    <w:rsid w:val="00F2200A"/>
    <w:rsid w:val="00F22082"/>
    <w:rsid w:val="00F220A8"/>
    <w:rsid w:val="00F2244B"/>
    <w:rsid w:val="00F22454"/>
    <w:rsid w:val="00F22551"/>
    <w:rsid w:val="00F22570"/>
    <w:rsid w:val="00F225AE"/>
    <w:rsid w:val="00F22995"/>
    <w:rsid w:val="00F22A50"/>
    <w:rsid w:val="00F22B0F"/>
    <w:rsid w:val="00F22B9B"/>
    <w:rsid w:val="00F22C00"/>
    <w:rsid w:val="00F22F77"/>
    <w:rsid w:val="00F230FB"/>
    <w:rsid w:val="00F2324F"/>
    <w:rsid w:val="00F2339A"/>
    <w:rsid w:val="00F233B2"/>
    <w:rsid w:val="00F235FD"/>
    <w:rsid w:val="00F236BB"/>
    <w:rsid w:val="00F236F0"/>
    <w:rsid w:val="00F237F8"/>
    <w:rsid w:val="00F239BD"/>
    <w:rsid w:val="00F239C2"/>
    <w:rsid w:val="00F24088"/>
    <w:rsid w:val="00F2409B"/>
    <w:rsid w:val="00F24338"/>
    <w:rsid w:val="00F243B2"/>
    <w:rsid w:val="00F247B7"/>
    <w:rsid w:val="00F2487D"/>
    <w:rsid w:val="00F248E2"/>
    <w:rsid w:val="00F24972"/>
    <w:rsid w:val="00F24AFB"/>
    <w:rsid w:val="00F24CBF"/>
    <w:rsid w:val="00F24D80"/>
    <w:rsid w:val="00F24E64"/>
    <w:rsid w:val="00F252AD"/>
    <w:rsid w:val="00F25549"/>
    <w:rsid w:val="00F255BF"/>
    <w:rsid w:val="00F25B56"/>
    <w:rsid w:val="00F25C5B"/>
    <w:rsid w:val="00F25C8E"/>
    <w:rsid w:val="00F25E8D"/>
    <w:rsid w:val="00F25E95"/>
    <w:rsid w:val="00F25EA9"/>
    <w:rsid w:val="00F25EEC"/>
    <w:rsid w:val="00F25FA9"/>
    <w:rsid w:val="00F25FB5"/>
    <w:rsid w:val="00F26057"/>
    <w:rsid w:val="00F26237"/>
    <w:rsid w:val="00F264FE"/>
    <w:rsid w:val="00F266AE"/>
    <w:rsid w:val="00F269ED"/>
    <w:rsid w:val="00F26CBE"/>
    <w:rsid w:val="00F26DB9"/>
    <w:rsid w:val="00F27033"/>
    <w:rsid w:val="00F27068"/>
    <w:rsid w:val="00F273A4"/>
    <w:rsid w:val="00F27512"/>
    <w:rsid w:val="00F277D9"/>
    <w:rsid w:val="00F27800"/>
    <w:rsid w:val="00F27A12"/>
    <w:rsid w:val="00F27AD2"/>
    <w:rsid w:val="00F27AD3"/>
    <w:rsid w:val="00F27B7E"/>
    <w:rsid w:val="00F27CFB"/>
    <w:rsid w:val="00F27D0D"/>
    <w:rsid w:val="00F27F50"/>
    <w:rsid w:val="00F27F6B"/>
    <w:rsid w:val="00F305A2"/>
    <w:rsid w:val="00F306F1"/>
    <w:rsid w:val="00F3087B"/>
    <w:rsid w:val="00F3091F"/>
    <w:rsid w:val="00F30926"/>
    <w:rsid w:val="00F30A24"/>
    <w:rsid w:val="00F30AA6"/>
    <w:rsid w:val="00F30C4A"/>
    <w:rsid w:val="00F30C86"/>
    <w:rsid w:val="00F310F3"/>
    <w:rsid w:val="00F311F9"/>
    <w:rsid w:val="00F3133E"/>
    <w:rsid w:val="00F31485"/>
    <w:rsid w:val="00F31511"/>
    <w:rsid w:val="00F315C4"/>
    <w:rsid w:val="00F317B9"/>
    <w:rsid w:val="00F317FF"/>
    <w:rsid w:val="00F31958"/>
    <w:rsid w:val="00F31BDF"/>
    <w:rsid w:val="00F31BE2"/>
    <w:rsid w:val="00F32058"/>
    <w:rsid w:val="00F320FF"/>
    <w:rsid w:val="00F32170"/>
    <w:rsid w:val="00F321BE"/>
    <w:rsid w:val="00F32245"/>
    <w:rsid w:val="00F32308"/>
    <w:rsid w:val="00F3236D"/>
    <w:rsid w:val="00F325B0"/>
    <w:rsid w:val="00F32635"/>
    <w:rsid w:val="00F329C1"/>
    <w:rsid w:val="00F32A4E"/>
    <w:rsid w:val="00F32F8F"/>
    <w:rsid w:val="00F3308E"/>
    <w:rsid w:val="00F3316A"/>
    <w:rsid w:val="00F331F5"/>
    <w:rsid w:val="00F33239"/>
    <w:rsid w:val="00F332C1"/>
    <w:rsid w:val="00F3365F"/>
    <w:rsid w:val="00F3374E"/>
    <w:rsid w:val="00F338DF"/>
    <w:rsid w:val="00F33AB1"/>
    <w:rsid w:val="00F33BEA"/>
    <w:rsid w:val="00F33E83"/>
    <w:rsid w:val="00F34067"/>
    <w:rsid w:val="00F34278"/>
    <w:rsid w:val="00F34391"/>
    <w:rsid w:val="00F34436"/>
    <w:rsid w:val="00F345C8"/>
    <w:rsid w:val="00F3468B"/>
    <w:rsid w:val="00F346CC"/>
    <w:rsid w:val="00F34707"/>
    <w:rsid w:val="00F3470F"/>
    <w:rsid w:val="00F34829"/>
    <w:rsid w:val="00F34848"/>
    <w:rsid w:val="00F34982"/>
    <w:rsid w:val="00F3498B"/>
    <w:rsid w:val="00F349E8"/>
    <w:rsid w:val="00F34A1C"/>
    <w:rsid w:val="00F34C32"/>
    <w:rsid w:val="00F34EAA"/>
    <w:rsid w:val="00F34FB8"/>
    <w:rsid w:val="00F350D0"/>
    <w:rsid w:val="00F352EF"/>
    <w:rsid w:val="00F3530B"/>
    <w:rsid w:val="00F354EA"/>
    <w:rsid w:val="00F35738"/>
    <w:rsid w:val="00F35772"/>
    <w:rsid w:val="00F358F3"/>
    <w:rsid w:val="00F359F9"/>
    <w:rsid w:val="00F35A31"/>
    <w:rsid w:val="00F35A82"/>
    <w:rsid w:val="00F35AE2"/>
    <w:rsid w:val="00F35B08"/>
    <w:rsid w:val="00F35B3B"/>
    <w:rsid w:val="00F35F56"/>
    <w:rsid w:val="00F36439"/>
    <w:rsid w:val="00F367B7"/>
    <w:rsid w:val="00F3683F"/>
    <w:rsid w:val="00F36874"/>
    <w:rsid w:val="00F369D7"/>
    <w:rsid w:val="00F36A65"/>
    <w:rsid w:val="00F36A6A"/>
    <w:rsid w:val="00F36A79"/>
    <w:rsid w:val="00F36AFC"/>
    <w:rsid w:val="00F36D30"/>
    <w:rsid w:val="00F36E44"/>
    <w:rsid w:val="00F37006"/>
    <w:rsid w:val="00F3702F"/>
    <w:rsid w:val="00F370A8"/>
    <w:rsid w:val="00F370E5"/>
    <w:rsid w:val="00F370F4"/>
    <w:rsid w:val="00F3721D"/>
    <w:rsid w:val="00F372CF"/>
    <w:rsid w:val="00F3734E"/>
    <w:rsid w:val="00F37449"/>
    <w:rsid w:val="00F374DA"/>
    <w:rsid w:val="00F3765D"/>
    <w:rsid w:val="00F37738"/>
    <w:rsid w:val="00F37837"/>
    <w:rsid w:val="00F37952"/>
    <w:rsid w:val="00F37A13"/>
    <w:rsid w:val="00F37CEC"/>
    <w:rsid w:val="00F37E4F"/>
    <w:rsid w:val="00F37E9A"/>
    <w:rsid w:val="00F400D7"/>
    <w:rsid w:val="00F400F4"/>
    <w:rsid w:val="00F4021B"/>
    <w:rsid w:val="00F40495"/>
    <w:rsid w:val="00F404BE"/>
    <w:rsid w:val="00F40E3A"/>
    <w:rsid w:val="00F40FE5"/>
    <w:rsid w:val="00F41044"/>
    <w:rsid w:val="00F41211"/>
    <w:rsid w:val="00F41348"/>
    <w:rsid w:val="00F4163C"/>
    <w:rsid w:val="00F418B6"/>
    <w:rsid w:val="00F418CD"/>
    <w:rsid w:val="00F420D3"/>
    <w:rsid w:val="00F4226B"/>
    <w:rsid w:val="00F4292D"/>
    <w:rsid w:val="00F42A07"/>
    <w:rsid w:val="00F42BD4"/>
    <w:rsid w:val="00F42CBB"/>
    <w:rsid w:val="00F42F6B"/>
    <w:rsid w:val="00F4302D"/>
    <w:rsid w:val="00F430A0"/>
    <w:rsid w:val="00F43155"/>
    <w:rsid w:val="00F43207"/>
    <w:rsid w:val="00F43219"/>
    <w:rsid w:val="00F435C9"/>
    <w:rsid w:val="00F435F1"/>
    <w:rsid w:val="00F4363B"/>
    <w:rsid w:val="00F43803"/>
    <w:rsid w:val="00F438A4"/>
    <w:rsid w:val="00F439B5"/>
    <w:rsid w:val="00F439F6"/>
    <w:rsid w:val="00F43A51"/>
    <w:rsid w:val="00F43C03"/>
    <w:rsid w:val="00F43D29"/>
    <w:rsid w:val="00F43E36"/>
    <w:rsid w:val="00F4416A"/>
    <w:rsid w:val="00F443D5"/>
    <w:rsid w:val="00F443EE"/>
    <w:rsid w:val="00F4457C"/>
    <w:rsid w:val="00F44778"/>
    <w:rsid w:val="00F449D7"/>
    <w:rsid w:val="00F44BBD"/>
    <w:rsid w:val="00F44D7E"/>
    <w:rsid w:val="00F44DF9"/>
    <w:rsid w:val="00F44E92"/>
    <w:rsid w:val="00F44FBA"/>
    <w:rsid w:val="00F44FD5"/>
    <w:rsid w:val="00F4537A"/>
    <w:rsid w:val="00F45518"/>
    <w:rsid w:val="00F4570F"/>
    <w:rsid w:val="00F45EF3"/>
    <w:rsid w:val="00F46230"/>
    <w:rsid w:val="00F467C1"/>
    <w:rsid w:val="00F468FE"/>
    <w:rsid w:val="00F46BC4"/>
    <w:rsid w:val="00F46C1F"/>
    <w:rsid w:val="00F46C8A"/>
    <w:rsid w:val="00F46E0F"/>
    <w:rsid w:val="00F472AC"/>
    <w:rsid w:val="00F474A0"/>
    <w:rsid w:val="00F4759F"/>
    <w:rsid w:val="00F477D7"/>
    <w:rsid w:val="00F47A3B"/>
    <w:rsid w:val="00F47A42"/>
    <w:rsid w:val="00F47D06"/>
    <w:rsid w:val="00F47EF1"/>
    <w:rsid w:val="00F50276"/>
    <w:rsid w:val="00F5032F"/>
    <w:rsid w:val="00F503C0"/>
    <w:rsid w:val="00F505C1"/>
    <w:rsid w:val="00F505E8"/>
    <w:rsid w:val="00F50674"/>
    <w:rsid w:val="00F50813"/>
    <w:rsid w:val="00F50828"/>
    <w:rsid w:val="00F50BA0"/>
    <w:rsid w:val="00F50D06"/>
    <w:rsid w:val="00F50D2E"/>
    <w:rsid w:val="00F50DB5"/>
    <w:rsid w:val="00F50EE2"/>
    <w:rsid w:val="00F511B4"/>
    <w:rsid w:val="00F51762"/>
    <w:rsid w:val="00F517D5"/>
    <w:rsid w:val="00F5188D"/>
    <w:rsid w:val="00F51CB6"/>
    <w:rsid w:val="00F51F21"/>
    <w:rsid w:val="00F51FBF"/>
    <w:rsid w:val="00F52161"/>
    <w:rsid w:val="00F522B2"/>
    <w:rsid w:val="00F522EB"/>
    <w:rsid w:val="00F5233C"/>
    <w:rsid w:val="00F52414"/>
    <w:rsid w:val="00F5248F"/>
    <w:rsid w:val="00F52600"/>
    <w:rsid w:val="00F526B3"/>
    <w:rsid w:val="00F528FA"/>
    <w:rsid w:val="00F52BCB"/>
    <w:rsid w:val="00F52EE7"/>
    <w:rsid w:val="00F53288"/>
    <w:rsid w:val="00F533CB"/>
    <w:rsid w:val="00F5342F"/>
    <w:rsid w:val="00F534B2"/>
    <w:rsid w:val="00F535E1"/>
    <w:rsid w:val="00F537FB"/>
    <w:rsid w:val="00F5386E"/>
    <w:rsid w:val="00F5394C"/>
    <w:rsid w:val="00F53AAE"/>
    <w:rsid w:val="00F53C37"/>
    <w:rsid w:val="00F53C88"/>
    <w:rsid w:val="00F53D0A"/>
    <w:rsid w:val="00F53E71"/>
    <w:rsid w:val="00F53FEE"/>
    <w:rsid w:val="00F5420F"/>
    <w:rsid w:val="00F54336"/>
    <w:rsid w:val="00F544D5"/>
    <w:rsid w:val="00F546AB"/>
    <w:rsid w:val="00F546D6"/>
    <w:rsid w:val="00F5477D"/>
    <w:rsid w:val="00F547F2"/>
    <w:rsid w:val="00F5483E"/>
    <w:rsid w:val="00F54A5A"/>
    <w:rsid w:val="00F54B54"/>
    <w:rsid w:val="00F54BBF"/>
    <w:rsid w:val="00F5519E"/>
    <w:rsid w:val="00F5554B"/>
    <w:rsid w:val="00F556C3"/>
    <w:rsid w:val="00F556ED"/>
    <w:rsid w:val="00F557B3"/>
    <w:rsid w:val="00F55861"/>
    <w:rsid w:val="00F55BB5"/>
    <w:rsid w:val="00F55C8E"/>
    <w:rsid w:val="00F55E5D"/>
    <w:rsid w:val="00F55F42"/>
    <w:rsid w:val="00F55FF7"/>
    <w:rsid w:val="00F564C3"/>
    <w:rsid w:val="00F564F8"/>
    <w:rsid w:val="00F568EF"/>
    <w:rsid w:val="00F56B81"/>
    <w:rsid w:val="00F56DDA"/>
    <w:rsid w:val="00F57047"/>
    <w:rsid w:val="00F57150"/>
    <w:rsid w:val="00F5728B"/>
    <w:rsid w:val="00F5731E"/>
    <w:rsid w:val="00F57526"/>
    <w:rsid w:val="00F577AE"/>
    <w:rsid w:val="00F577C9"/>
    <w:rsid w:val="00F57841"/>
    <w:rsid w:val="00F57AD0"/>
    <w:rsid w:val="00F57B6A"/>
    <w:rsid w:val="00F57C8C"/>
    <w:rsid w:val="00F57E89"/>
    <w:rsid w:val="00F57EBF"/>
    <w:rsid w:val="00F57FE9"/>
    <w:rsid w:val="00F60275"/>
    <w:rsid w:val="00F602B5"/>
    <w:rsid w:val="00F60526"/>
    <w:rsid w:val="00F60579"/>
    <w:rsid w:val="00F60708"/>
    <w:rsid w:val="00F60934"/>
    <w:rsid w:val="00F60AAE"/>
    <w:rsid w:val="00F60BD0"/>
    <w:rsid w:val="00F60C26"/>
    <w:rsid w:val="00F60D09"/>
    <w:rsid w:val="00F60DA4"/>
    <w:rsid w:val="00F60E40"/>
    <w:rsid w:val="00F61026"/>
    <w:rsid w:val="00F61052"/>
    <w:rsid w:val="00F61089"/>
    <w:rsid w:val="00F6127B"/>
    <w:rsid w:val="00F612CD"/>
    <w:rsid w:val="00F612EE"/>
    <w:rsid w:val="00F613AB"/>
    <w:rsid w:val="00F616A7"/>
    <w:rsid w:val="00F61717"/>
    <w:rsid w:val="00F617EF"/>
    <w:rsid w:val="00F61A00"/>
    <w:rsid w:val="00F61A99"/>
    <w:rsid w:val="00F61CBC"/>
    <w:rsid w:val="00F61DAC"/>
    <w:rsid w:val="00F61E49"/>
    <w:rsid w:val="00F620E1"/>
    <w:rsid w:val="00F621BF"/>
    <w:rsid w:val="00F625FF"/>
    <w:rsid w:val="00F6267B"/>
    <w:rsid w:val="00F62A05"/>
    <w:rsid w:val="00F62DAE"/>
    <w:rsid w:val="00F62DCB"/>
    <w:rsid w:val="00F63126"/>
    <w:rsid w:val="00F633DE"/>
    <w:rsid w:val="00F634CF"/>
    <w:rsid w:val="00F634FB"/>
    <w:rsid w:val="00F63832"/>
    <w:rsid w:val="00F638A8"/>
    <w:rsid w:val="00F63979"/>
    <w:rsid w:val="00F63BD0"/>
    <w:rsid w:val="00F63C53"/>
    <w:rsid w:val="00F63D75"/>
    <w:rsid w:val="00F63EE9"/>
    <w:rsid w:val="00F6445F"/>
    <w:rsid w:val="00F64605"/>
    <w:rsid w:val="00F64800"/>
    <w:rsid w:val="00F64875"/>
    <w:rsid w:val="00F6489B"/>
    <w:rsid w:val="00F649B1"/>
    <w:rsid w:val="00F64A41"/>
    <w:rsid w:val="00F64B34"/>
    <w:rsid w:val="00F64D54"/>
    <w:rsid w:val="00F64DCA"/>
    <w:rsid w:val="00F65245"/>
    <w:rsid w:val="00F653C1"/>
    <w:rsid w:val="00F6543E"/>
    <w:rsid w:val="00F65952"/>
    <w:rsid w:val="00F6598F"/>
    <w:rsid w:val="00F65BBC"/>
    <w:rsid w:val="00F65C53"/>
    <w:rsid w:val="00F65DF3"/>
    <w:rsid w:val="00F65EC3"/>
    <w:rsid w:val="00F663F3"/>
    <w:rsid w:val="00F66556"/>
    <w:rsid w:val="00F665D8"/>
    <w:rsid w:val="00F66B7E"/>
    <w:rsid w:val="00F66BBF"/>
    <w:rsid w:val="00F66E06"/>
    <w:rsid w:val="00F6720A"/>
    <w:rsid w:val="00F6780A"/>
    <w:rsid w:val="00F67832"/>
    <w:rsid w:val="00F67A57"/>
    <w:rsid w:val="00F67B6E"/>
    <w:rsid w:val="00F67BFD"/>
    <w:rsid w:val="00F67CA3"/>
    <w:rsid w:val="00F67CDB"/>
    <w:rsid w:val="00F67F62"/>
    <w:rsid w:val="00F7014A"/>
    <w:rsid w:val="00F7029C"/>
    <w:rsid w:val="00F704B2"/>
    <w:rsid w:val="00F70766"/>
    <w:rsid w:val="00F7094E"/>
    <w:rsid w:val="00F709BE"/>
    <w:rsid w:val="00F709FB"/>
    <w:rsid w:val="00F70BD5"/>
    <w:rsid w:val="00F70DC5"/>
    <w:rsid w:val="00F70F67"/>
    <w:rsid w:val="00F70FCA"/>
    <w:rsid w:val="00F70FDF"/>
    <w:rsid w:val="00F7117E"/>
    <w:rsid w:val="00F71273"/>
    <w:rsid w:val="00F715C2"/>
    <w:rsid w:val="00F71F16"/>
    <w:rsid w:val="00F71FA9"/>
    <w:rsid w:val="00F721F4"/>
    <w:rsid w:val="00F7220F"/>
    <w:rsid w:val="00F72262"/>
    <w:rsid w:val="00F72299"/>
    <w:rsid w:val="00F72762"/>
    <w:rsid w:val="00F72908"/>
    <w:rsid w:val="00F72AD6"/>
    <w:rsid w:val="00F72C32"/>
    <w:rsid w:val="00F72C91"/>
    <w:rsid w:val="00F72D4C"/>
    <w:rsid w:val="00F72E63"/>
    <w:rsid w:val="00F735C7"/>
    <w:rsid w:val="00F736E0"/>
    <w:rsid w:val="00F738BA"/>
    <w:rsid w:val="00F73D00"/>
    <w:rsid w:val="00F73E1F"/>
    <w:rsid w:val="00F73EFE"/>
    <w:rsid w:val="00F74467"/>
    <w:rsid w:val="00F744D3"/>
    <w:rsid w:val="00F74625"/>
    <w:rsid w:val="00F7470F"/>
    <w:rsid w:val="00F7483D"/>
    <w:rsid w:val="00F74CF7"/>
    <w:rsid w:val="00F74EE2"/>
    <w:rsid w:val="00F74EEA"/>
    <w:rsid w:val="00F753C8"/>
    <w:rsid w:val="00F75411"/>
    <w:rsid w:val="00F755A8"/>
    <w:rsid w:val="00F757CD"/>
    <w:rsid w:val="00F75803"/>
    <w:rsid w:val="00F75A2E"/>
    <w:rsid w:val="00F75B4F"/>
    <w:rsid w:val="00F75C60"/>
    <w:rsid w:val="00F75D73"/>
    <w:rsid w:val="00F75F65"/>
    <w:rsid w:val="00F762B4"/>
    <w:rsid w:val="00F7637E"/>
    <w:rsid w:val="00F76A48"/>
    <w:rsid w:val="00F76A9E"/>
    <w:rsid w:val="00F7705B"/>
    <w:rsid w:val="00F7705D"/>
    <w:rsid w:val="00F77097"/>
    <w:rsid w:val="00F770F2"/>
    <w:rsid w:val="00F77196"/>
    <w:rsid w:val="00F771E4"/>
    <w:rsid w:val="00F77231"/>
    <w:rsid w:val="00F7734C"/>
    <w:rsid w:val="00F77724"/>
    <w:rsid w:val="00F77757"/>
    <w:rsid w:val="00F77868"/>
    <w:rsid w:val="00F7791E"/>
    <w:rsid w:val="00F77981"/>
    <w:rsid w:val="00F77E7F"/>
    <w:rsid w:val="00F77FBE"/>
    <w:rsid w:val="00F809FC"/>
    <w:rsid w:val="00F80B40"/>
    <w:rsid w:val="00F80DD3"/>
    <w:rsid w:val="00F80DEC"/>
    <w:rsid w:val="00F80F79"/>
    <w:rsid w:val="00F80F9E"/>
    <w:rsid w:val="00F810DB"/>
    <w:rsid w:val="00F810E4"/>
    <w:rsid w:val="00F81218"/>
    <w:rsid w:val="00F8121E"/>
    <w:rsid w:val="00F81248"/>
    <w:rsid w:val="00F81799"/>
    <w:rsid w:val="00F81AE0"/>
    <w:rsid w:val="00F81D49"/>
    <w:rsid w:val="00F81E75"/>
    <w:rsid w:val="00F8206A"/>
    <w:rsid w:val="00F82191"/>
    <w:rsid w:val="00F821FF"/>
    <w:rsid w:val="00F82203"/>
    <w:rsid w:val="00F82384"/>
    <w:rsid w:val="00F82460"/>
    <w:rsid w:val="00F824D8"/>
    <w:rsid w:val="00F827A8"/>
    <w:rsid w:val="00F8299D"/>
    <w:rsid w:val="00F82D05"/>
    <w:rsid w:val="00F82D1E"/>
    <w:rsid w:val="00F82D84"/>
    <w:rsid w:val="00F82FD0"/>
    <w:rsid w:val="00F82FDF"/>
    <w:rsid w:val="00F83077"/>
    <w:rsid w:val="00F8353B"/>
    <w:rsid w:val="00F837F3"/>
    <w:rsid w:val="00F8380D"/>
    <w:rsid w:val="00F8384A"/>
    <w:rsid w:val="00F83A6C"/>
    <w:rsid w:val="00F83BB5"/>
    <w:rsid w:val="00F83C44"/>
    <w:rsid w:val="00F83D26"/>
    <w:rsid w:val="00F83EBE"/>
    <w:rsid w:val="00F840F7"/>
    <w:rsid w:val="00F8412D"/>
    <w:rsid w:val="00F84322"/>
    <w:rsid w:val="00F84475"/>
    <w:rsid w:val="00F84775"/>
    <w:rsid w:val="00F84823"/>
    <w:rsid w:val="00F8488A"/>
    <w:rsid w:val="00F848BE"/>
    <w:rsid w:val="00F848E7"/>
    <w:rsid w:val="00F84A90"/>
    <w:rsid w:val="00F84CD5"/>
    <w:rsid w:val="00F84CE1"/>
    <w:rsid w:val="00F84E51"/>
    <w:rsid w:val="00F84F30"/>
    <w:rsid w:val="00F852B2"/>
    <w:rsid w:val="00F85371"/>
    <w:rsid w:val="00F853AD"/>
    <w:rsid w:val="00F85596"/>
    <w:rsid w:val="00F85667"/>
    <w:rsid w:val="00F85AF3"/>
    <w:rsid w:val="00F85C0C"/>
    <w:rsid w:val="00F85F19"/>
    <w:rsid w:val="00F860D9"/>
    <w:rsid w:val="00F862ED"/>
    <w:rsid w:val="00F86342"/>
    <w:rsid w:val="00F863B3"/>
    <w:rsid w:val="00F86420"/>
    <w:rsid w:val="00F865C4"/>
    <w:rsid w:val="00F86736"/>
    <w:rsid w:val="00F86894"/>
    <w:rsid w:val="00F86B92"/>
    <w:rsid w:val="00F86D36"/>
    <w:rsid w:val="00F87108"/>
    <w:rsid w:val="00F871E2"/>
    <w:rsid w:val="00F87302"/>
    <w:rsid w:val="00F8741A"/>
    <w:rsid w:val="00F87711"/>
    <w:rsid w:val="00F87785"/>
    <w:rsid w:val="00F8779A"/>
    <w:rsid w:val="00F878A7"/>
    <w:rsid w:val="00F87905"/>
    <w:rsid w:val="00F87934"/>
    <w:rsid w:val="00F879A6"/>
    <w:rsid w:val="00F87C02"/>
    <w:rsid w:val="00F87D1C"/>
    <w:rsid w:val="00F87DE5"/>
    <w:rsid w:val="00F87FBF"/>
    <w:rsid w:val="00F87FF7"/>
    <w:rsid w:val="00F9011C"/>
    <w:rsid w:val="00F90254"/>
    <w:rsid w:val="00F90518"/>
    <w:rsid w:val="00F90604"/>
    <w:rsid w:val="00F90964"/>
    <w:rsid w:val="00F909C0"/>
    <w:rsid w:val="00F90CD4"/>
    <w:rsid w:val="00F90F27"/>
    <w:rsid w:val="00F90FF3"/>
    <w:rsid w:val="00F9132C"/>
    <w:rsid w:val="00F91B2F"/>
    <w:rsid w:val="00F91CEC"/>
    <w:rsid w:val="00F91DDE"/>
    <w:rsid w:val="00F92083"/>
    <w:rsid w:val="00F92127"/>
    <w:rsid w:val="00F92151"/>
    <w:rsid w:val="00F922BD"/>
    <w:rsid w:val="00F92328"/>
    <w:rsid w:val="00F926DF"/>
    <w:rsid w:val="00F92865"/>
    <w:rsid w:val="00F92BD2"/>
    <w:rsid w:val="00F92C70"/>
    <w:rsid w:val="00F92D29"/>
    <w:rsid w:val="00F92D2D"/>
    <w:rsid w:val="00F92D3A"/>
    <w:rsid w:val="00F92DDA"/>
    <w:rsid w:val="00F92EEE"/>
    <w:rsid w:val="00F9375C"/>
    <w:rsid w:val="00F9406D"/>
    <w:rsid w:val="00F94218"/>
    <w:rsid w:val="00F945D8"/>
    <w:rsid w:val="00F94775"/>
    <w:rsid w:val="00F948E3"/>
    <w:rsid w:val="00F94B48"/>
    <w:rsid w:val="00F94B77"/>
    <w:rsid w:val="00F94B9D"/>
    <w:rsid w:val="00F94E0C"/>
    <w:rsid w:val="00F9520D"/>
    <w:rsid w:val="00F9587A"/>
    <w:rsid w:val="00F958EC"/>
    <w:rsid w:val="00F95A7A"/>
    <w:rsid w:val="00F95A98"/>
    <w:rsid w:val="00F95ABE"/>
    <w:rsid w:val="00F95C9D"/>
    <w:rsid w:val="00F95CCC"/>
    <w:rsid w:val="00F95D02"/>
    <w:rsid w:val="00F95D41"/>
    <w:rsid w:val="00F95F88"/>
    <w:rsid w:val="00F9608A"/>
    <w:rsid w:val="00F960D7"/>
    <w:rsid w:val="00F96311"/>
    <w:rsid w:val="00F963B1"/>
    <w:rsid w:val="00F96478"/>
    <w:rsid w:val="00F96508"/>
    <w:rsid w:val="00F965BC"/>
    <w:rsid w:val="00F96B14"/>
    <w:rsid w:val="00F96F29"/>
    <w:rsid w:val="00F96FCF"/>
    <w:rsid w:val="00F97096"/>
    <w:rsid w:val="00F970F4"/>
    <w:rsid w:val="00F97180"/>
    <w:rsid w:val="00F97347"/>
    <w:rsid w:val="00F9740E"/>
    <w:rsid w:val="00F9769C"/>
    <w:rsid w:val="00F979CF"/>
    <w:rsid w:val="00F979E8"/>
    <w:rsid w:val="00F97A27"/>
    <w:rsid w:val="00F97B9C"/>
    <w:rsid w:val="00F97C9C"/>
    <w:rsid w:val="00FA0295"/>
    <w:rsid w:val="00FA0305"/>
    <w:rsid w:val="00FA04AE"/>
    <w:rsid w:val="00FA05CF"/>
    <w:rsid w:val="00FA061F"/>
    <w:rsid w:val="00FA065E"/>
    <w:rsid w:val="00FA0A0C"/>
    <w:rsid w:val="00FA0AF9"/>
    <w:rsid w:val="00FA0B45"/>
    <w:rsid w:val="00FA0BCE"/>
    <w:rsid w:val="00FA0C2A"/>
    <w:rsid w:val="00FA0E12"/>
    <w:rsid w:val="00FA0EA8"/>
    <w:rsid w:val="00FA112E"/>
    <w:rsid w:val="00FA134C"/>
    <w:rsid w:val="00FA1533"/>
    <w:rsid w:val="00FA1798"/>
    <w:rsid w:val="00FA1B72"/>
    <w:rsid w:val="00FA1C4D"/>
    <w:rsid w:val="00FA1D0D"/>
    <w:rsid w:val="00FA1E22"/>
    <w:rsid w:val="00FA1EE5"/>
    <w:rsid w:val="00FA1F63"/>
    <w:rsid w:val="00FA1FAB"/>
    <w:rsid w:val="00FA1FFE"/>
    <w:rsid w:val="00FA2176"/>
    <w:rsid w:val="00FA2508"/>
    <w:rsid w:val="00FA2525"/>
    <w:rsid w:val="00FA2615"/>
    <w:rsid w:val="00FA2652"/>
    <w:rsid w:val="00FA2900"/>
    <w:rsid w:val="00FA29A9"/>
    <w:rsid w:val="00FA29C4"/>
    <w:rsid w:val="00FA2BB3"/>
    <w:rsid w:val="00FA2D7D"/>
    <w:rsid w:val="00FA2F1A"/>
    <w:rsid w:val="00FA3180"/>
    <w:rsid w:val="00FA378E"/>
    <w:rsid w:val="00FA37C4"/>
    <w:rsid w:val="00FA3803"/>
    <w:rsid w:val="00FA38D1"/>
    <w:rsid w:val="00FA3F36"/>
    <w:rsid w:val="00FA403D"/>
    <w:rsid w:val="00FA41D4"/>
    <w:rsid w:val="00FA43A2"/>
    <w:rsid w:val="00FA4565"/>
    <w:rsid w:val="00FA46F3"/>
    <w:rsid w:val="00FA47A8"/>
    <w:rsid w:val="00FA4875"/>
    <w:rsid w:val="00FA4A11"/>
    <w:rsid w:val="00FA4B56"/>
    <w:rsid w:val="00FA4B79"/>
    <w:rsid w:val="00FA4D6E"/>
    <w:rsid w:val="00FA5049"/>
    <w:rsid w:val="00FA50A3"/>
    <w:rsid w:val="00FA5139"/>
    <w:rsid w:val="00FA5331"/>
    <w:rsid w:val="00FA5376"/>
    <w:rsid w:val="00FA55C1"/>
    <w:rsid w:val="00FA5B67"/>
    <w:rsid w:val="00FA5D5A"/>
    <w:rsid w:val="00FA5D77"/>
    <w:rsid w:val="00FA5FEF"/>
    <w:rsid w:val="00FA628B"/>
    <w:rsid w:val="00FA6793"/>
    <w:rsid w:val="00FA68A3"/>
    <w:rsid w:val="00FA6989"/>
    <w:rsid w:val="00FA69AD"/>
    <w:rsid w:val="00FA6D10"/>
    <w:rsid w:val="00FA7088"/>
    <w:rsid w:val="00FA723D"/>
    <w:rsid w:val="00FA72B7"/>
    <w:rsid w:val="00FA73D7"/>
    <w:rsid w:val="00FA765D"/>
    <w:rsid w:val="00FA772B"/>
    <w:rsid w:val="00FA7983"/>
    <w:rsid w:val="00FA7A87"/>
    <w:rsid w:val="00FA7B72"/>
    <w:rsid w:val="00FA7BB7"/>
    <w:rsid w:val="00FA7CB4"/>
    <w:rsid w:val="00FA7D29"/>
    <w:rsid w:val="00FA7D68"/>
    <w:rsid w:val="00FA7DB7"/>
    <w:rsid w:val="00FA7EC6"/>
    <w:rsid w:val="00FA7EE7"/>
    <w:rsid w:val="00FB0321"/>
    <w:rsid w:val="00FB0A2B"/>
    <w:rsid w:val="00FB0E03"/>
    <w:rsid w:val="00FB1237"/>
    <w:rsid w:val="00FB12A4"/>
    <w:rsid w:val="00FB12A8"/>
    <w:rsid w:val="00FB16D4"/>
    <w:rsid w:val="00FB1823"/>
    <w:rsid w:val="00FB1870"/>
    <w:rsid w:val="00FB1A1D"/>
    <w:rsid w:val="00FB1CF6"/>
    <w:rsid w:val="00FB1E4C"/>
    <w:rsid w:val="00FB1F91"/>
    <w:rsid w:val="00FB201E"/>
    <w:rsid w:val="00FB2116"/>
    <w:rsid w:val="00FB23DF"/>
    <w:rsid w:val="00FB24E7"/>
    <w:rsid w:val="00FB26CB"/>
    <w:rsid w:val="00FB2970"/>
    <w:rsid w:val="00FB2A82"/>
    <w:rsid w:val="00FB379C"/>
    <w:rsid w:val="00FB3C30"/>
    <w:rsid w:val="00FB3CAD"/>
    <w:rsid w:val="00FB3D74"/>
    <w:rsid w:val="00FB3E07"/>
    <w:rsid w:val="00FB3ECE"/>
    <w:rsid w:val="00FB407B"/>
    <w:rsid w:val="00FB40CD"/>
    <w:rsid w:val="00FB417B"/>
    <w:rsid w:val="00FB41E2"/>
    <w:rsid w:val="00FB44EE"/>
    <w:rsid w:val="00FB4537"/>
    <w:rsid w:val="00FB4567"/>
    <w:rsid w:val="00FB4594"/>
    <w:rsid w:val="00FB45A9"/>
    <w:rsid w:val="00FB46AE"/>
    <w:rsid w:val="00FB46C3"/>
    <w:rsid w:val="00FB47A0"/>
    <w:rsid w:val="00FB4847"/>
    <w:rsid w:val="00FB49F9"/>
    <w:rsid w:val="00FB4CBA"/>
    <w:rsid w:val="00FB4EC0"/>
    <w:rsid w:val="00FB4F73"/>
    <w:rsid w:val="00FB527A"/>
    <w:rsid w:val="00FB52BC"/>
    <w:rsid w:val="00FB562F"/>
    <w:rsid w:val="00FB564A"/>
    <w:rsid w:val="00FB57C3"/>
    <w:rsid w:val="00FB6394"/>
    <w:rsid w:val="00FB63CC"/>
    <w:rsid w:val="00FB6408"/>
    <w:rsid w:val="00FB67D1"/>
    <w:rsid w:val="00FB68A8"/>
    <w:rsid w:val="00FB694D"/>
    <w:rsid w:val="00FB6B8B"/>
    <w:rsid w:val="00FB6BFB"/>
    <w:rsid w:val="00FB6C1F"/>
    <w:rsid w:val="00FB6CD5"/>
    <w:rsid w:val="00FB6D12"/>
    <w:rsid w:val="00FB6F11"/>
    <w:rsid w:val="00FB6F69"/>
    <w:rsid w:val="00FB701E"/>
    <w:rsid w:val="00FB70C0"/>
    <w:rsid w:val="00FB7137"/>
    <w:rsid w:val="00FB71A8"/>
    <w:rsid w:val="00FB71C0"/>
    <w:rsid w:val="00FB7200"/>
    <w:rsid w:val="00FB72B5"/>
    <w:rsid w:val="00FB73C5"/>
    <w:rsid w:val="00FB73F9"/>
    <w:rsid w:val="00FB7681"/>
    <w:rsid w:val="00FB7786"/>
    <w:rsid w:val="00FB789C"/>
    <w:rsid w:val="00FB7909"/>
    <w:rsid w:val="00FB7BE1"/>
    <w:rsid w:val="00FB7F54"/>
    <w:rsid w:val="00FC028B"/>
    <w:rsid w:val="00FC02F6"/>
    <w:rsid w:val="00FC0831"/>
    <w:rsid w:val="00FC0946"/>
    <w:rsid w:val="00FC099A"/>
    <w:rsid w:val="00FC0CB1"/>
    <w:rsid w:val="00FC0DC1"/>
    <w:rsid w:val="00FC0FC8"/>
    <w:rsid w:val="00FC112A"/>
    <w:rsid w:val="00FC12E0"/>
    <w:rsid w:val="00FC14CC"/>
    <w:rsid w:val="00FC1503"/>
    <w:rsid w:val="00FC1972"/>
    <w:rsid w:val="00FC1993"/>
    <w:rsid w:val="00FC1D96"/>
    <w:rsid w:val="00FC1DE9"/>
    <w:rsid w:val="00FC1F46"/>
    <w:rsid w:val="00FC1FAE"/>
    <w:rsid w:val="00FC208B"/>
    <w:rsid w:val="00FC2290"/>
    <w:rsid w:val="00FC234B"/>
    <w:rsid w:val="00FC241F"/>
    <w:rsid w:val="00FC2469"/>
    <w:rsid w:val="00FC2646"/>
    <w:rsid w:val="00FC2741"/>
    <w:rsid w:val="00FC27C9"/>
    <w:rsid w:val="00FC2B7E"/>
    <w:rsid w:val="00FC2C12"/>
    <w:rsid w:val="00FC2FFF"/>
    <w:rsid w:val="00FC31F2"/>
    <w:rsid w:val="00FC3208"/>
    <w:rsid w:val="00FC3241"/>
    <w:rsid w:val="00FC32C2"/>
    <w:rsid w:val="00FC3409"/>
    <w:rsid w:val="00FC354F"/>
    <w:rsid w:val="00FC376F"/>
    <w:rsid w:val="00FC3943"/>
    <w:rsid w:val="00FC3ADE"/>
    <w:rsid w:val="00FC3CC7"/>
    <w:rsid w:val="00FC3F54"/>
    <w:rsid w:val="00FC4165"/>
    <w:rsid w:val="00FC43C4"/>
    <w:rsid w:val="00FC43D1"/>
    <w:rsid w:val="00FC4752"/>
    <w:rsid w:val="00FC4A2E"/>
    <w:rsid w:val="00FC4A5B"/>
    <w:rsid w:val="00FC4ACF"/>
    <w:rsid w:val="00FC4C82"/>
    <w:rsid w:val="00FC4E9D"/>
    <w:rsid w:val="00FC4EBB"/>
    <w:rsid w:val="00FC4F19"/>
    <w:rsid w:val="00FC4F28"/>
    <w:rsid w:val="00FC4F7B"/>
    <w:rsid w:val="00FC5112"/>
    <w:rsid w:val="00FC5193"/>
    <w:rsid w:val="00FC553B"/>
    <w:rsid w:val="00FC572B"/>
    <w:rsid w:val="00FC5796"/>
    <w:rsid w:val="00FC57B9"/>
    <w:rsid w:val="00FC57DD"/>
    <w:rsid w:val="00FC5895"/>
    <w:rsid w:val="00FC597E"/>
    <w:rsid w:val="00FC59CE"/>
    <w:rsid w:val="00FC5CCA"/>
    <w:rsid w:val="00FC5D4F"/>
    <w:rsid w:val="00FC5DCE"/>
    <w:rsid w:val="00FC5DDB"/>
    <w:rsid w:val="00FC5E57"/>
    <w:rsid w:val="00FC65F9"/>
    <w:rsid w:val="00FC6873"/>
    <w:rsid w:val="00FC68DF"/>
    <w:rsid w:val="00FC6994"/>
    <w:rsid w:val="00FC6A46"/>
    <w:rsid w:val="00FC6C82"/>
    <w:rsid w:val="00FC6F18"/>
    <w:rsid w:val="00FC72A9"/>
    <w:rsid w:val="00FC740A"/>
    <w:rsid w:val="00FC74A7"/>
    <w:rsid w:val="00FC75BD"/>
    <w:rsid w:val="00FC77BA"/>
    <w:rsid w:val="00FC7ACA"/>
    <w:rsid w:val="00FC7CFE"/>
    <w:rsid w:val="00FC7DC2"/>
    <w:rsid w:val="00FC7E09"/>
    <w:rsid w:val="00FC7F29"/>
    <w:rsid w:val="00FD00E5"/>
    <w:rsid w:val="00FD0332"/>
    <w:rsid w:val="00FD0616"/>
    <w:rsid w:val="00FD0669"/>
    <w:rsid w:val="00FD06E5"/>
    <w:rsid w:val="00FD0927"/>
    <w:rsid w:val="00FD0962"/>
    <w:rsid w:val="00FD0A8E"/>
    <w:rsid w:val="00FD0BBC"/>
    <w:rsid w:val="00FD0C94"/>
    <w:rsid w:val="00FD0DF4"/>
    <w:rsid w:val="00FD0EBD"/>
    <w:rsid w:val="00FD0F54"/>
    <w:rsid w:val="00FD0F8B"/>
    <w:rsid w:val="00FD1059"/>
    <w:rsid w:val="00FD186D"/>
    <w:rsid w:val="00FD1B7E"/>
    <w:rsid w:val="00FD1B9A"/>
    <w:rsid w:val="00FD1C02"/>
    <w:rsid w:val="00FD1CA6"/>
    <w:rsid w:val="00FD1EDE"/>
    <w:rsid w:val="00FD1F64"/>
    <w:rsid w:val="00FD25D4"/>
    <w:rsid w:val="00FD26BA"/>
    <w:rsid w:val="00FD291E"/>
    <w:rsid w:val="00FD2964"/>
    <w:rsid w:val="00FD2B87"/>
    <w:rsid w:val="00FD2B93"/>
    <w:rsid w:val="00FD2BF7"/>
    <w:rsid w:val="00FD2CD2"/>
    <w:rsid w:val="00FD2DCF"/>
    <w:rsid w:val="00FD2E15"/>
    <w:rsid w:val="00FD3308"/>
    <w:rsid w:val="00FD33DA"/>
    <w:rsid w:val="00FD3820"/>
    <w:rsid w:val="00FD3844"/>
    <w:rsid w:val="00FD393A"/>
    <w:rsid w:val="00FD39DF"/>
    <w:rsid w:val="00FD3A86"/>
    <w:rsid w:val="00FD3E6B"/>
    <w:rsid w:val="00FD3E94"/>
    <w:rsid w:val="00FD3EDA"/>
    <w:rsid w:val="00FD40A0"/>
    <w:rsid w:val="00FD43A6"/>
    <w:rsid w:val="00FD43E0"/>
    <w:rsid w:val="00FD449D"/>
    <w:rsid w:val="00FD44C7"/>
    <w:rsid w:val="00FD4515"/>
    <w:rsid w:val="00FD4844"/>
    <w:rsid w:val="00FD4A23"/>
    <w:rsid w:val="00FD4BA1"/>
    <w:rsid w:val="00FD4CC7"/>
    <w:rsid w:val="00FD5046"/>
    <w:rsid w:val="00FD50E0"/>
    <w:rsid w:val="00FD5292"/>
    <w:rsid w:val="00FD5624"/>
    <w:rsid w:val="00FD5646"/>
    <w:rsid w:val="00FD5884"/>
    <w:rsid w:val="00FD5988"/>
    <w:rsid w:val="00FD5B87"/>
    <w:rsid w:val="00FD5DA4"/>
    <w:rsid w:val="00FD5F86"/>
    <w:rsid w:val="00FD6004"/>
    <w:rsid w:val="00FD6020"/>
    <w:rsid w:val="00FD62CF"/>
    <w:rsid w:val="00FD62E3"/>
    <w:rsid w:val="00FD63C2"/>
    <w:rsid w:val="00FD64E6"/>
    <w:rsid w:val="00FD6579"/>
    <w:rsid w:val="00FD6844"/>
    <w:rsid w:val="00FD6A92"/>
    <w:rsid w:val="00FD709F"/>
    <w:rsid w:val="00FD72C0"/>
    <w:rsid w:val="00FD7404"/>
    <w:rsid w:val="00FD78C2"/>
    <w:rsid w:val="00FD7955"/>
    <w:rsid w:val="00FD7AD1"/>
    <w:rsid w:val="00FD7BEF"/>
    <w:rsid w:val="00FD7D98"/>
    <w:rsid w:val="00FD7FBA"/>
    <w:rsid w:val="00FE0092"/>
    <w:rsid w:val="00FE02C0"/>
    <w:rsid w:val="00FE02FC"/>
    <w:rsid w:val="00FE0408"/>
    <w:rsid w:val="00FE04B5"/>
    <w:rsid w:val="00FE0756"/>
    <w:rsid w:val="00FE0A01"/>
    <w:rsid w:val="00FE0A70"/>
    <w:rsid w:val="00FE0CB8"/>
    <w:rsid w:val="00FE0D7C"/>
    <w:rsid w:val="00FE11E9"/>
    <w:rsid w:val="00FE1220"/>
    <w:rsid w:val="00FE12E7"/>
    <w:rsid w:val="00FE130E"/>
    <w:rsid w:val="00FE1364"/>
    <w:rsid w:val="00FE1570"/>
    <w:rsid w:val="00FE1A0D"/>
    <w:rsid w:val="00FE1B3C"/>
    <w:rsid w:val="00FE1EA3"/>
    <w:rsid w:val="00FE1FF9"/>
    <w:rsid w:val="00FE2053"/>
    <w:rsid w:val="00FE22E4"/>
    <w:rsid w:val="00FE2312"/>
    <w:rsid w:val="00FE23A1"/>
    <w:rsid w:val="00FE267E"/>
    <w:rsid w:val="00FE27F1"/>
    <w:rsid w:val="00FE2858"/>
    <w:rsid w:val="00FE2869"/>
    <w:rsid w:val="00FE2A21"/>
    <w:rsid w:val="00FE303C"/>
    <w:rsid w:val="00FE3063"/>
    <w:rsid w:val="00FE318F"/>
    <w:rsid w:val="00FE33BF"/>
    <w:rsid w:val="00FE348B"/>
    <w:rsid w:val="00FE3799"/>
    <w:rsid w:val="00FE3944"/>
    <w:rsid w:val="00FE3980"/>
    <w:rsid w:val="00FE39A8"/>
    <w:rsid w:val="00FE435C"/>
    <w:rsid w:val="00FE4395"/>
    <w:rsid w:val="00FE4684"/>
    <w:rsid w:val="00FE4740"/>
    <w:rsid w:val="00FE478F"/>
    <w:rsid w:val="00FE4870"/>
    <w:rsid w:val="00FE4B9D"/>
    <w:rsid w:val="00FE4C67"/>
    <w:rsid w:val="00FE4DF2"/>
    <w:rsid w:val="00FE4EE5"/>
    <w:rsid w:val="00FE5187"/>
    <w:rsid w:val="00FE544C"/>
    <w:rsid w:val="00FE569F"/>
    <w:rsid w:val="00FE56AA"/>
    <w:rsid w:val="00FE59FC"/>
    <w:rsid w:val="00FE5D44"/>
    <w:rsid w:val="00FE5F3D"/>
    <w:rsid w:val="00FE6331"/>
    <w:rsid w:val="00FE6379"/>
    <w:rsid w:val="00FE63DA"/>
    <w:rsid w:val="00FE6411"/>
    <w:rsid w:val="00FE6531"/>
    <w:rsid w:val="00FE675A"/>
    <w:rsid w:val="00FE679F"/>
    <w:rsid w:val="00FE68D9"/>
    <w:rsid w:val="00FE6B1A"/>
    <w:rsid w:val="00FE6B33"/>
    <w:rsid w:val="00FE6DAB"/>
    <w:rsid w:val="00FE7060"/>
    <w:rsid w:val="00FE731C"/>
    <w:rsid w:val="00FE755D"/>
    <w:rsid w:val="00FE76D2"/>
    <w:rsid w:val="00FE796B"/>
    <w:rsid w:val="00FE7B1B"/>
    <w:rsid w:val="00FE7BA1"/>
    <w:rsid w:val="00FE7DA6"/>
    <w:rsid w:val="00FF0348"/>
    <w:rsid w:val="00FF051D"/>
    <w:rsid w:val="00FF05DB"/>
    <w:rsid w:val="00FF0729"/>
    <w:rsid w:val="00FF0A3B"/>
    <w:rsid w:val="00FF0B10"/>
    <w:rsid w:val="00FF0B86"/>
    <w:rsid w:val="00FF0C49"/>
    <w:rsid w:val="00FF0C7A"/>
    <w:rsid w:val="00FF0DF2"/>
    <w:rsid w:val="00FF0EB7"/>
    <w:rsid w:val="00FF0F30"/>
    <w:rsid w:val="00FF118F"/>
    <w:rsid w:val="00FF135C"/>
    <w:rsid w:val="00FF1410"/>
    <w:rsid w:val="00FF1647"/>
    <w:rsid w:val="00FF1652"/>
    <w:rsid w:val="00FF18EB"/>
    <w:rsid w:val="00FF193C"/>
    <w:rsid w:val="00FF1AC8"/>
    <w:rsid w:val="00FF1B44"/>
    <w:rsid w:val="00FF1C6C"/>
    <w:rsid w:val="00FF1F3D"/>
    <w:rsid w:val="00FF1F40"/>
    <w:rsid w:val="00FF21AB"/>
    <w:rsid w:val="00FF2230"/>
    <w:rsid w:val="00FF2254"/>
    <w:rsid w:val="00FF234C"/>
    <w:rsid w:val="00FF24DA"/>
    <w:rsid w:val="00FF24F5"/>
    <w:rsid w:val="00FF271A"/>
    <w:rsid w:val="00FF27F3"/>
    <w:rsid w:val="00FF283D"/>
    <w:rsid w:val="00FF288E"/>
    <w:rsid w:val="00FF2932"/>
    <w:rsid w:val="00FF2BBA"/>
    <w:rsid w:val="00FF2C45"/>
    <w:rsid w:val="00FF2EFF"/>
    <w:rsid w:val="00FF2FEF"/>
    <w:rsid w:val="00FF3116"/>
    <w:rsid w:val="00FF3190"/>
    <w:rsid w:val="00FF31D6"/>
    <w:rsid w:val="00FF31FE"/>
    <w:rsid w:val="00FF341B"/>
    <w:rsid w:val="00FF36C1"/>
    <w:rsid w:val="00FF37BA"/>
    <w:rsid w:val="00FF3D53"/>
    <w:rsid w:val="00FF3E24"/>
    <w:rsid w:val="00FF4004"/>
    <w:rsid w:val="00FF4072"/>
    <w:rsid w:val="00FF40D2"/>
    <w:rsid w:val="00FF4243"/>
    <w:rsid w:val="00FF4380"/>
    <w:rsid w:val="00FF49BE"/>
    <w:rsid w:val="00FF49C8"/>
    <w:rsid w:val="00FF4EBD"/>
    <w:rsid w:val="00FF507A"/>
    <w:rsid w:val="00FF5089"/>
    <w:rsid w:val="00FF5142"/>
    <w:rsid w:val="00FF518B"/>
    <w:rsid w:val="00FF51EA"/>
    <w:rsid w:val="00FF5B7C"/>
    <w:rsid w:val="00FF5C15"/>
    <w:rsid w:val="00FF5C41"/>
    <w:rsid w:val="00FF5DEC"/>
    <w:rsid w:val="00FF5E4D"/>
    <w:rsid w:val="00FF627B"/>
    <w:rsid w:val="00FF62B0"/>
    <w:rsid w:val="00FF6374"/>
    <w:rsid w:val="00FF642A"/>
    <w:rsid w:val="00FF69C0"/>
    <w:rsid w:val="00FF6BCA"/>
    <w:rsid w:val="00FF6C98"/>
    <w:rsid w:val="00FF6E19"/>
    <w:rsid w:val="00FF72B8"/>
    <w:rsid w:val="00FF73BE"/>
    <w:rsid w:val="00FF7609"/>
    <w:rsid w:val="00FF76D0"/>
    <w:rsid w:val="00FF7961"/>
    <w:rsid w:val="00FF796E"/>
    <w:rsid w:val="00FF7B36"/>
    <w:rsid w:val="00FF7BA8"/>
    <w:rsid w:val="00FF7CD1"/>
    <w:rsid w:val="00FF7CFD"/>
    <w:rsid w:val="00FF7D67"/>
    <w:rsid w:val="00FF7DBE"/>
    <w:rsid w:val="76904F2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center;mso-position-horizontal-relative:margin;mso-position-vertical:center;mso-position-vertical-relative:margin" fill="f" fillcolor="#a6a6a6" stroke="f">
      <v:fill color="#a6a6a6" on="f"/>
      <v:stroke on="f"/>
      <v:shadow color="#868686"/>
    </o:shapedefaults>
    <o:shapelayout v:ext="edit">
      <o:idmap v:ext="edit" data="2"/>
    </o:shapelayout>
  </w:shapeDefaults>
  <w:decimalSymbol w:val="."/>
  <w:listSeparator w:val=","/>
  <w14:docId w14:val="3054AF69"/>
  <w15:docId w15:val="{55B1E857-B294-4D8F-A284-85F660E3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112F"/>
    <w:pPr>
      <w:jc w:val="both"/>
    </w:pPr>
    <w:rPr>
      <w:rFonts w:ascii="Arial" w:eastAsia="Times New Roman" w:hAnsi="Arial"/>
      <w:sz w:val="22"/>
      <w:lang w:eastAsia="de-DE"/>
    </w:rPr>
  </w:style>
  <w:style w:type="paragraph" w:styleId="Heading1">
    <w:name w:val="heading 1"/>
    <w:basedOn w:val="Normal"/>
    <w:next w:val="Normal"/>
    <w:link w:val="Heading1Char"/>
    <w:qFormat/>
    <w:rsid w:val="00CF112F"/>
    <w:pPr>
      <w:keepNext/>
      <w:keepLines/>
      <w:numPr>
        <w:numId w:val="41"/>
      </w:numPr>
      <w:spacing w:before="480"/>
      <w:outlineLvl w:val="0"/>
    </w:pPr>
    <w:rPr>
      <w:rFonts w:asciiTheme="majorHAnsi" w:eastAsiaTheme="majorEastAsia" w:hAnsiTheme="majorHAnsi" w:cstheme="majorBidi"/>
      <w:b/>
      <w:bCs/>
      <w:color w:val="365F91" w:themeColor="accent1" w:themeShade="BF"/>
      <w:sz w:val="28"/>
      <w:szCs w:val="28"/>
      <w:lang w:val="en-US" w:eastAsia="en-US"/>
    </w:rPr>
  </w:style>
  <w:style w:type="paragraph" w:styleId="Heading2">
    <w:name w:val="heading 2"/>
    <w:basedOn w:val="Normal"/>
    <w:next w:val="Normal"/>
    <w:link w:val="Heading2Char"/>
    <w:unhideWhenUsed/>
    <w:qFormat/>
    <w:rsid w:val="00CF112F"/>
    <w:pPr>
      <w:keepNext/>
      <w:keepLines/>
      <w:numPr>
        <w:ilvl w:val="1"/>
        <w:numId w:val="41"/>
      </w:numPr>
      <w:spacing w:before="200"/>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next w:val="Normal"/>
    <w:link w:val="Heading3Char"/>
    <w:unhideWhenUsed/>
    <w:qFormat/>
    <w:rsid w:val="00CF112F"/>
    <w:pPr>
      <w:keepNext/>
      <w:keepLines/>
      <w:numPr>
        <w:ilvl w:val="2"/>
        <w:numId w:val="41"/>
      </w:numPr>
      <w:spacing w:before="200"/>
      <w:outlineLvl w:val="2"/>
    </w:pPr>
    <w:rPr>
      <w:rFonts w:asciiTheme="majorHAnsi" w:eastAsiaTheme="majorEastAsia" w:hAnsiTheme="majorHAnsi" w:cstheme="majorBidi"/>
      <w:b/>
      <w:bCs/>
      <w:color w:val="4F81BD" w:themeColor="accent1"/>
      <w:sz w:val="24"/>
      <w:szCs w:val="24"/>
      <w:lang w:val="en-US" w:eastAsia="en-US"/>
    </w:rPr>
  </w:style>
  <w:style w:type="paragraph" w:styleId="Heading4">
    <w:name w:val="heading 4"/>
    <w:basedOn w:val="Normal"/>
    <w:next w:val="Normal"/>
    <w:link w:val="Heading4Char"/>
    <w:unhideWhenUsed/>
    <w:qFormat/>
    <w:rsid w:val="00CF112F"/>
    <w:pPr>
      <w:keepNext/>
      <w:keepLines/>
      <w:numPr>
        <w:ilvl w:val="3"/>
        <w:numId w:val="41"/>
      </w:numPr>
      <w:spacing w:before="200"/>
      <w:outlineLvl w:val="3"/>
    </w:pPr>
    <w:rPr>
      <w:rFonts w:asciiTheme="majorHAnsi" w:eastAsiaTheme="majorEastAsia" w:hAnsiTheme="majorHAnsi" w:cstheme="majorBidi"/>
      <w:b/>
      <w:bCs/>
      <w:i/>
      <w:iCs/>
      <w:color w:val="4F81BD" w:themeColor="accent1"/>
      <w:sz w:val="24"/>
      <w:szCs w:val="24"/>
      <w:lang w:val="en-US" w:eastAsia="en-US"/>
    </w:rPr>
  </w:style>
  <w:style w:type="paragraph" w:styleId="Heading5">
    <w:name w:val="heading 5"/>
    <w:basedOn w:val="Normal"/>
    <w:next w:val="Normal"/>
    <w:link w:val="Heading5Char"/>
    <w:unhideWhenUsed/>
    <w:qFormat/>
    <w:rsid w:val="00CF112F"/>
    <w:pPr>
      <w:keepNext/>
      <w:keepLines/>
      <w:numPr>
        <w:ilvl w:val="4"/>
        <w:numId w:val="41"/>
      </w:numPr>
      <w:spacing w:before="200"/>
      <w:outlineLvl w:val="4"/>
    </w:pPr>
    <w:rPr>
      <w:rFonts w:asciiTheme="majorHAnsi" w:eastAsiaTheme="majorEastAsia" w:hAnsiTheme="majorHAnsi" w:cstheme="majorBidi"/>
      <w:color w:val="243F60" w:themeColor="accent1" w:themeShade="7F"/>
      <w:sz w:val="24"/>
      <w:szCs w:val="24"/>
      <w:lang w:val="en-US" w:eastAsia="en-US"/>
    </w:rPr>
  </w:style>
  <w:style w:type="paragraph" w:styleId="Heading6">
    <w:name w:val="heading 6"/>
    <w:basedOn w:val="Normal"/>
    <w:next w:val="Normal"/>
    <w:link w:val="Heading6Char"/>
    <w:unhideWhenUsed/>
    <w:qFormat/>
    <w:rsid w:val="00CF112F"/>
    <w:pPr>
      <w:keepNext/>
      <w:keepLines/>
      <w:numPr>
        <w:ilvl w:val="5"/>
        <w:numId w:val="41"/>
      </w:numPr>
      <w:spacing w:before="200"/>
      <w:outlineLvl w:val="5"/>
    </w:pPr>
    <w:rPr>
      <w:rFonts w:asciiTheme="majorHAnsi" w:eastAsiaTheme="majorEastAsia" w:hAnsiTheme="majorHAnsi" w:cstheme="majorBidi"/>
      <w:i/>
      <w:iCs/>
      <w:color w:val="243F60" w:themeColor="accent1" w:themeShade="7F"/>
      <w:sz w:val="24"/>
      <w:szCs w:val="24"/>
      <w:lang w:val="en-US" w:eastAsia="en-US"/>
    </w:rPr>
  </w:style>
  <w:style w:type="paragraph" w:styleId="Heading7">
    <w:name w:val="heading 7"/>
    <w:basedOn w:val="Normal"/>
    <w:next w:val="Normal"/>
    <w:link w:val="Heading7Char"/>
    <w:unhideWhenUsed/>
    <w:qFormat/>
    <w:rsid w:val="00CF112F"/>
    <w:pPr>
      <w:keepNext/>
      <w:keepLines/>
      <w:numPr>
        <w:ilvl w:val="6"/>
        <w:numId w:val="41"/>
      </w:numPr>
      <w:spacing w:before="200"/>
      <w:outlineLvl w:val="6"/>
    </w:pPr>
    <w:rPr>
      <w:rFonts w:asciiTheme="majorHAnsi" w:eastAsiaTheme="majorEastAsia" w:hAnsiTheme="majorHAnsi" w:cstheme="majorBidi"/>
      <w:i/>
      <w:iCs/>
      <w:color w:val="404040" w:themeColor="text1" w:themeTint="BF"/>
      <w:sz w:val="24"/>
      <w:szCs w:val="24"/>
      <w:lang w:val="en-US" w:eastAsia="en-US"/>
    </w:rPr>
  </w:style>
  <w:style w:type="paragraph" w:styleId="Heading8">
    <w:name w:val="heading 8"/>
    <w:basedOn w:val="Normal"/>
    <w:next w:val="Normal"/>
    <w:link w:val="Heading8Char"/>
    <w:unhideWhenUsed/>
    <w:qFormat/>
    <w:rsid w:val="00CF112F"/>
    <w:pPr>
      <w:keepNext/>
      <w:keepLines/>
      <w:numPr>
        <w:ilvl w:val="7"/>
        <w:numId w:val="41"/>
      </w:numPr>
      <w:spacing w:before="200"/>
      <w:outlineLvl w:val="7"/>
    </w:pPr>
    <w:rPr>
      <w:rFonts w:asciiTheme="majorHAnsi" w:eastAsiaTheme="majorEastAsia" w:hAnsiTheme="majorHAnsi" w:cstheme="majorBidi"/>
      <w:color w:val="404040" w:themeColor="text1" w:themeTint="BF"/>
      <w:sz w:val="20"/>
      <w:lang w:val="en-US" w:eastAsia="en-US"/>
    </w:rPr>
  </w:style>
  <w:style w:type="paragraph" w:styleId="Heading9">
    <w:name w:val="heading 9"/>
    <w:basedOn w:val="Normal"/>
    <w:next w:val="Normal"/>
    <w:link w:val="Heading9Char"/>
    <w:unhideWhenUsed/>
    <w:qFormat/>
    <w:rsid w:val="00CF112F"/>
    <w:pPr>
      <w:keepNext/>
      <w:keepLines/>
      <w:numPr>
        <w:ilvl w:val="8"/>
        <w:numId w:val="41"/>
      </w:numPr>
      <w:spacing w:before="200"/>
      <w:outlineLvl w:val="8"/>
    </w:pPr>
    <w:rPr>
      <w:rFonts w:asciiTheme="majorHAnsi" w:eastAsiaTheme="majorEastAsia" w:hAnsiTheme="majorHAnsi" w:cstheme="majorBidi"/>
      <w:i/>
      <w:iCs/>
      <w:color w:val="404040" w:themeColor="text1" w:themeTint="BF"/>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112F"/>
    <w:pPr>
      <w:tabs>
        <w:tab w:val="center" w:pos="4320"/>
        <w:tab w:val="right" w:pos="8640"/>
      </w:tabs>
    </w:pPr>
  </w:style>
  <w:style w:type="paragraph" w:styleId="Footer">
    <w:name w:val="footer"/>
    <w:basedOn w:val="Normal"/>
    <w:link w:val="FooterChar"/>
    <w:rsid w:val="00CF112F"/>
    <w:pPr>
      <w:tabs>
        <w:tab w:val="center" w:pos="4320"/>
        <w:tab w:val="right" w:pos="8640"/>
      </w:tabs>
    </w:pPr>
  </w:style>
  <w:style w:type="paragraph" w:styleId="TOC3">
    <w:name w:val="toc 3"/>
    <w:basedOn w:val="TOC1"/>
    <w:link w:val="TOC3Char"/>
    <w:uiPriority w:val="39"/>
    <w:rsid w:val="00CF112F"/>
    <w:pPr>
      <w:ind w:left="2268" w:hanging="992"/>
    </w:pPr>
    <w:rPr>
      <w:b w:val="0"/>
      <w:caps w:val="0"/>
    </w:rPr>
  </w:style>
  <w:style w:type="paragraph" w:styleId="TOC2">
    <w:name w:val="toc 2"/>
    <w:basedOn w:val="TOC1"/>
    <w:link w:val="TOC2Char"/>
    <w:uiPriority w:val="39"/>
    <w:rsid w:val="00CF112F"/>
    <w:pPr>
      <w:ind w:left="1276" w:hanging="709"/>
    </w:pPr>
    <w:rPr>
      <w:b w:val="0"/>
      <w:caps w:val="0"/>
    </w:rPr>
  </w:style>
  <w:style w:type="paragraph" w:styleId="TOC1">
    <w:name w:val="toc 1"/>
    <w:basedOn w:val="Normal"/>
    <w:link w:val="TOC1Char"/>
    <w:uiPriority w:val="39"/>
    <w:rsid w:val="00CF112F"/>
    <w:pPr>
      <w:tabs>
        <w:tab w:val="left" w:leader="dot" w:pos="8222"/>
        <w:tab w:val="right" w:pos="9356"/>
      </w:tabs>
      <w:spacing w:before="180"/>
      <w:ind w:left="567" w:right="1418" w:hanging="567"/>
      <w:jc w:val="left"/>
    </w:pPr>
    <w:rPr>
      <w:rFonts w:cs="Arial"/>
      <w:b/>
      <w:caps/>
      <w:sz w:val="21"/>
      <w:szCs w:val="21"/>
    </w:rPr>
  </w:style>
  <w:style w:type="paragraph" w:styleId="FootnoteText">
    <w:name w:val="footnote text"/>
    <w:basedOn w:val="Normal"/>
    <w:link w:val="FootnoteTextChar"/>
    <w:rsid w:val="00CF112F"/>
    <w:pPr>
      <w:keepLines/>
      <w:numPr>
        <w:numId w:val="43"/>
      </w:numPr>
      <w:spacing w:before="120" w:after="60"/>
    </w:pPr>
    <w:rPr>
      <w:sz w:val="20"/>
    </w:rPr>
  </w:style>
  <w:style w:type="character" w:styleId="Hyperlink">
    <w:name w:val="Hyperlink"/>
    <w:uiPriority w:val="99"/>
    <w:rsid w:val="00CF112F"/>
    <w:rPr>
      <w:color w:val="0000FF"/>
      <w:u w:val="single"/>
    </w:rPr>
  </w:style>
  <w:style w:type="paragraph" w:styleId="EndnoteText">
    <w:name w:val="endnote text"/>
    <w:basedOn w:val="Normal"/>
    <w:link w:val="EndnoteTextChar"/>
    <w:rsid w:val="00CF112F"/>
    <w:rPr>
      <w:rFonts w:eastAsia="MS Mincho"/>
      <w:lang w:eastAsia="en-US"/>
    </w:rPr>
  </w:style>
  <w:style w:type="paragraph" w:styleId="CommentText">
    <w:name w:val="annotation text"/>
    <w:basedOn w:val="Normal"/>
    <w:link w:val="CommentTextChar"/>
    <w:rsid w:val="00CF112F"/>
    <w:rPr>
      <w:rFonts w:eastAsia="MS Mincho"/>
      <w:sz w:val="20"/>
      <w:lang w:eastAsia="en-US"/>
    </w:rPr>
  </w:style>
  <w:style w:type="paragraph" w:styleId="Caption">
    <w:name w:val="caption"/>
    <w:basedOn w:val="Normal"/>
    <w:qFormat/>
    <w:rsid w:val="00CF112F"/>
    <w:pPr>
      <w:keepNext/>
      <w:keepLines/>
      <w:tabs>
        <w:tab w:val="left" w:pos="1134"/>
        <w:tab w:val="left" w:pos="1956"/>
        <w:tab w:val="left" w:pos="2126"/>
        <w:tab w:val="left" w:pos="2693"/>
        <w:tab w:val="left" w:pos="3260"/>
      </w:tabs>
      <w:spacing w:before="320" w:after="120"/>
      <w:ind w:left="1956" w:hanging="1247"/>
    </w:pPr>
    <w:rPr>
      <w:b/>
      <w:bCs/>
      <w:sz w:val="20"/>
    </w:rPr>
  </w:style>
  <w:style w:type="paragraph" w:styleId="TOC9">
    <w:name w:val="toc 9"/>
    <w:basedOn w:val="Normal"/>
    <w:next w:val="Normal"/>
    <w:autoRedefine/>
    <w:uiPriority w:val="39"/>
    <w:rsid w:val="00CF112F"/>
    <w:pPr>
      <w:ind w:left="1760"/>
    </w:pPr>
  </w:style>
  <w:style w:type="paragraph" w:styleId="CommentSubject">
    <w:name w:val="annotation subject"/>
    <w:basedOn w:val="CommentText"/>
    <w:next w:val="CommentText"/>
    <w:link w:val="CommentSubjectChar"/>
    <w:rsid w:val="00CF112F"/>
    <w:rPr>
      <w:rFonts w:eastAsia="Times New Roman"/>
      <w:b/>
      <w:bCs/>
      <w:lang w:eastAsia="de-DE"/>
    </w:rPr>
  </w:style>
  <w:style w:type="paragraph" w:styleId="IndexHeading">
    <w:name w:val="index heading"/>
    <w:basedOn w:val="Normal"/>
    <w:next w:val="Normal"/>
    <w:rsid w:val="00CF112F"/>
    <w:rPr>
      <w:rFonts w:cs="Arial"/>
      <w:b/>
      <w:bCs/>
    </w:rPr>
  </w:style>
  <w:style w:type="paragraph" w:styleId="TableofAuthorities">
    <w:name w:val="table of authorities"/>
    <w:basedOn w:val="Normal"/>
    <w:next w:val="Normal"/>
    <w:rsid w:val="00CF112F"/>
    <w:pPr>
      <w:ind w:left="220" w:hanging="220"/>
    </w:pPr>
  </w:style>
  <w:style w:type="paragraph" w:styleId="TableofFigures">
    <w:name w:val="table of figures"/>
    <w:basedOn w:val="Normal"/>
    <w:next w:val="Normal"/>
    <w:rsid w:val="00CF112F"/>
  </w:style>
  <w:style w:type="paragraph" w:styleId="TOAHeading">
    <w:name w:val="toa heading"/>
    <w:basedOn w:val="Normal"/>
    <w:next w:val="Normal"/>
    <w:rsid w:val="00CF112F"/>
    <w:pPr>
      <w:spacing w:before="120"/>
    </w:pPr>
    <w:rPr>
      <w:rFonts w:cs="Arial"/>
      <w:b/>
      <w:bCs/>
      <w:sz w:val="24"/>
      <w:szCs w:val="24"/>
    </w:rPr>
  </w:style>
  <w:style w:type="paragraph" w:styleId="TOC4">
    <w:name w:val="toc 4"/>
    <w:basedOn w:val="TOC1"/>
    <w:uiPriority w:val="39"/>
    <w:rsid w:val="00CF112F"/>
    <w:pPr>
      <w:ind w:left="3544" w:hanging="1276"/>
    </w:pPr>
    <w:rPr>
      <w:b w:val="0"/>
      <w:caps w:val="0"/>
      <w:noProof/>
    </w:rPr>
  </w:style>
  <w:style w:type="paragraph" w:styleId="TOC5">
    <w:name w:val="toc 5"/>
    <w:basedOn w:val="TOC1"/>
    <w:uiPriority w:val="39"/>
    <w:rsid w:val="00CF112F"/>
    <w:pPr>
      <w:ind w:left="5103" w:hanging="1559"/>
    </w:pPr>
    <w:rPr>
      <w:b w:val="0"/>
      <w:caps w:val="0"/>
      <w:noProof/>
    </w:rPr>
  </w:style>
  <w:style w:type="paragraph" w:styleId="TOC6">
    <w:name w:val="toc 6"/>
    <w:basedOn w:val="TOC1"/>
    <w:next w:val="Normal"/>
    <w:uiPriority w:val="39"/>
    <w:rsid w:val="00CF112F"/>
    <w:pPr>
      <w:ind w:left="1588" w:hanging="1588"/>
    </w:pPr>
    <w:rPr>
      <w:noProof/>
    </w:rPr>
  </w:style>
  <w:style w:type="paragraph" w:styleId="TOC7">
    <w:name w:val="toc 7"/>
    <w:basedOn w:val="Normal"/>
    <w:next w:val="Normal"/>
    <w:autoRedefine/>
    <w:uiPriority w:val="39"/>
    <w:rsid w:val="00CF112F"/>
    <w:pPr>
      <w:ind w:left="1320"/>
    </w:pPr>
  </w:style>
  <w:style w:type="paragraph" w:styleId="TOC8">
    <w:name w:val="toc 8"/>
    <w:basedOn w:val="Normal"/>
    <w:next w:val="Normal"/>
    <w:autoRedefine/>
    <w:uiPriority w:val="39"/>
    <w:rsid w:val="00CF112F"/>
    <w:pPr>
      <w:ind w:left="1540"/>
    </w:pPr>
  </w:style>
  <w:style w:type="paragraph" w:customStyle="1" w:styleId="SDMTiHead">
    <w:name w:val="SDMTiHead"/>
    <w:basedOn w:val="Header"/>
    <w:rsid w:val="00CF112F"/>
    <w:pPr>
      <w:ind w:left="-330" w:firstLine="330"/>
    </w:pPr>
    <w:rPr>
      <w:rFonts w:cs="Arial"/>
      <w:caps/>
      <w:szCs w:val="19"/>
    </w:rPr>
  </w:style>
  <w:style w:type="paragraph" w:customStyle="1" w:styleId="SDMTitle2">
    <w:name w:val="SDMTitle2"/>
    <w:basedOn w:val="Normal"/>
    <w:rsid w:val="00CF112F"/>
    <w:pPr>
      <w:spacing w:after="600"/>
      <w:jc w:val="left"/>
    </w:pPr>
    <w:rPr>
      <w:rFonts w:cs="Arial"/>
      <w:sz w:val="48"/>
      <w:szCs w:val="48"/>
    </w:rPr>
  </w:style>
  <w:style w:type="paragraph" w:customStyle="1" w:styleId="SDMTitle1">
    <w:name w:val="SDMTitle1"/>
    <w:basedOn w:val="Normal"/>
    <w:rsid w:val="00CF112F"/>
    <w:pPr>
      <w:pBdr>
        <w:bottom w:val="single" w:sz="12" w:space="7" w:color="auto"/>
      </w:pBdr>
      <w:spacing w:before="1800" w:after="200"/>
      <w:jc w:val="left"/>
    </w:pPr>
    <w:rPr>
      <w:rFonts w:cs="Arial"/>
      <w:sz w:val="48"/>
      <w:szCs w:val="48"/>
    </w:rPr>
  </w:style>
  <w:style w:type="paragraph" w:customStyle="1" w:styleId="SDMTiInfo">
    <w:name w:val="SDMTiInfo"/>
    <w:basedOn w:val="Normal"/>
    <w:rsid w:val="00CF112F"/>
    <w:pPr>
      <w:spacing w:before="300"/>
    </w:pPr>
    <w:rPr>
      <w:rFonts w:cs="Arial"/>
      <w:szCs w:val="22"/>
    </w:rPr>
  </w:style>
  <w:style w:type="paragraph" w:customStyle="1" w:styleId="SDMHead1">
    <w:name w:val="SDMHead1"/>
    <w:basedOn w:val="Normal"/>
    <w:link w:val="SDMHead1Char"/>
    <w:rsid w:val="00CF112F"/>
    <w:pPr>
      <w:keepNext/>
      <w:keepLines/>
      <w:numPr>
        <w:numId w:val="44"/>
      </w:numPr>
      <w:suppressAutoHyphens/>
      <w:spacing w:before="240" w:after="60"/>
      <w:outlineLvl w:val="0"/>
    </w:pPr>
    <w:rPr>
      <w:rFonts w:cs="Arial"/>
      <w:b/>
      <w:sz w:val="32"/>
      <w:szCs w:val="32"/>
    </w:rPr>
  </w:style>
  <w:style w:type="paragraph" w:customStyle="1" w:styleId="SDMHead2">
    <w:name w:val="SDMHead2"/>
    <w:basedOn w:val="Normal"/>
    <w:rsid w:val="00CF112F"/>
    <w:pPr>
      <w:keepNext/>
      <w:keepLines/>
      <w:numPr>
        <w:ilvl w:val="1"/>
        <w:numId w:val="44"/>
      </w:numPr>
      <w:suppressAutoHyphens/>
      <w:spacing w:before="240" w:after="60"/>
      <w:outlineLvl w:val="1"/>
    </w:pPr>
    <w:rPr>
      <w:rFonts w:cs="Arial"/>
      <w:b/>
      <w:sz w:val="24"/>
      <w:szCs w:val="24"/>
    </w:rPr>
  </w:style>
  <w:style w:type="paragraph" w:customStyle="1" w:styleId="SDMHead3">
    <w:name w:val="SDMHead3"/>
    <w:basedOn w:val="Normal"/>
    <w:rsid w:val="00CF112F"/>
    <w:pPr>
      <w:keepNext/>
      <w:keepLines/>
      <w:numPr>
        <w:ilvl w:val="2"/>
        <w:numId w:val="44"/>
      </w:numPr>
      <w:suppressAutoHyphens/>
      <w:spacing w:before="240" w:after="60"/>
      <w:outlineLvl w:val="2"/>
    </w:pPr>
    <w:rPr>
      <w:rFonts w:cs="Arial"/>
      <w:b/>
      <w:szCs w:val="24"/>
    </w:rPr>
  </w:style>
  <w:style w:type="paragraph" w:customStyle="1" w:styleId="SDMHead4">
    <w:name w:val="SDMHead4"/>
    <w:basedOn w:val="Normal"/>
    <w:rsid w:val="00CF112F"/>
    <w:pPr>
      <w:keepNext/>
      <w:keepLines/>
      <w:numPr>
        <w:ilvl w:val="3"/>
        <w:numId w:val="44"/>
      </w:numPr>
      <w:suppressAutoHyphens/>
      <w:spacing w:before="240" w:after="60"/>
      <w:outlineLvl w:val="3"/>
    </w:pPr>
    <w:rPr>
      <w:rFonts w:cs="Arial"/>
      <w:b/>
      <w:szCs w:val="24"/>
    </w:rPr>
  </w:style>
  <w:style w:type="paragraph" w:customStyle="1" w:styleId="SDMHead5">
    <w:name w:val="SDMHead5"/>
    <w:basedOn w:val="Normal"/>
    <w:rsid w:val="00CF112F"/>
    <w:pPr>
      <w:keepNext/>
      <w:keepLines/>
      <w:numPr>
        <w:ilvl w:val="4"/>
        <w:numId w:val="44"/>
      </w:numPr>
      <w:suppressAutoHyphens/>
      <w:spacing w:before="240" w:after="60"/>
      <w:outlineLvl w:val="4"/>
    </w:pPr>
    <w:rPr>
      <w:rFonts w:cs="Arial"/>
      <w:b/>
      <w:szCs w:val="24"/>
    </w:rPr>
  </w:style>
  <w:style w:type="character" w:customStyle="1" w:styleId="SDMHead1Char">
    <w:name w:val="SDMHead1 Char"/>
    <w:link w:val="SDMHead1"/>
    <w:rsid w:val="00CF112F"/>
    <w:rPr>
      <w:rFonts w:ascii="Arial" w:eastAsia="Times New Roman" w:hAnsi="Arial" w:cs="Arial"/>
      <w:b/>
      <w:sz w:val="32"/>
      <w:szCs w:val="32"/>
      <w:lang w:eastAsia="de-DE"/>
    </w:rPr>
  </w:style>
  <w:style w:type="paragraph" w:customStyle="1" w:styleId="SDMPara">
    <w:name w:val="SDMPara"/>
    <w:basedOn w:val="Normal"/>
    <w:link w:val="SDMParaChar"/>
    <w:rsid w:val="00CF112F"/>
    <w:pPr>
      <w:numPr>
        <w:numId w:val="46"/>
      </w:numPr>
      <w:spacing w:before="180"/>
    </w:pPr>
    <w:rPr>
      <w:rFonts w:cs="Arial"/>
      <w:szCs w:val="22"/>
    </w:rPr>
  </w:style>
  <w:style w:type="paragraph" w:customStyle="1" w:styleId="SDMSubPara1">
    <w:name w:val="SDMSubPara1"/>
    <w:basedOn w:val="Normal"/>
    <w:rsid w:val="00CF112F"/>
    <w:pPr>
      <w:numPr>
        <w:ilvl w:val="1"/>
        <w:numId w:val="46"/>
      </w:numPr>
      <w:spacing w:before="180"/>
    </w:pPr>
    <w:rPr>
      <w:rFonts w:cs="Arial"/>
      <w:szCs w:val="22"/>
    </w:rPr>
  </w:style>
  <w:style w:type="paragraph" w:customStyle="1" w:styleId="SDMSubPara2">
    <w:name w:val="SDMSubPara2"/>
    <w:basedOn w:val="Normal"/>
    <w:rsid w:val="00CF112F"/>
    <w:pPr>
      <w:numPr>
        <w:ilvl w:val="2"/>
        <w:numId w:val="46"/>
      </w:numPr>
      <w:spacing w:before="180"/>
    </w:pPr>
    <w:rPr>
      <w:rFonts w:cs="Arial"/>
      <w:szCs w:val="22"/>
    </w:rPr>
  </w:style>
  <w:style w:type="character" w:customStyle="1" w:styleId="FootnoteTextChar">
    <w:name w:val="Footnote Text Char"/>
    <w:link w:val="FootnoteText"/>
    <w:rsid w:val="00CF112F"/>
    <w:rPr>
      <w:rFonts w:ascii="Arial" w:eastAsia="Times New Roman" w:hAnsi="Arial"/>
      <w:lang w:eastAsia="de-DE"/>
    </w:rPr>
  </w:style>
  <w:style w:type="table" w:customStyle="1" w:styleId="SDMTable">
    <w:name w:val="SDMTable"/>
    <w:basedOn w:val="TableNormal"/>
    <w:rsid w:val="00CF112F"/>
    <w:rPr>
      <w:rFonts w:ascii="Arial" w:eastAsia="Times New Roman" w:hAnsi="Arial"/>
    </w:rPr>
    <w:tblPr>
      <w:tblStyleRowBandSize w:val="1"/>
    </w:tblPr>
    <w:trPr>
      <w:cantSplit/>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SDMFooter">
    <w:name w:val="SDMFooter"/>
    <w:basedOn w:val="Footer"/>
    <w:rsid w:val="00CF112F"/>
    <w:pPr>
      <w:jc w:val="center"/>
    </w:pPr>
    <w:rPr>
      <w:rFonts w:cs="Arial"/>
      <w:sz w:val="20"/>
    </w:rPr>
  </w:style>
  <w:style w:type="table" w:customStyle="1" w:styleId="SDMTableDocInfo">
    <w:name w:val="SDMTableDocInfo"/>
    <w:basedOn w:val="TableNormal"/>
    <w:rsid w:val="00CF112F"/>
    <w:pPr>
      <w:keepNext/>
      <w:spacing w:before="80" w:after="80"/>
    </w:pPr>
    <w:rPr>
      <w:rFonts w:ascii="Arial" w:eastAsia="Times New Roman" w:hAnsi="Arial"/>
    </w:rPr>
    <w:tblPr/>
    <w:tblStylePr w:type="firstRow">
      <w:rPr>
        <w:rFonts w:ascii="Arial" w:hAnsi="Arial"/>
        <w:i/>
        <w:sz w:val="16"/>
      </w:rPr>
      <w:tblPr/>
      <w:trPr>
        <w:cantSplit w:val="0"/>
        <w:tblHeader/>
      </w:trPr>
      <w:tcPr>
        <w:tcBorders>
          <w:top w:val="single" w:sz="4" w:space="0" w:color="auto"/>
          <w:left w:val="nil"/>
          <w:bottom w:val="single" w:sz="12" w:space="0" w:color="auto"/>
          <w:right w:val="nil"/>
          <w:insideV w:val="nil"/>
        </w:tcBorders>
        <w:tcMar>
          <w:top w:w="80" w:type="dxa"/>
          <w:left w:w="0" w:type="nil"/>
          <w:bottom w:w="80" w:type="dxa"/>
          <w:right w:w="0" w:type="nil"/>
        </w:tcMar>
        <w:vAlign w:val="center"/>
      </w:tcPr>
    </w:tblStylePr>
    <w:tblStylePr w:type="lastRow">
      <w:tblPr/>
      <w:trPr>
        <w:cantSplit w:val="0"/>
      </w:trPr>
      <w:tcPr>
        <w:tcBorders>
          <w:top w:val="single" w:sz="4" w:space="0" w:color="auto"/>
          <w:left w:val="nil"/>
          <w:bottom w:val="single" w:sz="12" w:space="0" w:color="auto"/>
          <w:right w:val="nil"/>
          <w:insideH w:val="nil"/>
          <w:insideV w:val="nil"/>
          <w:tl2br w:val="nil"/>
          <w:tr2bl w:val="nil"/>
        </w:tcBorders>
        <w:vAlign w:val="center"/>
      </w:tcPr>
    </w:tblStylePr>
  </w:style>
  <w:style w:type="paragraph" w:customStyle="1" w:styleId="SDMDocInfoText">
    <w:name w:val="SDMDocInfoText"/>
    <w:basedOn w:val="Normal"/>
    <w:link w:val="SDMDocInfoTextChar"/>
    <w:rsid w:val="00CF112F"/>
    <w:pPr>
      <w:keepLines/>
      <w:numPr>
        <w:numId w:val="53"/>
      </w:numPr>
      <w:spacing w:before="80" w:after="80"/>
    </w:pPr>
    <w:rPr>
      <w:rFonts w:cs="Arial"/>
      <w:sz w:val="20"/>
    </w:rPr>
  </w:style>
  <w:style w:type="character" w:customStyle="1" w:styleId="SDMDocInfoTextChar">
    <w:name w:val="SDMDocInfoText Char"/>
    <w:link w:val="SDMDocInfoText"/>
    <w:rsid w:val="00CF112F"/>
    <w:rPr>
      <w:rFonts w:ascii="Arial" w:eastAsia="Times New Roman" w:hAnsi="Arial" w:cs="Arial"/>
      <w:lang w:eastAsia="de-DE"/>
    </w:rPr>
  </w:style>
  <w:style w:type="paragraph" w:customStyle="1" w:styleId="SDMDocInfoTitle">
    <w:name w:val="SDMDocInfoTitle"/>
    <w:basedOn w:val="Normal"/>
    <w:rsid w:val="00CF112F"/>
    <w:pPr>
      <w:keepNext/>
      <w:keepLines/>
      <w:spacing w:before="480" w:after="240"/>
      <w:jc w:val="center"/>
    </w:pPr>
    <w:rPr>
      <w:rFonts w:cs="Arial"/>
      <w:b/>
      <w:szCs w:val="22"/>
    </w:rPr>
  </w:style>
  <w:style w:type="paragraph" w:customStyle="1" w:styleId="SDMSubPara3">
    <w:name w:val="SDMSubPara3"/>
    <w:basedOn w:val="Normal"/>
    <w:rsid w:val="00CF112F"/>
    <w:pPr>
      <w:numPr>
        <w:ilvl w:val="3"/>
        <w:numId w:val="46"/>
      </w:numPr>
      <w:spacing w:before="180"/>
    </w:pPr>
  </w:style>
  <w:style w:type="paragraph" w:customStyle="1" w:styleId="SDMSubPara4">
    <w:name w:val="SDMSubPara4"/>
    <w:basedOn w:val="Normal"/>
    <w:rsid w:val="00CF112F"/>
    <w:pPr>
      <w:numPr>
        <w:ilvl w:val="4"/>
        <w:numId w:val="46"/>
      </w:numPr>
      <w:spacing w:before="180"/>
    </w:pPr>
  </w:style>
  <w:style w:type="character" w:customStyle="1" w:styleId="TOC1Char">
    <w:name w:val="TOC 1 Char"/>
    <w:link w:val="TOC1"/>
    <w:uiPriority w:val="39"/>
    <w:rsid w:val="00CF112F"/>
    <w:rPr>
      <w:rFonts w:ascii="Arial" w:eastAsia="Times New Roman" w:hAnsi="Arial" w:cs="Arial"/>
      <w:b/>
      <w:caps/>
      <w:sz w:val="21"/>
      <w:szCs w:val="21"/>
      <w:lang w:eastAsia="de-DE"/>
    </w:rPr>
  </w:style>
  <w:style w:type="character" w:customStyle="1" w:styleId="TOC2Char">
    <w:name w:val="TOC 2 Char"/>
    <w:link w:val="TOC2"/>
    <w:uiPriority w:val="39"/>
    <w:rsid w:val="00CF112F"/>
    <w:rPr>
      <w:rFonts w:ascii="Arial" w:eastAsia="Times New Roman" w:hAnsi="Arial" w:cs="Arial"/>
      <w:sz w:val="21"/>
      <w:szCs w:val="21"/>
      <w:lang w:eastAsia="de-DE"/>
    </w:rPr>
  </w:style>
  <w:style w:type="character" w:customStyle="1" w:styleId="TOC3Char">
    <w:name w:val="TOC 3 Char"/>
    <w:link w:val="TOC3"/>
    <w:uiPriority w:val="39"/>
    <w:rsid w:val="00CF112F"/>
    <w:rPr>
      <w:rFonts w:ascii="Arial" w:eastAsia="Times New Roman" w:hAnsi="Arial" w:cs="Arial"/>
      <w:sz w:val="21"/>
      <w:szCs w:val="21"/>
      <w:lang w:eastAsia="de-DE"/>
    </w:rPr>
  </w:style>
  <w:style w:type="paragraph" w:customStyle="1" w:styleId="SDMHeader">
    <w:name w:val="SDMHeader"/>
    <w:basedOn w:val="Header"/>
    <w:rsid w:val="00CF112F"/>
    <w:pPr>
      <w:pBdr>
        <w:bottom w:val="single" w:sz="4" w:space="10" w:color="auto"/>
      </w:pBdr>
      <w:tabs>
        <w:tab w:val="clear" w:pos="4320"/>
        <w:tab w:val="clear" w:pos="8640"/>
        <w:tab w:val="right" w:pos="9356"/>
        <w:tab w:val="right" w:pos="14288"/>
      </w:tabs>
    </w:pPr>
    <w:rPr>
      <w:rFonts w:cs="Arial"/>
      <w:sz w:val="20"/>
      <w:szCs w:val="16"/>
    </w:rPr>
  </w:style>
  <w:style w:type="paragraph" w:customStyle="1" w:styleId="SDMDocInfoHeadRow">
    <w:name w:val="SDMDocInfoHeadRow"/>
    <w:basedOn w:val="Normal"/>
    <w:rsid w:val="00CF112F"/>
    <w:pPr>
      <w:keepNext/>
      <w:keepLines/>
    </w:pPr>
    <w:rPr>
      <w:rFonts w:cs="Arial"/>
      <w:i/>
      <w:sz w:val="16"/>
      <w:szCs w:val="16"/>
    </w:rPr>
  </w:style>
  <w:style w:type="table" w:customStyle="1" w:styleId="SDMBox">
    <w:name w:val="SDMBox"/>
    <w:basedOn w:val="TableNormal"/>
    <w:rsid w:val="00CF112F"/>
    <w:rPr>
      <w:rFonts w:ascii="Arial" w:eastAsia="Times New Roman" w:hAnsi="Arial"/>
    </w:rPr>
    <w:tblPr>
      <w:tblInd w:w="822" w:type="dxa"/>
      <w:tblBorders>
        <w:top w:val="single" w:sz="4" w:space="0" w:color="auto"/>
        <w:left w:val="single" w:sz="4" w:space="0" w:color="auto"/>
        <w:bottom w:val="single" w:sz="4" w:space="0" w:color="auto"/>
        <w:right w:val="single" w:sz="4" w:space="0" w:color="auto"/>
      </w:tblBorders>
      <w:tblCellMar>
        <w:top w:w="28" w:type="dxa"/>
        <w:bottom w:w="28" w:type="dxa"/>
      </w:tblCellMar>
    </w:tblPr>
    <w:trPr>
      <w:cantSplit/>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numbering" w:customStyle="1" w:styleId="SDMHeadList">
    <w:name w:val="SDMHeadList"/>
    <w:uiPriority w:val="99"/>
    <w:rsid w:val="00CF112F"/>
    <w:pPr>
      <w:numPr>
        <w:numId w:val="44"/>
      </w:numPr>
    </w:pPr>
  </w:style>
  <w:style w:type="numbering" w:customStyle="1" w:styleId="SDMTableBoxParaNumberedList">
    <w:name w:val="SDMTable&amp;BoxParaNumberedList"/>
    <w:rsid w:val="00CF112F"/>
    <w:pPr>
      <w:numPr>
        <w:numId w:val="24"/>
      </w:numPr>
    </w:pPr>
  </w:style>
  <w:style w:type="paragraph" w:customStyle="1" w:styleId="SDMAppTitle">
    <w:name w:val="SDMAppTitle"/>
    <w:basedOn w:val="SDMHead1"/>
    <w:next w:val="SDMApp1"/>
    <w:qFormat/>
    <w:rsid w:val="00051D0B"/>
    <w:pPr>
      <w:pageBreakBefore/>
      <w:numPr>
        <w:numId w:val="31"/>
      </w:numPr>
      <w:spacing w:before="120" w:after="600"/>
    </w:pPr>
  </w:style>
  <w:style w:type="paragraph" w:customStyle="1" w:styleId="SDMApp1">
    <w:name w:val="SDMApp1"/>
    <w:basedOn w:val="SDMHead2"/>
    <w:qFormat/>
    <w:rsid w:val="00051D0B"/>
    <w:pPr>
      <w:numPr>
        <w:numId w:val="31"/>
      </w:numPr>
      <w:outlineLvl w:val="9"/>
    </w:pPr>
  </w:style>
  <w:style w:type="paragraph" w:customStyle="1" w:styleId="SDMApp2">
    <w:name w:val="SDMApp2"/>
    <w:basedOn w:val="SDMHead3"/>
    <w:qFormat/>
    <w:rsid w:val="00051D0B"/>
    <w:pPr>
      <w:numPr>
        <w:numId w:val="31"/>
      </w:numPr>
      <w:outlineLvl w:val="9"/>
    </w:pPr>
  </w:style>
  <w:style w:type="paragraph" w:customStyle="1" w:styleId="SDMApp3">
    <w:name w:val="SDMApp3"/>
    <w:basedOn w:val="SDMHead4"/>
    <w:qFormat/>
    <w:rsid w:val="00051D0B"/>
    <w:pPr>
      <w:numPr>
        <w:numId w:val="31"/>
      </w:numPr>
      <w:outlineLvl w:val="9"/>
    </w:pPr>
  </w:style>
  <w:style w:type="paragraph" w:customStyle="1" w:styleId="SDMApp4">
    <w:name w:val="SDMApp4"/>
    <w:basedOn w:val="SDMHead5"/>
    <w:qFormat/>
    <w:rsid w:val="00051D0B"/>
    <w:pPr>
      <w:numPr>
        <w:numId w:val="31"/>
      </w:numPr>
      <w:outlineLvl w:val="9"/>
    </w:pPr>
  </w:style>
  <w:style w:type="numbering" w:customStyle="1" w:styleId="SDMAppHeadList">
    <w:name w:val="SDMAppHeadList"/>
    <w:uiPriority w:val="99"/>
    <w:rsid w:val="00051D0B"/>
    <w:pPr>
      <w:numPr>
        <w:numId w:val="31"/>
      </w:numPr>
    </w:pPr>
  </w:style>
  <w:style w:type="paragraph" w:customStyle="1" w:styleId="SDMDocRef">
    <w:name w:val="SDMDocRef"/>
    <w:basedOn w:val="Normal"/>
    <w:qFormat/>
    <w:rsid w:val="00CF112F"/>
    <w:pPr>
      <w:spacing w:before="100"/>
    </w:pPr>
    <w:rPr>
      <w:b/>
      <w:caps/>
      <w:sz w:val="28"/>
    </w:rPr>
  </w:style>
  <w:style w:type="paragraph" w:customStyle="1" w:styleId="SDMApp5">
    <w:name w:val="SDMApp5"/>
    <w:basedOn w:val="SDMApp4"/>
    <w:qFormat/>
    <w:rsid w:val="00051D0B"/>
    <w:pPr>
      <w:numPr>
        <w:ilvl w:val="5"/>
      </w:numPr>
      <w:tabs>
        <w:tab w:val="left" w:pos="1418"/>
      </w:tabs>
    </w:pPr>
  </w:style>
  <w:style w:type="paragraph" w:customStyle="1" w:styleId="SDMTableBoxFigureFootnote">
    <w:name w:val="SDMTableBoxFigureFootnote"/>
    <w:basedOn w:val="Normal"/>
    <w:qFormat/>
    <w:rsid w:val="00CF112F"/>
    <w:pPr>
      <w:numPr>
        <w:numId w:val="48"/>
      </w:numPr>
      <w:spacing w:before="120"/>
      <w:ind w:left="964" w:hanging="255"/>
    </w:pPr>
    <w:rPr>
      <w:sz w:val="20"/>
    </w:rPr>
  </w:style>
  <w:style w:type="paragraph" w:customStyle="1" w:styleId="SDMCovNoteTitle">
    <w:name w:val="SDMCovNoteTitle"/>
    <w:basedOn w:val="Normal"/>
    <w:qFormat/>
    <w:rsid w:val="00CF112F"/>
    <w:pPr>
      <w:keepNext/>
      <w:keepLines/>
      <w:suppressAutoHyphens/>
      <w:spacing w:before="240" w:after="840"/>
      <w:jc w:val="center"/>
    </w:pPr>
    <w:rPr>
      <w:b/>
      <w:caps/>
      <w:sz w:val="32"/>
    </w:rPr>
  </w:style>
  <w:style w:type="numbering" w:customStyle="1" w:styleId="SDMCovNoteHeadList">
    <w:name w:val="SDMCovNoteHeadList"/>
    <w:uiPriority w:val="99"/>
    <w:rsid w:val="00CF112F"/>
    <w:pPr>
      <w:numPr>
        <w:numId w:val="32"/>
      </w:numPr>
    </w:pPr>
  </w:style>
  <w:style w:type="paragraph" w:customStyle="1" w:styleId="SDMCovNoteHead1">
    <w:name w:val="SDMCovNoteHead1"/>
    <w:basedOn w:val="Normal"/>
    <w:rsid w:val="00CF112F"/>
    <w:pPr>
      <w:keepNext/>
      <w:keepLines/>
      <w:numPr>
        <w:numId w:val="42"/>
      </w:numPr>
      <w:suppressAutoHyphens/>
      <w:spacing w:before="240" w:after="60"/>
    </w:pPr>
    <w:rPr>
      <w:b/>
      <w:sz w:val="24"/>
    </w:rPr>
  </w:style>
  <w:style w:type="paragraph" w:customStyle="1" w:styleId="SDMCovNoteHead2">
    <w:name w:val="SDMCovNoteHead2"/>
    <w:basedOn w:val="Normal"/>
    <w:rsid w:val="00CF112F"/>
    <w:pPr>
      <w:keepNext/>
      <w:keepLines/>
      <w:numPr>
        <w:ilvl w:val="1"/>
        <w:numId w:val="42"/>
      </w:numPr>
      <w:spacing w:before="240" w:after="60"/>
    </w:pPr>
    <w:rPr>
      <w:b/>
    </w:rPr>
  </w:style>
  <w:style w:type="paragraph" w:customStyle="1" w:styleId="SDMCovNoteHead3">
    <w:name w:val="SDMCovNoteHead3"/>
    <w:basedOn w:val="Normal"/>
    <w:rsid w:val="00CF112F"/>
    <w:pPr>
      <w:keepNext/>
      <w:keepLines/>
      <w:numPr>
        <w:ilvl w:val="2"/>
        <w:numId w:val="42"/>
      </w:numPr>
      <w:spacing w:before="240" w:after="60"/>
    </w:pPr>
    <w:rPr>
      <w:b/>
    </w:rPr>
  </w:style>
  <w:style w:type="paragraph" w:styleId="NoSpacing">
    <w:name w:val="No Spacing"/>
    <w:link w:val="NoSpacingChar"/>
    <w:uiPriority w:val="1"/>
    <w:qFormat/>
    <w:rsid w:val="00CF112F"/>
    <w:rPr>
      <w:rFonts w:ascii="Calibri" w:hAnsi="Calibri" w:cs="Arial"/>
      <w:sz w:val="22"/>
      <w:szCs w:val="22"/>
      <w:lang w:val="en-US" w:eastAsia="ja-JP"/>
    </w:rPr>
  </w:style>
  <w:style w:type="character" w:customStyle="1" w:styleId="NoSpacingChar">
    <w:name w:val="No Spacing Char"/>
    <w:link w:val="NoSpacing"/>
    <w:uiPriority w:val="1"/>
    <w:rsid w:val="00CF112F"/>
    <w:rPr>
      <w:rFonts w:ascii="Calibri" w:hAnsi="Calibri" w:cs="Arial"/>
      <w:sz w:val="22"/>
      <w:szCs w:val="22"/>
      <w:lang w:val="en-US" w:eastAsia="ja-JP"/>
    </w:rPr>
  </w:style>
  <w:style w:type="paragraph" w:customStyle="1" w:styleId="SDMTOCHeading">
    <w:name w:val="SDMTOCHeading"/>
    <w:basedOn w:val="Normal"/>
    <w:qFormat/>
    <w:rsid w:val="00CF112F"/>
    <w:pPr>
      <w:keepNext/>
      <w:keepLines/>
      <w:pageBreakBefore/>
      <w:tabs>
        <w:tab w:val="right" w:pos="9356"/>
      </w:tabs>
      <w:spacing w:before="240" w:after="600"/>
    </w:pPr>
    <w:rPr>
      <w:rFonts w:cs="Arial"/>
      <w:b/>
      <w:szCs w:val="22"/>
    </w:rPr>
  </w:style>
  <w:style w:type="paragraph" w:customStyle="1" w:styleId="SDMTableBoxFigureFootnoteSL1">
    <w:name w:val="SDMTableBoxFigureFootnoteSL1"/>
    <w:basedOn w:val="SDMTableBoxFigureFootnote"/>
    <w:qFormat/>
    <w:rsid w:val="00CF112F"/>
    <w:pPr>
      <w:numPr>
        <w:ilvl w:val="1"/>
      </w:numPr>
      <w:spacing w:before="40"/>
    </w:pPr>
  </w:style>
  <w:style w:type="paragraph" w:customStyle="1" w:styleId="SDMTableBoxFigureFootnoteSL2">
    <w:name w:val="SDMTableBoxFigureFootnoteSL2"/>
    <w:basedOn w:val="SDMTableBoxFigureFootnote"/>
    <w:qFormat/>
    <w:rsid w:val="00CF112F"/>
    <w:pPr>
      <w:numPr>
        <w:ilvl w:val="2"/>
      </w:numPr>
      <w:spacing w:before="40"/>
    </w:pPr>
  </w:style>
  <w:style w:type="paragraph" w:customStyle="1" w:styleId="SDMTableBoxFigureFootnoteSL3">
    <w:name w:val="SDMTableBoxFigureFootnoteSL3"/>
    <w:basedOn w:val="SDMTableBoxFigureFootnote"/>
    <w:qFormat/>
    <w:rsid w:val="00CF112F"/>
    <w:pPr>
      <w:numPr>
        <w:ilvl w:val="3"/>
      </w:numPr>
      <w:spacing w:before="40"/>
    </w:pPr>
  </w:style>
  <w:style w:type="paragraph" w:customStyle="1" w:styleId="SDMTableBoxFigureFootnoteSL4">
    <w:name w:val="SDMTableBoxFigureFootnoteSL4"/>
    <w:basedOn w:val="SDMTableBoxFigureFootnote"/>
    <w:qFormat/>
    <w:rsid w:val="00CF112F"/>
    <w:pPr>
      <w:numPr>
        <w:ilvl w:val="4"/>
      </w:numPr>
      <w:spacing w:before="40"/>
    </w:pPr>
  </w:style>
  <w:style w:type="paragraph" w:customStyle="1" w:styleId="SDMTableBoxFigureFootnoteSL5">
    <w:name w:val="SDMTableBoxFigureFootnoteSL5"/>
    <w:basedOn w:val="SDMTableBoxFigureFootnote"/>
    <w:qFormat/>
    <w:rsid w:val="00CF112F"/>
    <w:pPr>
      <w:numPr>
        <w:ilvl w:val="5"/>
      </w:numPr>
      <w:spacing w:before="40"/>
    </w:pPr>
  </w:style>
  <w:style w:type="character" w:styleId="PlaceholderText">
    <w:name w:val="Placeholder Text"/>
    <w:basedOn w:val="DefaultParagraphFont"/>
    <w:uiPriority w:val="99"/>
    <w:rsid w:val="00CF112F"/>
    <w:rPr>
      <w:color w:val="808080"/>
    </w:rPr>
  </w:style>
  <w:style w:type="paragraph" w:styleId="BalloonText">
    <w:name w:val="Balloon Text"/>
    <w:basedOn w:val="Normal"/>
    <w:link w:val="BalloonTextChar"/>
    <w:rsid w:val="00CF112F"/>
    <w:rPr>
      <w:rFonts w:ascii="Tahoma" w:hAnsi="Tahoma" w:cs="Tahoma"/>
      <w:sz w:val="16"/>
      <w:szCs w:val="16"/>
    </w:rPr>
  </w:style>
  <w:style w:type="character" w:customStyle="1" w:styleId="BalloonTextChar">
    <w:name w:val="Balloon Text Char"/>
    <w:basedOn w:val="DefaultParagraphFont"/>
    <w:link w:val="BalloonText"/>
    <w:rsid w:val="00CF112F"/>
    <w:rPr>
      <w:rFonts w:ascii="Tahoma" w:eastAsia="Times New Roman" w:hAnsi="Tahoma" w:cs="Tahoma"/>
      <w:sz w:val="16"/>
      <w:szCs w:val="16"/>
      <w:lang w:eastAsia="de-DE"/>
    </w:rPr>
  </w:style>
  <w:style w:type="paragraph" w:styleId="Date">
    <w:name w:val="Date"/>
    <w:basedOn w:val="Normal"/>
    <w:next w:val="Normal"/>
    <w:link w:val="DateChar"/>
    <w:rsid w:val="00CF112F"/>
  </w:style>
  <w:style w:type="character" w:customStyle="1" w:styleId="DateChar">
    <w:name w:val="Date Char"/>
    <w:basedOn w:val="DefaultParagraphFont"/>
    <w:link w:val="Date"/>
    <w:rsid w:val="00CF112F"/>
    <w:rPr>
      <w:rFonts w:ascii="Arial" w:eastAsia="Times New Roman" w:hAnsi="Arial"/>
      <w:sz w:val="22"/>
      <w:lang w:eastAsia="de-DE"/>
    </w:rPr>
  </w:style>
  <w:style w:type="paragraph" w:customStyle="1" w:styleId="SDMConfidentialMark">
    <w:name w:val="SDMConfidentialMark"/>
    <w:basedOn w:val="Normal"/>
    <w:qFormat/>
    <w:rsid w:val="00CF112F"/>
    <w:pPr>
      <w:spacing w:before="1200"/>
      <w:jc w:val="right"/>
    </w:pPr>
    <w:rPr>
      <w:b/>
      <w:caps/>
      <w:spacing w:val="10"/>
      <w:sz w:val="32"/>
    </w:rPr>
  </w:style>
  <w:style w:type="character" w:customStyle="1" w:styleId="Heading1Char">
    <w:name w:val="Heading 1 Char"/>
    <w:basedOn w:val="DefaultParagraphFont"/>
    <w:link w:val="Heading1"/>
    <w:rsid w:val="00CF112F"/>
    <w:rPr>
      <w:rFonts w:asciiTheme="majorHAnsi" w:eastAsiaTheme="majorEastAsia" w:hAnsiTheme="majorHAnsi" w:cstheme="majorBidi"/>
      <w:b/>
      <w:bCs/>
      <w:color w:val="365F91" w:themeColor="accent1" w:themeShade="BF"/>
      <w:sz w:val="28"/>
      <w:szCs w:val="28"/>
      <w:lang w:val="en-US" w:eastAsia="en-US"/>
    </w:rPr>
  </w:style>
  <w:style w:type="character" w:customStyle="1" w:styleId="Heading2Char">
    <w:name w:val="Heading 2 Char"/>
    <w:basedOn w:val="DefaultParagraphFont"/>
    <w:link w:val="Heading2"/>
    <w:rsid w:val="00CF112F"/>
    <w:rPr>
      <w:rFonts w:asciiTheme="majorHAnsi" w:eastAsiaTheme="majorEastAsia" w:hAnsiTheme="majorHAnsi" w:cstheme="majorBidi"/>
      <w:b/>
      <w:bCs/>
      <w:color w:val="4F81BD" w:themeColor="accent1"/>
      <w:sz w:val="26"/>
      <w:szCs w:val="26"/>
      <w:lang w:val="en-US" w:eastAsia="en-US"/>
    </w:rPr>
  </w:style>
  <w:style w:type="character" w:customStyle="1" w:styleId="Heading3Char">
    <w:name w:val="Heading 3 Char"/>
    <w:basedOn w:val="DefaultParagraphFont"/>
    <w:link w:val="Heading3"/>
    <w:rsid w:val="00CF112F"/>
    <w:rPr>
      <w:rFonts w:asciiTheme="majorHAnsi" w:eastAsiaTheme="majorEastAsia" w:hAnsiTheme="majorHAnsi" w:cstheme="majorBidi"/>
      <w:b/>
      <w:bCs/>
      <w:color w:val="4F81BD" w:themeColor="accent1"/>
      <w:sz w:val="24"/>
      <w:szCs w:val="24"/>
      <w:lang w:val="en-US" w:eastAsia="en-US"/>
    </w:rPr>
  </w:style>
  <w:style w:type="character" w:customStyle="1" w:styleId="Heading4Char">
    <w:name w:val="Heading 4 Char"/>
    <w:basedOn w:val="DefaultParagraphFont"/>
    <w:link w:val="Heading4"/>
    <w:rsid w:val="00CF112F"/>
    <w:rPr>
      <w:rFonts w:asciiTheme="majorHAnsi" w:eastAsiaTheme="majorEastAsia" w:hAnsiTheme="majorHAnsi" w:cstheme="majorBidi"/>
      <w:b/>
      <w:bCs/>
      <w:i/>
      <w:iCs/>
      <w:color w:val="4F81BD" w:themeColor="accent1"/>
      <w:sz w:val="24"/>
      <w:szCs w:val="24"/>
      <w:lang w:val="en-US" w:eastAsia="en-US"/>
    </w:rPr>
  </w:style>
  <w:style w:type="character" w:customStyle="1" w:styleId="Heading5Char">
    <w:name w:val="Heading 5 Char"/>
    <w:basedOn w:val="DefaultParagraphFont"/>
    <w:link w:val="Heading5"/>
    <w:rsid w:val="00CF112F"/>
    <w:rPr>
      <w:rFonts w:asciiTheme="majorHAnsi" w:eastAsiaTheme="majorEastAsia" w:hAnsiTheme="majorHAnsi" w:cstheme="majorBidi"/>
      <w:color w:val="243F60" w:themeColor="accent1" w:themeShade="7F"/>
      <w:sz w:val="24"/>
      <w:szCs w:val="24"/>
      <w:lang w:val="en-US" w:eastAsia="en-US"/>
    </w:rPr>
  </w:style>
  <w:style w:type="character" w:customStyle="1" w:styleId="Heading6Char">
    <w:name w:val="Heading 6 Char"/>
    <w:basedOn w:val="DefaultParagraphFont"/>
    <w:link w:val="Heading6"/>
    <w:rsid w:val="00CF112F"/>
    <w:rPr>
      <w:rFonts w:asciiTheme="majorHAnsi" w:eastAsiaTheme="majorEastAsia" w:hAnsiTheme="majorHAnsi" w:cstheme="majorBidi"/>
      <w:i/>
      <w:iCs/>
      <w:color w:val="243F60" w:themeColor="accent1" w:themeShade="7F"/>
      <w:sz w:val="24"/>
      <w:szCs w:val="24"/>
      <w:lang w:val="en-US" w:eastAsia="en-US"/>
    </w:rPr>
  </w:style>
  <w:style w:type="character" w:customStyle="1" w:styleId="Heading7Char">
    <w:name w:val="Heading 7 Char"/>
    <w:basedOn w:val="DefaultParagraphFont"/>
    <w:link w:val="Heading7"/>
    <w:rsid w:val="00CF112F"/>
    <w:rPr>
      <w:rFonts w:asciiTheme="majorHAnsi" w:eastAsiaTheme="majorEastAsia" w:hAnsiTheme="majorHAnsi" w:cstheme="majorBidi"/>
      <w:i/>
      <w:iCs/>
      <w:color w:val="404040" w:themeColor="text1" w:themeTint="BF"/>
      <w:sz w:val="24"/>
      <w:szCs w:val="24"/>
      <w:lang w:val="en-US" w:eastAsia="en-US"/>
    </w:rPr>
  </w:style>
  <w:style w:type="character" w:customStyle="1" w:styleId="Heading8Char">
    <w:name w:val="Heading 8 Char"/>
    <w:basedOn w:val="DefaultParagraphFont"/>
    <w:link w:val="Heading8"/>
    <w:rsid w:val="00CF112F"/>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rsid w:val="00CF112F"/>
    <w:rPr>
      <w:rFonts w:asciiTheme="majorHAnsi" w:eastAsiaTheme="majorEastAsia" w:hAnsiTheme="majorHAnsi" w:cstheme="majorBidi"/>
      <w:i/>
      <w:iCs/>
      <w:color w:val="404040" w:themeColor="text1" w:themeTint="BF"/>
      <w:lang w:val="en-US" w:eastAsia="en-US"/>
    </w:rPr>
  </w:style>
  <w:style w:type="table" w:customStyle="1" w:styleId="SDMMethTableEmmissions">
    <w:name w:val="SDMMethTableEmmissions"/>
    <w:basedOn w:val="TableNormal"/>
    <w:uiPriority w:val="99"/>
    <w:rsid w:val="00CF112F"/>
    <w:rPr>
      <w:rFonts w:ascii="Arial" w:eastAsia="Times New Roman" w:hAnsi="Arial"/>
    </w:rPr>
    <w:tblPr>
      <w:tblStyleRowBandSize w:val="3"/>
      <w:tblStyleColBandSize w:val="1"/>
    </w:tblPr>
    <w:trPr>
      <w:cantSplit/>
    </w:trPr>
    <w:tcPr>
      <w:vAlign w:val="center"/>
    </w:tcPr>
    <w:tblStylePr w:type="firstRow">
      <w:pPr>
        <w:keepNext/>
        <w:keepLines/>
        <w:wordWrap/>
        <w:jc w:val="center"/>
      </w:pPr>
      <w:rPr>
        <w:rFonts w:ascii="Arial" w:hAnsi="Arial"/>
        <w:b/>
        <w:sz w:val="22"/>
        <w:u w:val="none"/>
      </w:rPr>
      <w:tblPr/>
      <w:trPr>
        <w:tblHeader/>
      </w:tr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shd w:val="clear" w:color="auto" w:fill="E6E6E6"/>
        <w:tcMar>
          <w:top w:w="113" w:type="dxa"/>
          <w:left w:w="0" w:type="nil"/>
          <w:bottom w:w="113" w:type="dxa"/>
          <w:right w:w="0" w:type="nil"/>
        </w:tcMar>
      </w:tcPr>
    </w:tblStylePr>
    <w:tblStylePr w:type="firstCol">
      <w:pPr>
        <w:keepLines/>
        <w:wordWrap/>
        <w:jc w:val="center"/>
      </w:pPr>
      <w:rPr>
        <w:b/>
      </w:rPr>
    </w:tblStylePr>
    <w:tblStylePr w:type="band2Horz">
      <w:tblPr/>
      <w:tcPr>
        <w:shd w:val="clear" w:color="auto" w:fill="E6E6E6"/>
      </w:tcPr>
    </w:tblStylePr>
  </w:style>
  <w:style w:type="table" w:customStyle="1" w:styleId="SDMMethTableDataParameter">
    <w:name w:val="SDMMethTableDataParameter"/>
    <w:basedOn w:val="TableNormal"/>
    <w:uiPriority w:val="99"/>
    <w:rsid w:val="00CF112F"/>
    <w:rPr>
      <w:rFonts w:ascii="Arial" w:eastAsia="Times New Roman" w:hAnsi="Arial"/>
    </w:rPr>
    <w:tblPr>
      <w:tblInd w:w="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rPr>
      <w:cantSplit/>
    </w:trPr>
    <w:tblStylePr w:type="firstRow">
      <w:pPr>
        <w:keepNext/>
        <w:keepLines/>
        <w:wordWrap/>
      </w:pPr>
      <w:rPr>
        <w:b/>
      </w:rPr>
      <w:tblPr/>
      <w:tcPr>
        <w:tcMar>
          <w:top w:w="62" w:type="dxa"/>
          <w:left w:w="0" w:type="nil"/>
          <w:bottom w:w="62" w:type="dxa"/>
          <w:right w:w="0" w:type="nil"/>
        </w:tcMar>
      </w:tcPr>
    </w:tblStylePr>
    <w:tblStylePr w:type="firstCol">
      <w:tblPr/>
      <w:tcPr>
        <w:shd w:val="clear" w:color="auto" w:fill="E6E6E6"/>
      </w:tcPr>
    </w:tblStylePr>
  </w:style>
  <w:style w:type="paragraph" w:customStyle="1" w:styleId="SDMMethCaptionNestedTableDataParameter">
    <w:name w:val="SDMMethCaptionNestedTableDataParameter"/>
    <w:basedOn w:val="Caption"/>
    <w:qFormat/>
    <w:rsid w:val="00CF112F"/>
    <w:pPr>
      <w:ind w:left="1531"/>
    </w:pPr>
  </w:style>
  <w:style w:type="table" w:customStyle="1" w:styleId="SDMMethTable">
    <w:name w:val="SDMMethTable"/>
    <w:basedOn w:val="SDMTable"/>
    <w:uiPriority w:val="99"/>
    <w:rsid w:val="00CF112F"/>
    <w:tbl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EquationParameters">
    <w:name w:val="SDMMethTableEquationParameters"/>
    <w:basedOn w:val="TableNormal"/>
    <w:uiPriority w:val="99"/>
    <w:rsid w:val="00CF112F"/>
    <w:rPr>
      <w:rFonts w:ascii="Arial" w:eastAsia="Times New Roman" w:hAnsi="Arial"/>
      <w:sz w:val="22"/>
    </w:rPr>
    <w:tblPr>
      <w:tblInd w:w="680" w:type="dxa"/>
      <w:tblCellMar>
        <w:top w:w="85" w:type="dxa"/>
        <w:bottom w:w="28" w:type="dxa"/>
      </w:tblCellMar>
    </w:tblPr>
    <w:trPr>
      <w:cantSplit/>
    </w:trPr>
    <w:tcPr>
      <w:vAlign w:val="center"/>
    </w:tcPr>
  </w:style>
  <w:style w:type="paragraph" w:customStyle="1" w:styleId="SDMMethCaptionEquationParametersTable">
    <w:name w:val="SDMMethCaptionEquationParametersTable"/>
    <w:basedOn w:val="Caption"/>
    <w:qFormat/>
    <w:rsid w:val="00CF112F"/>
    <w:pPr>
      <w:spacing w:before="180" w:after="0"/>
    </w:pPr>
    <w:rPr>
      <w:b w:val="0"/>
      <w:sz w:val="22"/>
    </w:rPr>
  </w:style>
  <w:style w:type="paragraph" w:customStyle="1" w:styleId="SDMMethEquation">
    <w:name w:val="SDMMethEquation"/>
    <w:basedOn w:val="SDMPara"/>
    <w:qFormat/>
    <w:rsid w:val="00CF112F"/>
    <w:pPr>
      <w:keepLines/>
      <w:numPr>
        <w:numId w:val="0"/>
      </w:numPr>
      <w:spacing w:before="360" w:line="360" w:lineRule="auto"/>
    </w:pPr>
  </w:style>
  <w:style w:type="table" w:customStyle="1" w:styleId="SDMMethTableEquation">
    <w:name w:val="SDMMethTableEquation"/>
    <w:basedOn w:val="TableNormal"/>
    <w:uiPriority w:val="99"/>
    <w:rsid w:val="00CF112F"/>
    <w:rPr>
      <w:rFonts w:ascii="Arial" w:eastAsia="Times New Roman" w:hAnsi="Arial"/>
      <w:sz w:val="22"/>
    </w:rPr>
    <w:tblPr>
      <w:tblInd w:w="680" w:type="dxa"/>
    </w:tblPr>
    <w:trPr>
      <w:cantSplit/>
    </w:trPr>
  </w:style>
  <w:style w:type="paragraph" w:customStyle="1" w:styleId="SDMTableBoxParaNotNumbered">
    <w:name w:val="SDMTable&amp;BoxParaNotNumbered"/>
    <w:basedOn w:val="Normal"/>
    <w:qFormat/>
    <w:rsid w:val="00CF112F"/>
    <w:pPr>
      <w:jc w:val="left"/>
    </w:pPr>
    <w:rPr>
      <w:sz w:val="20"/>
    </w:rPr>
  </w:style>
  <w:style w:type="paragraph" w:customStyle="1" w:styleId="SDMTableBoxParaNumbered">
    <w:name w:val="SDMTable&amp;BoxParaNumbered"/>
    <w:basedOn w:val="Normal"/>
    <w:qFormat/>
    <w:rsid w:val="00CF112F"/>
    <w:pPr>
      <w:numPr>
        <w:numId w:val="47"/>
      </w:numPr>
      <w:jc w:val="left"/>
    </w:pPr>
    <w:rPr>
      <w:sz w:val="20"/>
    </w:rPr>
  </w:style>
  <w:style w:type="paragraph" w:customStyle="1" w:styleId="SDMMethEquationNr">
    <w:name w:val="SDMMethEquationNr"/>
    <w:basedOn w:val="SDMMethEquation"/>
    <w:qFormat/>
    <w:rsid w:val="00CF112F"/>
    <w:pPr>
      <w:keepNext/>
      <w:numPr>
        <w:numId w:val="45"/>
      </w:numPr>
      <w:jc w:val="right"/>
    </w:pPr>
    <w:rPr>
      <w:sz w:val="20"/>
    </w:rPr>
  </w:style>
  <w:style w:type="numbering" w:customStyle="1" w:styleId="SDMMethEquationNrList">
    <w:name w:val="SDMMethEquationNrList"/>
    <w:uiPriority w:val="99"/>
    <w:rsid w:val="00CF112F"/>
    <w:pPr>
      <w:numPr>
        <w:numId w:val="35"/>
      </w:numPr>
    </w:pPr>
  </w:style>
  <w:style w:type="paragraph" w:styleId="ListParagraph">
    <w:name w:val="List Paragraph"/>
    <w:basedOn w:val="Normal"/>
    <w:uiPriority w:val="34"/>
    <w:qFormat/>
    <w:rsid w:val="00CF112F"/>
    <w:pPr>
      <w:ind w:left="720"/>
      <w:contextualSpacing/>
    </w:pPr>
  </w:style>
  <w:style w:type="table" w:customStyle="1" w:styleId="SDMTableFullPage">
    <w:name w:val="SDMTableFullPage"/>
    <w:basedOn w:val="SDMTable"/>
    <w:uiPriority w:val="99"/>
    <w:rsid w:val="00CF112F"/>
    <w:tblPr>
      <w:jc w:val="center"/>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table" w:customStyle="1" w:styleId="SDMMethTableFullPage">
    <w:name w:val="SDMMethTableFullPage"/>
    <w:basedOn w:val="SDMMethTable"/>
    <w:uiPriority w:val="99"/>
    <w:rsid w:val="00CF112F"/>
    <w:tblPr>
      <w:jc w:val="center"/>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FullPage">
    <w:name w:val="CaptionFullPage"/>
    <w:basedOn w:val="Caption"/>
    <w:qFormat/>
    <w:rsid w:val="00CF112F"/>
    <w:pPr>
      <w:ind w:left="0" w:firstLine="0"/>
    </w:pPr>
  </w:style>
  <w:style w:type="character" w:styleId="FootnoteReference">
    <w:name w:val="footnote reference"/>
    <w:basedOn w:val="DefaultParagraphFont"/>
    <w:rsid w:val="00CF112F"/>
    <w:rPr>
      <w:vertAlign w:val="superscript"/>
    </w:rPr>
  </w:style>
  <w:style w:type="numbering" w:customStyle="1" w:styleId="SDMFootnoteList">
    <w:name w:val="SDMFootnoteList"/>
    <w:uiPriority w:val="99"/>
    <w:rsid w:val="00CF112F"/>
    <w:pPr>
      <w:numPr>
        <w:numId w:val="52"/>
      </w:numPr>
    </w:pPr>
  </w:style>
  <w:style w:type="numbering" w:customStyle="1" w:styleId="SDMDocInfoTextBullets">
    <w:name w:val="SDMDocInfoTextBullets"/>
    <w:uiPriority w:val="99"/>
    <w:rsid w:val="00CF112F"/>
    <w:pPr>
      <w:numPr>
        <w:numId w:val="53"/>
      </w:numPr>
    </w:pPr>
  </w:style>
  <w:style w:type="table" w:customStyle="1" w:styleId="SDMBoxFullPage">
    <w:name w:val="SDMBoxFullPage"/>
    <w:basedOn w:val="SDMBox"/>
    <w:uiPriority w:val="99"/>
    <w:rsid w:val="00CF112F"/>
    <w:tblPr>
      <w:jc w:val="center"/>
      <w:tblInd w:w="0" w:type="dxa"/>
    </w:tblPr>
    <w:trPr>
      <w:jc w:val="center"/>
    </w:trPr>
    <w:tcPr>
      <w:shd w:val="clear" w:color="auto" w:fill="E6E6E6"/>
    </w:tcPr>
    <w:tblStylePr w:type="firstRow">
      <w:pPr>
        <w:keepNext/>
        <w:keepLines/>
        <w:wordWrap/>
      </w:pPr>
      <w:rPr>
        <w:b/>
      </w:rPr>
      <w:tblPr/>
      <w:tcPr>
        <w:tcMar>
          <w:top w:w="57" w:type="dxa"/>
          <w:left w:w="0" w:type="nil"/>
          <w:bottom w:w="57" w:type="dxa"/>
          <w:right w:w="0" w:type="nil"/>
        </w:tcMar>
      </w:tcPr>
    </w:tblStylePr>
    <w:tblStylePr w:type="lastRow">
      <w:pPr>
        <w:keepNext w:val="0"/>
        <w:wordWrap/>
      </w:pPr>
    </w:tblStylePr>
  </w:style>
  <w:style w:type="paragraph" w:customStyle="1" w:styleId="SDMTableBoxFigureFootnoteFullPage">
    <w:name w:val="SDMTableBoxFigureFootnoteFullPage"/>
    <w:basedOn w:val="SDMTableBoxFigureFootnote"/>
    <w:rsid w:val="00CF112F"/>
    <w:pPr>
      <w:numPr>
        <w:numId w:val="49"/>
      </w:numPr>
      <w:ind w:left="142" w:hanging="255"/>
    </w:pPr>
  </w:style>
  <w:style w:type="paragraph" w:customStyle="1" w:styleId="SDMTableBoxFigureFootnoteSL1FullPage">
    <w:name w:val="SDMTableBoxFigureFootnoteSL1FullPage"/>
    <w:basedOn w:val="SDMTableBoxFigureFootnoteSL1"/>
    <w:rsid w:val="00CF112F"/>
    <w:pPr>
      <w:numPr>
        <w:numId w:val="49"/>
      </w:numPr>
      <w:ind w:left="454" w:hanging="312"/>
    </w:pPr>
  </w:style>
  <w:style w:type="paragraph" w:customStyle="1" w:styleId="SDMTableBoxFigureFootnoteSL2FullPage">
    <w:name w:val="SDMTableBoxFigureFootnoteSL2FullPage"/>
    <w:basedOn w:val="SDMTableBoxFigureFootnoteSL2"/>
    <w:rsid w:val="00CF112F"/>
    <w:pPr>
      <w:numPr>
        <w:numId w:val="49"/>
      </w:numPr>
      <w:ind w:left="851" w:hanging="397"/>
    </w:pPr>
  </w:style>
  <w:style w:type="paragraph" w:customStyle="1" w:styleId="SDMTableBoxFigureFootnoteSL3FullPage">
    <w:name w:val="SDMTableBoxFigureFootnoteSL3FullPage"/>
    <w:basedOn w:val="SDMTableBoxFigureFootnoteSL3"/>
    <w:rsid w:val="00CF112F"/>
    <w:pPr>
      <w:numPr>
        <w:numId w:val="49"/>
      </w:numPr>
      <w:ind w:left="1247" w:hanging="396"/>
    </w:pPr>
  </w:style>
  <w:style w:type="paragraph" w:customStyle="1" w:styleId="SDMTableBoxFigureFootnoteSL4FullPage">
    <w:name w:val="SDMTableBoxFigureFootnoteSL4FullPage"/>
    <w:basedOn w:val="SDMTableBoxFigureFootnoteSL4"/>
    <w:rsid w:val="00CF112F"/>
    <w:pPr>
      <w:numPr>
        <w:numId w:val="49"/>
      </w:numPr>
      <w:ind w:left="1588" w:hanging="341"/>
    </w:pPr>
  </w:style>
  <w:style w:type="paragraph" w:customStyle="1" w:styleId="SDMTableBoxFigureFootnoteSL5FullPage">
    <w:name w:val="SDMTableBoxFigureFootnoteSL5FullPage"/>
    <w:basedOn w:val="SDMTableBoxFigureFootnoteSL5"/>
    <w:rsid w:val="00CF112F"/>
    <w:pPr>
      <w:numPr>
        <w:numId w:val="49"/>
      </w:numPr>
      <w:ind w:left="2041" w:hanging="453"/>
    </w:pPr>
  </w:style>
  <w:style w:type="numbering" w:customStyle="1" w:styleId="SDMTableBoxFigureFootnoteFullPageList">
    <w:name w:val="SDMTableBoxFigureFootnoteFullPageList"/>
    <w:uiPriority w:val="99"/>
    <w:rsid w:val="00CF112F"/>
    <w:pPr>
      <w:numPr>
        <w:numId w:val="36"/>
      </w:numPr>
    </w:pPr>
  </w:style>
  <w:style w:type="table" w:styleId="TableGrid">
    <w:name w:val="Table Grid"/>
    <w:basedOn w:val="TableNormal"/>
    <w:rsid w:val="004334D2"/>
    <w:rPr>
      <w:lang w:val="en-US" w:eastAsia="zh-CN"/>
    </w:rPr>
    <w:tblPr/>
  </w:style>
  <w:style w:type="paragraph" w:customStyle="1" w:styleId="ParaTickBox">
    <w:name w:val="ParaTickBox"/>
    <w:basedOn w:val="Normal"/>
    <w:link w:val="ParaTickBoxChar"/>
    <w:rsid w:val="004334D2"/>
    <w:pPr>
      <w:tabs>
        <w:tab w:val="left" w:pos="510"/>
      </w:tabs>
      <w:spacing w:before="60" w:after="60"/>
      <w:ind w:left="511" w:hanging="454"/>
      <w:jc w:val="left"/>
    </w:pPr>
    <w:rPr>
      <w:rFonts w:cs="Arial"/>
      <w:sz w:val="20"/>
      <w:szCs w:val="18"/>
      <w:lang w:eastAsia="en-US"/>
    </w:rPr>
  </w:style>
  <w:style w:type="character" w:customStyle="1" w:styleId="ParaTickBoxChar">
    <w:name w:val="ParaTickBox Char"/>
    <w:link w:val="ParaTickBox"/>
    <w:rsid w:val="004334D2"/>
    <w:rPr>
      <w:rFonts w:ascii="Arial" w:eastAsia="MS Mincho" w:hAnsi="Arial" w:cs="Arial"/>
      <w:szCs w:val="18"/>
      <w:lang w:eastAsia="en-US"/>
    </w:rPr>
  </w:style>
  <w:style w:type="character" w:styleId="CommentReference">
    <w:name w:val="annotation reference"/>
    <w:basedOn w:val="DefaultParagraphFont"/>
    <w:unhideWhenUsed/>
    <w:rsid w:val="004334D2"/>
    <w:rPr>
      <w:sz w:val="16"/>
      <w:szCs w:val="16"/>
    </w:rPr>
  </w:style>
  <w:style w:type="paragraph" w:styleId="Revision">
    <w:name w:val="Revision"/>
    <w:hidden/>
    <w:uiPriority w:val="99"/>
    <w:semiHidden/>
    <w:rsid w:val="004334D2"/>
    <w:rPr>
      <w:rFonts w:ascii="Arial" w:hAnsi="Arial"/>
      <w:sz w:val="22"/>
      <w:lang w:eastAsia="de-DE"/>
    </w:rPr>
  </w:style>
  <w:style w:type="paragraph" w:styleId="BodyText">
    <w:name w:val="Body Text"/>
    <w:basedOn w:val="Normal"/>
    <w:link w:val="BodyTextChar"/>
    <w:rsid w:val="004334D2"/>
    <w:rPr>
      <w:rFonts w:ascii="Times New Roman" w:eastAsiaTheme="minorEastAsia" w:hAnsi="Times New Roman"/>
      <w:lang w:val="en-US" w:eastAsia="en-US"/>
    </w:rPr>
  </w:style>
  <w:style w:type="character" w:customStyle="1" w:styleId="BodyTextChar">
    <w:name w:val="Body Text Char"/>
    <w:basedOn w:val="DefaultParagraphFont"/>
    <w:link w:val="BodyText"/>
    <w:rsid w:val="004334D2"/>
    <w:rPr>
      <w:rFonts w:eastAsiaTheme="minorEastAsia"/>
      <w:sz w:val="22"/>
      <w:lang w:val="en-US" w:eastAsia="en-US"/>
    </w:rPr>
  </w:style>
  <w:style w:type="paragraph" w:styleId="TOCHeading">
    <w:name w:val="TOC Heading"/>
    <w:basedOn w:val="Heading1"/>
    <w:next w:val="Normal"/>
    <w:uiPriority w:val="39"/>
    <w:unhideWhenUsed/>
    <w:qFormat/>
    <w:rsid w:val="004334D2"/>
    <w:pPr>
      <w:numPr>
        <w:numId w:val="0"/>
      </w:numPr>
      <w:spacing w:before="240" w:line="259" w:lineRule="auto"/>
      <w:jc w:val="left"/>
      <w:outlineLvl w:val="9"/>
    </w:pPr>
    <w:rPr>
      <w:b w:val="0"/>
      <w:bCs w:val="0"/>
      <w:sz w:val="32"/>
      <w:szCs w:val="32"/>
    </w:rPr>
  </w:style>
  <w:style w:type="paragraph" w:customStyle="1" w:styleId="MainTitle">
    <w:name w:val="MainTitle"/>
    <w:basedOn w:val="Normal"/>
    <w:rsid w:val="004334D2"/>
    <w:pPr>
      <w:jc w:val="center"/>
    </w:pPr>
    <w:rPr>
      <w:rFonts w:eastAsiaTheme="minorEastAsia"/>
      <w:b/>
      <w:sz w:val="28"/>
    </w:rPr>
  </w:style>
  <w:style w:type="paragraph" w:customStyle="1" w:styleId="TableColumnHeading">
    <w:name w:val="TableColumnHeading"/>
    <w:basedOn w:val="Normal"/>
    <w:rsid w:val="004334D2"/>
    <w:pPr>
      <w:tabs>
        <w:tab w:val="num" w:pos="0"/>
      </w:tabs>
      <w:spacing w:before="40" w:after="40"/>
      <w:jc w:val="center"/>
    </w:pPr>
    <w:rPr>
      <w:rFonts w:eastAsiaTheme="minorEastAsia"/>
      <w:b/>
    </w:rPr>
  </w:style>
  <w:style w:type="table" w:customStyle="1" w:styleId="SDMMethTableLandscape">
    <w:name w:val="SDMMethTableLandscape"/>
    <w:basedOn w:val="SDMMethTable"/>
    <w:uiPriority w:val="99"/>
    <w:rsid w:val="004334D2"/>
    <w:rPr>
      <w:rFonts w:eastAsiaTheme="minorEastAsia"/>
    </w:rPr>
    <w:tblPr>
      <w:jc w:val="center"/>
    </w:tblPr>
    <w:trPr>
      <w:jc w:val="center"/>
    </w:trPr>
    <w:tblStylePr w:type="firstRow">
      <w:pPr>
        <w:keepNext/>
        <w:keepLines/>
        <w:wordWrap/>
        <w:jc w:val="center"/>
      </w:pPr>
      <w:rPr>
        <w:b/>
      </w:rPr>
      <w:tblPr/>
      <w:trPr>
        <w:tblHeader/>
      </w:trPr>
      <w:tcPr>
        <w:tcBorders>
          <w:top w:val="single" w:sz="4" w:space="0" w:color="auto"/>
          <w:left w:val="single" w:sz="4" w:space="0" w:color="auto"/>
          <w:bottom w:val="single" w:sz="12" w:space="0" w:color="auto"/>
          <w:right w:val="single" w:sz="4" w:space="0" w:color="auto"/>
          <w:insideH w:val="nil"/>
          <w:insideV w:val="nil"/>
          <w:tl2br w:val="nil"/>
          <w:tr2bl w:val="nil"/>
        </w:tcBorders>
        <w:shd w:val="clear" w:color="auto" w:fill="E6E6E6"/>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RegPara">
    <w:name w:val="RegPara"/>
    <w:basedOn w:val="Normal"/>
    <w:rsid w:val="004334D2"/>
    <w:pPr>
      <w:numPr>
        <w:ilvl w:val="2"/>
        <w:numId w:val="8"/>
      </w:numPr>
      <w:spacing w:before="180"/>
      <w:jc w:val="left"/>
    </w:pPr>
    <w:rPr>
      <w:rFonts w:ascii="Times New Roman" w:eastAsiaTheme="minorEastAsia" w:hAnsi="Times New Roman"/>
      <w:lang w:eastAsia="en-US"/>
    </w:rPr>
  </w:style>
  <w:style w:type="character" w:customStyle="1" w:styleId="FooterChar">
    <w:name w:val="Footer Char"/>
    <w:link w:val="Footer"/>
    <w:locked/>
    <w:rsid w:val="004334D2"/>
    <w:rPr>
      <w:rFonts w:ascii="Arial" w:eastAsia="Times New Roman" w:hAnsi="Arial"/>
      <w:sz w:val="22"/>
      <w:lang w:eastAsia="de-DE"/>
    </w:rPr>
  </w:style>
  <w:style w:type="paragraph" w:customStyle="1" w:styleId="bullet">
    <w:name w:val="bullet"/>
    <w:basedOn w:val="Normal"/>
    <w:rsid w:val="004334D2"/>
    <w:pPr>
      <w:numPr>
        <w:numId w:val="9"/>
      </w:numPr>
      <w:jc w:val="left"/>
    </w:pPr>
    <w:rPr>
      <w:rFonts w:ascii="Times New Roman" w:hAnsi="Times New Roman"/>
      <w:lang w:val="en-US" w:eastAsia="en-US"/>
    </w:rPr>
  </w:style>
  <w:style w:type="paragraph" w:customStyle="1" w:styleId="RegHead1">
    <w:name w:val="RegHead1"/>
    <w:basedOn w:val="Normal"/>
    <w:next w:val="Normal"/>
    <w:rsid w:val="004334D2"/>
    <w:pPr>
      <w:keepNext/>
      <w:numPr>
        <w:numId w:val="8"/>
      </w:numPr>
      <w:tabs>
        <w:tab w:val="clear" w:pos="360"/>
      </w:tabs>
      <w:spacing w:before="180"/>
      <w:jc w:val="center"/>
    </w:pPr>
    <w:rPr>
      <w:rFonts w:ascii="Times New Roman" w:eastAsiaTheme="minorEastAsia" w:hAnsi="Times New Roman"/>
      <w:b/>
      <w:caps/>
      <w:lang w:eastAsia="en-US"/>
    </w:rPr>
  </w:style>
  <w:style w:type="paragraph" w:customStyle="1" w:styleId="Bulletedtext">
    <w:name w:val="Bulleted text"/>
    <w:basedOn w:val="Normal"/>
    <w:rsid w:val="004334D2"/>
    <w:pPr>
      <w:numPr>
        <w:numId w:val="10"/>
      </w:numPr>
      <w:jc w:val="left"/>
    </w:pPr>
    <w:rPr>
      <w:rFonts w:ascii="Times New Roman" w:eastAsiaTheme="minorEastAsia" w:hAnsi="Times New Roman"/>
      <w:sz w:val="20"/>
      <w:lang w:val="en-US" w:eastAsia="en-US"/>
    </w:rPr>
  </w:style>
  <w:style w:type="paragraph" w:customStyle="1" w:styleId="Meth-Nomenclatureandtables">
    <w:name w:val="Meth - Nomenclature and tables"/>
    <w:basedOn w:val="Normal"/>
    <w:rsid w:val="004334D2"/>
    <w:pPr>
      <w:tabs>
        <w:tab w:val="right" w:pos="9360"/>
      </w:tabs>
      <w:jc w:val="left"/>
    </w:pPr>
    <w:rPr>
      <w:rFonts w:ascii="Times New Roman" w:eastAsiaTheme="minorEastAsia" w:hAnsi="Times New Roman"/>
      <w:lang w:eastAsia="en-US"/>
    </w:rPr>
  </w:style>
  <w:style w:type="paragraph" w:styleId="BodyText3">
    <w:name w:val="Body Text 3"/>
    <w:basedOn w:val="Normal"/>
    <w:link w:val="BodyText3Char"/>
    <w:rsid w:val="004334D2"/>
    <w:pPr>
      <w:spacing w:after="120"/>
    </w:pPr>
    <w:rPr>
      <w:rFonts w:eastAsiaTheme="minorEastAsia"/>
      <w:sz w:val="16"/>
      <w:szCs w:val="16"/>
    </w:rPr>
  </w:style>
  <w:style w:type="character" w:customStyle="1" w:styleId="BodyText3Char">
    <w:name w:val="Body Text 3 Char"/>
    <w:basedOn w:val="DefaultParagraphFont"/>
    <w:link w:val="BodyText3"/>
    <w:rsid w:val="004334D2"/>
    <w:rPr>
      <w:rFonts w:ascii="Arial" w:eastAsiaTheme="minorEastAsia" w:hAnsi="Arial"/>
      <w:sz w:val="16"/>
      <w:szCs w:val="16"/>
      <w:lang w:eastAsia="de-DE"/>
    </w:rPr>
  </w:style>
  <w:style w:type="paragraph" w:customStyle="1" w:styleId="AtxtHdgs">
    <w:name w:val="Atxt_Hdgs"/>
    <w:basedOn w:val="Normal"/>
    <w:rsid w:val="004334D2"/>
    <w:pPr>
      <w:jc w:val="center"/>
    </w:pPr>
    <w:rPr>
      <w:rFonts w:ascii="Times New Roman" w:eastAsiaTheme="minorEastAsia" w:hAnsi="Times New Roman"/>
      <w:lang w:eastAsia="en-US"/>
    </w:rPr>
  </w:style>
  <w:style w:type="character" w:customStyle="1" w:styleId="EndnoteTextChar">
    <w:name w:val="Endnote Text Char"/>
    <w:link w:val="EndnoteText"/>
    <w:locked/>
    <w:rsid w:val="004334D2"/>
    <w:rPr>
      <w:rFonts w:ascii="Arial" w:hAnsi="Arial"/>
      <w:sz w:val="22"/>
      <w:lang w:eastAsia="en-US"/>
    </w:rPr>
  </w:style>
  <w:style w:type="paragraph" w:styleId="NormalWeb">
    <w:name w:val="Normal (Web)"/>
    <w:basedOn w:val="Normal"/>
    <w:uiPriority w:val="99"/>
    <w:rsid w:val="004334D2"/>
    <w:pPr>
      <w:spacing w:before="100" w:beforeAutospacing="1" w:after="100" w:afterAutospacing="1"/>
      <w:jc w:val="left"/>
    </w:pPr>
    <w:rPr>
      <w:rFonts w:ascii="Times New Roman" w:eastAsiaTheme="minorEastAsia" w:hAnsi="Times New Roman"/>
      <w:color w:val="000000"/>
      <w:sz w:val="24"/>
      <w:szCs w:val="24"/>
      <w:lang w:val="de-DE"/>
    </w:rPr>
  </w:style>
  <w:style w:type="numbering" w:customStyle="1" w:styleId="SDMMethEquationNumberingList">
    <w:name w:val="SDMMethEquationNumberingList"/>
    <w:uiPriority w:val="99"/>
    <w:rsid w:val="004334D2"/>
    <w:pPr>
      <w:numPr>
        <w:numId w:val="11"/>
      </w:numPr>
    </w:pPr>
  </w:style>
  <w:style w:type="character" w:customStyle="1" w:styleId="left">
    <w:name w:val="left"/>
    <w:basedOn w:val="DefaultParagraphFont"/>
    <w:rsid w:val="004334D2"/>
  </w:style>
  <w:style w:type="character" w:customStyle="1" w:styleId="HeaderChar">
    <w:name w:val="Header Char"/>
    <w:basedOn w:val="DefaultParagraphFont"/>
    <w:link w:val="Header"/>
    <w:rsid w:val="004334D2"/>
    <w:rPr>
      <w:rFonts w:ascii="Arial" w:eastAsia="Times New Roman" w:hAnsi="Arial"/>
      <w:sz w:val="22"/>
      <w:lang w:eastAsia="de-DE"/>
    </w:rPr>
  </w:style>
  <w:style w:type="paragraph" w:customStyle="1" w:styleId="Default">
    <w:name w:val="Default"/>
    <w:rsid w:val="004334D2"/>
    <w:pPr>
      <w:autoSpaceDE w:val="0"/>
      <w:autoSpaceDN w:val="0"/>
      <w:adjustRightInd w:val="0"/>
    </w:pPr>
    <w:rPr>
      <w:rFonts w:ascii="Arial" w:eastAsiaTheme="minorEastAsia" w:hAnsi="Arial" w:cs="Arial"/>
      <w:color w:val="000000"/>
      <w:sz w:val="24"/>
      <w:szCs w:val="24"/>
      <w:lang w:val="en-US"/>
    </w:rPr>
  </w:style>
  <w:style w:type="character" w:customStyle="1" w:styleId="CommentTextChar">
    <w:name w:val="Comment Text Char"/>
    <w:basedOn w:val="DefaultParagraphFont"/>
    <w:link w:val="CommentText"/>
    <w:rsid w:val="004334D2"/>
    <w:rPr>
      <w:rFonts w:ascii="Arial" w:hAnsi="Arial"/>
      <w:lang w:eastAsia="en-US"/>
    </w:rPr>
  </w:style>
  <w:style w:type="character" w:styleId="UnresolvedMention">
    <w:name w:val="Unresolved Mention"/>
    <w:basedOn w:val="DefaultParagraphFont"/>
    <w:uiPriority w:val="99"/>
    <w:semiHidden/>
    <w:unhideWhenUsed/>
    <w:rsid w:val="004334D2"/>
    <w:rPr>
      <w:color w:val="605E5C"/>
      <w:shd w:val="clear" w:color="auto" w:fill="E1DFDD"/>
    </w:rPr>
  </w:style>
  <w:style w:type="character" w:styleId="FollowedHyperlink">
    <w:name w:val="FollowedHyperlink"/>
    <w:basedOn w:val="DefaultParagraphFont"/>
    <w:semiHidden/>
    <w:unhideWhenUsed/>
    <w:rsid w:val="004334D2"/>
    <w:rPr>
      <w:color w:val="800080" w:themeColor="followedHyperlink"/>
      <w:u w:val="single"/>
    </w:rPr>
  </w:style>
  <w:style w:type="character" w:customStyle="1" w:styleId="CommentSubjectChar">
    <w:name w:val="Comment Subject Char"/>
    <w:basedOn w:val="CommentTextChar"/>
    <w:link w:val="CommentSubject"/>
    <w:rsid w:val="004334D2"/>
    <w:rPr>
      <w:rFonts w:ascii="Arial" w:eastAsia="Times New Roman" w:hAnsi="Arial"/>
      <w:b/>
      <w:bCs/>
      <w:lang w:eastAsia="de-DE"/>
    </w:rPr>
  </w:style>
  <w:style w:type="paragraph" w:styleId="Index1">
    <w:name w:val="index 1"/>
    <w:basedOn w:val="Normal"/>
    <w:next w:val="Normal"/>
    <w:autoRedefine/>
    <w:uiPriority w:val="99"/>
    <w:semiHidden/>
    <w:unhideWhenUsed/>
    <w:rsid w:val="004334D2"/>
    <w:pPr>
      <w:ind w:left="220" w:hanging="220"/>
    </w:pPr>
  </w:style>
  <w:style w:type="table" w:customStyle="1" w:styleId="SDMTableFullWidth">
    <w:name w:val="SDMTableFullWidth"/>
    <w:basedOn w:val="SDMTable"/>
    <w:uiPriority w:val="99"/>
    <w:rsid w:val="004334D2"/>
    <w:tblPr>
      <w:jc w:val="center"/>
    </w:tblPr>
    <w:trPr>
      <w:jc w:val="center"/>
    </w:trPr>
    <w:tblStylePr w:type="firstRow">
      <w:pPr>
        <w:keepNext/>
        <w:keepLines/>
        <w:wordWrap/>
        <w:jc w:val="center"/>
      </w:pPr>
      <w:rPr>
        <w:b/>
      </w:rPr>
      <w:tblPr/>
      <w:trPr>
        <w:cantSplit w:val="0"/>
        <w:tblHeader/>
      </w:trPr>
      <w:tcPr>
        <w:tcBorders>
          <w:top w:val="single" w:sz="4" w:space="0" w:color="auto"/>
          <w:left w:val="single" w:sz="4" w:space="0" w:color="auto"/>
          <w:bottom w:val="single" w:sz="12" w:space="0" w:color="auto"/>
          <w:right w:val="single" w:sz="4" w:space="0" w:color="auto"/>
          <w:insideH w:val="nil"/>
          <w:insideV w:val="nil"/>
          <w:tl2br w:val="nil"/>
          <w:tr2bl w:val="nil"/>
        </w:tcBorders>
        <w:tcMar>
          <w:top w:w="57" w:type="dxa"/>
          <w:left w:w="0" w:type="nil"/>
          <w:bottom w:w="57" w:type="dxa"/>
          <w:right w:w="0" w:type="nil"/>
        </w:tcMar>
        <w:vAlign w:val="center"/>
      </w:tcPr>
    </w:tblStylePr>
    <w:tblStylePr w:type="lastRow">
      <w:pPr>
        <w:keepNext w:val="0"/>
        <w:wordWrap/>
      </w:pPr>
    </w:tblStylePr>
    <w:tblStylePr w:type="firstCol">
      <w:rPr>
        <w:b/>
      </w:rPr>
    </w:tblStylePr>
  </w:style>
  <w:style w:type="paragraph" w:customStyle="1" w:styleId="CaptionLandscape">
    <w:name w:val="CaptionLandscape"/>
    <w:basedOn w:val="Caption"/>
    <w:qFormat/>
    <w:rsid w:val="004334D2"/>
    <w:pPr>
      <w:ind w:left="0" w:firstLine="0"/>
    </w:pPr>
  </w:style>
  <w:style w:type="character" w:customStyle="1" w:styleId="SDMParaChar">
    <w:name w:val="SDMPara Char"/>
    <w:basedOn w:val="DefaultParagraphFont"/>
    <w:link w:val="SDMPara"/>
    <w:locked/>
    <w:rsid w:val="004334D2"/>
    <w:rPr>
      <w:rFonts w:ascii="Arial" w:eastAsia="Times New Roman" w:hAnsi="Arial" w:cs="Arial"/>
      <w:sz w:val="22"/>
      <w:szCs w:val="22"/>
      <w:lang w:eastAsia="de-DE"/>
    </w:rPr>
  </w:style>
  <w:style w:type="table" w:customStyle="1" w:styleId="SDMMethTableEquationParameters1">
    <w:name w:val="SDMMethTableEquationParameters1"/>
    <w:basedOn w:val="TableNormal"/>
    <w:uiPriority w:val="99"/>
    <w:rsid w:val="004334D2"/>
    <w:rPr>
      <w:rFonts w:ascii="Arial" w:hAnsi="Arial"/>
      <w:sz w:val="22"/>
    </w:rPr>
    <w:tblPr>
      <w:tblInd w:w="680" w:type="dxa"/>
      <w:tblCellMar>
        <w:top w:w="85" w:type="dxa"/>
        <w:bottom w:w="28" w:type="dxa"/>
      </w:tblCellMar>
    </w:tblPr>
    <w:trPr>
      <w:cantSplit/>
    </w:trPr>
    <w:tcPr>
      <w:vAlign w:val="center"/>
    </w:tcPr>
  </w:style>
  <w:style w:type="character" w:styleId="Emphasis">
    <w:name w:val="Emphasis"/>
    <w:basedOn w:val="DefaultParagraphFont"/>
    <w:uiPriority w:val="20"/>
    <w:qFormat/>
    <w:rsid w:val="004334D2"/>
    <w:rPr>
      <w:i/>
      <w:iCs/>
    </w:rPr>
  </w:style>
  <w:style w:type="numbering" w:customStyle="1" w:styleId="CurrentList2">
    <w:name w:val="Current List2"/>
    <w:uiPriority w:val="99"/>
    <w:rsid w:val="0042520B"/>
    <w:pPr>
      <w:numPr>
        <w:numId w:val="25"/>
      </w:numPr>
    </w:pPr>
  </w:style>
  <w:style w:type="numbering" w:customStyle="1" w:styleId="CurrentList3">
    <w:name w:val="Current List3"/>
    <w:uiPriority w:val="99"/>
    <w:rsid w:val="0042520B"/>
    <w:pPr>
      <w:numPr>
        <w:numId w:val="46"/>
      </w:numPr>
    </w:pPr>
  </w:style>
  <w:style w:type="character" w:styleId="Mention">
    <w:name w:val="Mention"/>
    <w:basedOn w:val="DefaultParagraphFont"/>
    <w:uiPriority w:val="99"/>
    <w:unhideWhenUsed/>
    <w:rsid w:val="00D60C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80747">
      <w:bodyDiv w:val="1"/>
      <w:marLeft w:val="0"/>
      <w:marRight w:val="0"/>
      <w:marTop w:val="0"/>
      <w:marBottom w:val="0"/>
      <w:divBdr>
        <w:top w:val="none" w:sz="0" w:space="0" w:color="auto"/>
        <w:left w:val="none" w:sz="0" w:space="0" w:color="auto"/>
        <w:bottom w:val="none" w:sz="0" w:space="0" w:color="auto"/>
        <w:right w:val="none" w:sz="0" w:space="0" w:color="auto"/>
      </w:divBdr>
    </w:div>
    <w:div w:id="162429242">
      <w:bodyDiv w:val="1"/>
      <w:marLeft w:val="0"/>
      <w:marRight w:val="0"/>
      <w:marTop w:val="0"/>
      <w:marBottom w:val="0"/>
      <w:divBdr>
        <w:top w:val="none" w:sz="0" w:space="0" w:color="auto"/>
        <w:left w:val="none" w:sz="0" w:space="0" w:color="auto"/>
        <w:bottom w:val="none" w:sz="0" w:space="0" w:color="auto"/>
        <w:right w:val="none" w:sz="0" w:space="0" w:color="auto"/>
      </w:divBdr>
    </w:div>
    <w:div w:id="180248397">
      <w:bodyDiv w:val="1"/>
      <w:marLeft w:val="0"/>
      <w:marRight w:val="0"/>
      <w:marTop w:val="0"/>
      <w:marBottom w:val="0"/>
      <w:divBdr>
        <w:top w:val="none" w:sz="0" w:space="0" w:color="auto"/>
        <w:left w:val="none" w:sz="0" w:space="0" w:color="auto"/>
        <w:bottom w:val="none" w:sz="0" w:space="0" w:color="auto"/>
        <w:right w:val="none" w:sz="0" w:space="0" w:color="auto"/>
      </w:divBdr>
    </w:div>
    <w:div w:id="221256583">
      <w:bodyDiv w:val="1"/>
      <w:marLeft w:val="0"/>
      <w:marRight w:val="0"/>
      <w:marTop w:val="0"/>
      <w:marBottom w:val="0"/>
      <w:divBdr>
        <w:top w:val="none" w:sz="0" w:space="0" w:color="auto"/>
        <w:left w:val="none" w:sz="0" w:space="0" w:color="auto"/>
        <w:bottom w:val="none" w:sz="0" w:space="0" w:color="auto"/>
        <w:right w:val="none" w:sz="0" w:space="0" w:color="auto"/>
      </w:divBdr>
    </w:div>
    <w:div w:id="461928827">
      <w:bodyDiv w:val="1"/>
      <w:marLeft w:val="0"/>
      <w:marRight w:val="0"/>
      <w:marTop w:val="0"/>
      <w:marBottom w:val="0"/>
      <w:divBdr>
        <w:top w:val="none" w:sz="0" w:space="0" w:color="auto"/>
        <w:left w:val="none" w:sz="0" w:space="0" w:color="auto"/>
        <w:bottom w:val="none" w:sz="0" w:space="0" w:color="auto"/>
        <w:right w:val="none" w:sz="0" w:space="0" w:color="auto"/>
      </w:divBdr>
    </w:div>
    <w:div w:id="934942610">
      <w:bodyDiv w:val="1"/>
      <w:marLeft w:val="0"/>
      <w:marRight w:val="0"/>
      <w:marTop w:val="0"/>
      <w:marBottom w:val="0"/>
      <w:divBdr>
        <w:top w:val="none" w:sz="0" w:space="0" w:color="auto"/>
        <w:left w:val="none" w:sz="0" w:space="0" w:color="auto"/>
        <w:bottom w:val="none" w:sz="0" w:space="0" w:color="auto"/>
        <w:right w:val="none" w:sz="0" w:space="0" w:color="auto"/>
      </w:divBdr>
    </w:div>
    <w:div w:id="1245455155">
      <w:bodyDiv w:val="1"/>
      <w:marLeft w:val="0"/>
      <w:marRight w:val="0"/>
      <w:marTop w:val="0"/>
      <w:marBottom w:val="0"/>
      <w:divBdr>
        <w:top w:val="none" w:sz="0" w:space="0" w:color="auto"/>
        <w:left w:val="none" w:sz="0" w:space="0" w:color="auto"/>
        <w:bottom w:val="none" w:sz="0" w:space="0" w:color="auto"/>
        <w:right w:val="none" w:sz="0" w:space="0" w:color="auto"/>
      </w:divBdr>
    </w:div>
    <w:div w:id="1830826155">
      <w:bodyDiv w:val="1"/>
      <w:marLeft w:val="0"/>
      <w:marRight w:val="0"/>
      <w:marTop w:val="0"/>
      <w:marBottom w:val="0"/>
      <w:divBdr>
        <w:top w:val="none" w:sz="0" w:space="0" w:color="auto"/>
        <w:left w:val="none" w:sz="0" w:space="0" w:color="auto"/>
        <w:bottom w:val="none" w:sz="0" w:space="0" w:color="auto"/>
        <w:right w:val="none" w:sz="0" w:space="0" w:color="auto"/>
      </w:divBdr>
    </w:div>
    <w:div w:id="193764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2790/57624" TargetMode="Externa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28"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8" Type="http://schemas.openxmlformats.org/officeDocument/2006/relationships/hyperlink" Target="https://steelheadcomposites.com/sites/default/files/2024-01/CNG-Brochure.pdf" TargetMode="External"/><Relationship Id="rId13" Type="http://schemas.openxmlformats.org/officeDocument/2006/relationships/hyperlink" Target="https://www.cat.com/en_US/products/new/power-systems/electric-power/gas-generator-sets/15969826.html" TargetMode="External"/><Relationship Id="rId3" Type="http://schemas.openxmlformats.org/officeDocument/2006/relationships/hyperlink" Target="https://www.ipcc-nggip.iges.or.jp/public/2006gl/index.html" TargetMode="External"/><Relationship Id="rId7" Type="http://schemas.openxmlformats.org/officeDocument/2006/relationships/hyperlink" Target="https://pdf.sciencedirectassets.com/271750/1-s2.0-S0959652620X0028X/1-s2.0-S0959652620340555/am.pdf?X-Amz-Security-Token=IQoJb3JpZ2luX2VjEFsaCXVzLWVhc3QtMSJHMEUCIEkQxgygm0pT55sj0BIKSgz%2FLB5dru6zY9o18TpqjrrLAiEApIpBY7rY1FMqFn%2Fvc1gGfShyOCl%2Be7DnGHhLTnPI%2BO8qswUIZBAFGgwwNTkwMDM1NDY4NjUiDBDYYY15xgtxLJDoiSqQBShT255T4Z7gUYPI5GyOT6Zwefx%2B2cMswFnOXedF4pfiQF9fX14WVWHt9yizDdQfYzUvyu4Oy%2FA9AZSj0EAo5HQIkngQcEaGThxmoIdUtED1LmVITtkO8YaBi%2Bjj8loltldW99Rxo67QdsadQuKYD5qiXazw7k8lp%2BH4lP8Z4FRLyRyUVM1iafm%2FRoY7glS90HSIiEHLFCG91PfiCUpQdtn%2BBcUm4UKQ2XU9v5%2Bt1R6BpRI3HKnKxMONG%2Bel8SYp%2BWwIhZC22I%2FSV5zDazisOFnB4cv7XIpRekr33rv85Iu8ejXDoQp6oxuqLt3fLvpObjSq0168jIOh4rAZdXQyD2xoVaIHnMmePu581vfZ82pIZP73cIatVztrxIX0mBVQ8uDTXMwt28jMSFDQHQj%2Bu7lC4qKGePAHurmTeVctPYftmtQ7HBQ855aoynukNBEGj6F3CwYUaxaEBL7gXGMgBr8Wyr4fovChtRz5fKRsmrGlC7edEvsJ8HlI5JuonB4%2FAJbIy4zhnH%2F%2B41Y7utuKm8FK4jzeUHRlpFz7xUTco4ur2POYbQMin%2BUu7SGPftnO9SXuUZAZ8F1ShdpPxUdaRMJROFufLRV5%2FszdnWywdZsmxTAjSIT9dsirWKZ%2BqHTiO6qWMUuhpzDaG5IX48MSLGZ5VQbwvgKKow4nMJcdpXpNKxGeqOVW25VplnpWJ4fZRv3Z8qr6ucmJtiY5JeSOBoUgizptG%2BXYi4yl9T8DvZHfxyhwjKv2cxnL64JWhsY7YNrKxWt%2F7AdWt6Lfz4fDBP3%2BZPVBgps03h1vLlRNwRlGX09XNGD349IH%2BXIWKz20K7qsNNN0VMA89%2BoeHWQo6cZewjx9B9HeqVY2Ze31WXWeMMqGq8MGOrEBwJE2KBQFZ8mZEkFuUGdzqB0oJacDfL1568pxBN7S%2FHFdI3thfYI1ewvhNZgHj5IpsYYrvT0rKBYTwZJdhvkkgVnCWyqZ%2BK%2BHCSUMxXWevHbN2MOgv6RO2EvIhLLpIhYcFbZu07iOeluQNFo8XFYnhU6efp64JBbLWJiQZTmB5JivnqDvrsTJ2aTgE4iz8OFpyHig9dPEw6Yd7sKNnWNVX0L4U9TOuBIX898gSGEj%2B8v3&amp;X-Amz-Algorithm=AWS4-HMAC-SHA256&amp;X-Amz-Date=20250706T192529Z&amp;X-Amz-SignedHeaders=host&amp;X-Amz-Expires=300&amp;X-Amz-Credential=ASIAQ3PHCVTYZ74ZD3JP%2F20250706%2Fus-east-1%2Fs3%2Faws4_request&amp;X-Amz-Signature=474d14d11a3f0ed0f522867fcaa4d8e922406e81bd0e09d87dd783efaad98e67&amp;hash=4c36358b6b302d52b6601367a82c24390fb88e8d93aee8fec6aaf71a9bf8ab14&amp;host=68042c943591013ac2b2430a89b270f6af2c76d8dfd086a07176afe7c76c2c61&amp;pii=S0959652620340555&amp;tid=pdf-6d5d6eec-472b-4d35-ac86-1323dec375aa&amp;sid=60b137b34718d14d8e3841c52e99802970e5gxrqb&amp;type=client" TargetMode="External"/><Relationship Id="rId12" Type="http://schemas.openxmlformats.org/officeDocument/2006/relationships/hyperlink" Target="https://www.netl.doe.gov/projects/files/LifeCycleAnalysisofNaturalGasExtractionandPowerGenerationUS2020EmissionsProfile_121724.pdf" TargetMode="External"/><Relationship Id="rId2" Type="http://schemas.openxmlformats.org/officeDocument/2006/relationships/hyperlink" Target="https://www.ipcc-nggip.iges.or.jp/public/2019rf/index.html" TargetMode="External"/><Relationship Id="rId16" Type="http://schemas.openxmlformats.org/officeDocument/2006/relationships/hyperlink" Target="https://unece.org/sed/documents/2021/10/reports/life-cycle-assessment-electricity-generation-options" TargetMode="External"/><Relationship Id="rId1" Type="http://schemas.openxmlformats.org/officeDocument/2006/relationships/hyperlink" Target="https://unfccc.int/sites/default/files/resource/A6.4-PROC-METH-001.pdf" TargetMode="External"/><Relationship Id="rId6" Type="http://schemas.openxmlformats.org/officeDocument/2006/relationships/hyperlink" Target="https://www.youmats.com/en/plumbing/pipe-and-fittings/hdpe-pipes-and-fittings/hdpe-pipes/hdpe-pipe-pn-10-bar-pe-80-od-315-mm-black-color-alwasail-194/" TargetMode="External"/><Relationship Id="rId11" Type="http://schemas.openxmlformats.org/officeDocument/2006/relationships/hyperlink" Target="https://theicct.org/wp-content/uploads/2023/02/Lifecycle-assessment-trucks-and-buses-emissions-Europe.pdf" TargetMode="External"/><Relationship Id="rId5" Type="http://schemas.openxmlformats.org/officeDocument/2006/relationships/hyperlink" Target="https://cdm.unfccc.int/UserManagement/FileStorage/30BQNA7GEM4ZCPWI895FHDXRLJTSK6" TargetMode="External"/><Relationship Id="rId15" Type="http://schemas.openxmlformats.org/officeDocument/2006/relationships/hyperlink" Target="https://www.netl.doe.gov/projects/files/LifeCycleAnalysisofNaturalGasExtractionandPowerGenerationUS2020EmissionsProfile_121724.pdf" TargetMode="External"/><Relationship Id="rId10" Type="http://schemas.openxmlformats.org/officeDocument/2006/relationships/hyperlink" Target="https://glassfibreeurope.eu/life-cycle-assessment-of-continuous-filament-glass-fibre-products-2/" TargetMode="External"/><Relationship Id="rId4" Type="http://schemas.openxmlformats.org/officeDocument/2006/relationships/hyperlink" Target="https://unfccc.int/sites/default/files/resource/A6.4-PROC-METH-001.pdf" TargetMode="External"/><Relationship Id="rId9" Type="http://schemas.openxmlformats.org/officeDocument/2006/relationships/hyperlink" Target="https://www.sciencedirect.com/science/article/pii/S1526612523000944?ref=pdf_download&amp;fr=RR-7&amp;rr=976f1ff31c261db8" TargetMode="External"/><Relationship Id="rId14" Type="http://schemas.openxmlformats.org/officeDocument/2006/relationships/hyperlink" Target="https://cdn0.scrvt.com/2828ebc457efab95be01dd36047e3b52/8fde0b1cea96b7c1/22e104ceb3e7/Vitomax-HS-Technical-Data.PDF?utm_source=chatgpt.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programme.unfccc.int/drive/CDM/files/CDM07-Official%20Documents%20(CDM)/Templates/CDM_Methodology.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FE8D20822B425986466C78E6FCA0CB"/>
        <w:category>
          <w:name w:val="General"/>
          <w:gallery w:val="placeholder"/>
        </w:category>
        <w:types>
          <w:type w:val="bbPlcHdr"/>
        </w:types>
        <w:behaviors>
          <w:behavior w:val="content"/>
        </w:behaviors>
        <w:guid w:val="{8E1AD828-E566-4C81-919D-495C701C2483}"/>
      </w:docPartPr>
      <w:docPartBody>
        <w:p w:rsidR="00043073" w:rsidRDefault="00AC6A4D">
          <w:pPr>
            <w:pStyle w:val="3EFE8D20822B425986466C78E6FCA0CB"/>
          </w:pPr>
          <w:r>
            <w:t>222</w:t>
          </w:r>
          <w:r w:rsidRPr="008721FC">
            <w:rPr>
              <w:rStyle w:val="PlaceholderText"/>
            </w:rPr>
            <w:t>Document reference number</w:t>
          </w:r>
        </w:p>
      </w:docPartBody>
    </w:docPart>
    <w:docPart>
      <w:docPartPr>
        <w:name w:val="E93B1E96BC5A4501B0A2113687AF00EF"/>
        <w:category>
          <w:name w:val="General"/>
          <w:gallery w:val="placeholder"/>
        </w:category>
        <w:types>
          <w:type w:val="bbPlcHdr"/>
        </w:types>
        <w:behaviors>
          <w:behavior w:val="content"/>
        </w:behaviors>
        <w:guid w:val="{C0F3FAE0-6B33-4D83-A1E2-B70A3DE9AF8E}"/>
      </w:docPartPr>
      <w:docPartBody>
        <w:p w:rsidR="00043073" w:rsidRDefault="0041386E" w:rsidP="0041386E">
          <w:pPr>
            <w:pStyle w:val="E93B1E96BC5A4501B0A2113687AF00EF1"/>
          </w:pPr>
          <w:r>
            <w:t xml:space="preserve"> </w:t>
          </w:r>
          <w:r w:rsidRPr="00773362">
            <w:rPr>
              <w:rStyle w:val="PlaceholderText"/>
              <w:lang w:val="de-DE"/>
            </w:rPr>
            <w:t>Wählen Sie ein Element aus.</w:t>
          </w:r>
        </w:p>
      </w:docPartBody>
    </w:docPart>
    <w:docPart>
      <w:docPartPr>
        <w:name w:val="AD87A26D58724E2F942CCAD817C97E8F"/>
        <w:category>
          <w:name w:val="General"/>
          <w:gallery w:val="placeholder"/>
        </w:category>
        <w:types>
          <w:type w:val="bbPlcHdr"/>
        </w:types>
        <w:behaviors>
          <w:behavior w:val="content"/>
        </w:behaviors>
        <w:guid w:val="{031AD00F-E4C2-4058-9981-3ED07ECAAC38}"/>
      </w:docPartPr>
      <w:docPartBody>
        <w:p w:rsidR="00043073" w:rsidRDefault="00AC6A4D">
          <w:pPr>
            <w:pStyle w:val="AD87A26D58724E2F942CCAD817C97E8F"/>
          </w:pPr>
          <w:r w:rsidRPr="0019515F">
            <w:rPr>
              <w:rStyle w:val="PlaceholderText"/>
            </w:rPr>
            <w:t>Klicken Sie hier, um Text einzugeben.</w:t>
          </w:r>
        </w:p>
      </w:docPartBody>
    </w:docPart>
    <w:docPart>
      <w:docPartPr>
        <w:name w:val="D68848931F864742A9B659DACF5BE410"/>
        <w:category>
          <w:name w:val="General"/>
          <w:gallery w:val="placeholder"/>
        </w:category>
        <w:types>
          <w:type w:val="bbPlcHdr"/>
        </w:types>
        <w:behaviors>
          <w:behavior w:val="content"/>
        </w:behaviors>
        <w:guid w:val="{0E2B1B9E-5C0F-4A12-B8D5-90BD8B796645}"/>
      </w:docPartPr>
      <w:docPartBody>
        <w:p w:rsidR="00043073" w:rsidRDefault="00AC6A4D">
          <w:pPr>
            <w:pStyle w:val="D68848931F864742A9B659DACF5BE410"/>
          </w:pPr>
          <w:r w:rsidRPr="001B3E66">
            <w:rPr>
              <w:rStyle w:val="PlaceholderText"/>
            </w:rPr>
            <w:t>Choose an item.</w:t>
          </w:r>
        </w:p>
      </w:docPartBody>
    </w:docPart>
    <w:docPart>
      <w:docPartPr>
        <w:name w:val="5B485CEABD8340E19778624E63889857"/>
        <w:category>
          <w:name w:val="General"/>
          <w:gallery w:val="placeholder"/>
        </w:category>
        <w:types>
          <w:type w:val="bbPlcHdr"/>
        </w:types>
        <w:behaviors>
          <w:behavior w:val="content"/>
        </w:behaviors>
        <w:guid w:val="{E1753915-C4B7-4718-8F72-BC11BCCA4A4E}"/>
      </w:docPartPr>
      <w:docPartBody>
        <w:p w:rsidR="00043073" w:rsidRDefault="00AC6A4D">
          <w:pPr>
            <w:pStyle w:val="5B485CEABD8340E19778624E63889857"/>
          </w:pPr>
          <w:r w:rsidRPr="00CE2F3F">
            <w:rPr>
              <w:rStyle w:val="PlaceholderText"/>
            </w:rPr>
            <w:t>Klicken Sie hier, um Text einzugeben.</w:t>
          </w:r>
        </w:p>
      </w:docPartBody>
    </w:docPart>
    <w:docPart>
      <w:docPartPr>
        <w:name w:val="A714C4C8A5374F4EAA63E07228688AA5"/>
        <w:category>
          <w:name w:val="General"/>
          <w:gallery w:val="placeholder"/>
        </w:category>
        <w:types>
          <w:type w:val="bbPlcHdr"/>
        </w:types>
        <w:behaviors>
          <w:behavior w:val="content"/>
        </w:behaviors>
        <w:guid w:val="{600FB482-E950-4E4D-851B-844B326A3A91}"/>
      </w:docPartPr>
      <w:docPartBody>
        <w:p w:rsidR="00043073" w:rsidRDefault="00AC6A4D">
          <w:pPr>
            <w:pStyle w:val="A714C4C8A5374F4EAA63E07228688AA5"/>
          </w:pPr>
          <w:r w:rsidRPr="0019515F">
            <w:rPr>
              <w:rStyle w:val="PlaceholderText"/>
            </w:rPr>
            <w:t>Klicken Sie hier, um Text einzugeben.</w:t>
          </w:r>
        </w:p>
      </w:docPartBody>
    </w:docPart>
    <w:docPart>
      <w:docPartPr>
        <w:name w:val="98D45CA9FE7A4CCF9B4262836E7B4C42"/>
        <w:category>
          <w:name w:val="General"/>
          <w:gallery w:val="placeholder"/>
        </w:category>
        <w:types>
          <w:type w:val="bbPlcHdr"/>
        </w:types>
        <w:behaviors>
          <w:behavior w:val="content"/>
        </w:behaviors>
        <w:guid w:val="{87709516-0DCC-4E10-AEF5-805A22C3BDBD}"/>
      </w:docPartPr>
      <w:docPartBody>
        <w:p w:rsidR="00043073" w:rsidRDefault="00AC6A4D">
          <w:pPr>
            <w:pStyle w:val="98D45CA9FE7A4CCF9B4262836E7B4C42"/>
          </w:pPr>
          <w:r>
            <w:t>##.#</w:t>
          </w:r>
        </w:p>
      </w:docPartBody>
    </w:docPart>
    <w:docPart>
      <w:docPartPr>
        <w:name w:val="FB4279C3B33844FC93BCEAD6BF238C13"/>
        <w:category>
          <w:name w:val="General"/>
          <w:gallery w:val="placeholder"/>
        </w:category>
        <w:types>
          <w:type w:val="bbPlcHdr"/>
        </w:types>
        <w:behaviors>
          <w:behavior w:val="content"/>
        </w:behaviors>
        <w:guid w:val="{7BA3CD36-5470-4C97-B1F5-1785573CF114}"/>
      </w:docPartPr>
      <w:docPartBody>
        <w:p w:rsidR="0088503C" w:rsidRDefault="00AC6A4D">
          <w:pPr>
            <w:pStyle w:val="FB4279C3B33844FC93BCEAD6BF238C13"/>
          </w:pPr>
          <w:r w:rsidRPr="0019515F">
            <w:rPr>
              <w:rStyle w:val="PlaceholderText"/>
            </w:rPr>
            <w:t>Klicken Sie hier, um Text einzugeben.</w:t>
          </w:r>
        </w:p>
      </w:docPartBody>
    </w:docPart>
    <w:docPart>
      <w:docPartPr>
        <w:name w:val="5C2DA880E0194359AA4EE3369358A2D4"/>
        <w:category>
          <w:name w:val="General"/>
          <w:gallery w:val="placeholder"/>
        </w:category>
        <w:types>
          <w:type w:val="bbPlcHdr"/>
        </w:types>
        <w:behaviors>
          <w:behavior w:val="content"/>
        </w:behaviors>
        <w:guid w:val="{7191CB51-99A6-4A66-A7EC-FC88CB998AC8}"/>
      </w:docPartPr>
      <w:docPartBody>
        <w:p w:rsidR="0088503C" w:rsidRDefault="00862127">
          <w:pPr>
            <w:pStyle w:val="5C2DA880E0194359AA4EE3369358A2D4"/>
          </w:pPr>
          <w:r>
            <w:t>01.0</w:t>
          </w:r>
        </w:p>
      </w:docPartBody>
    </w:docPart>
    <w:docPart>
      <w:docPartPr>
        <w:name w:val="2245304C602A4013AD970581FDE5B9BA"/>
        <w:category>
          <w:name w:val="General"/>
          <w:gallery w:val="placeholder"/>
        </w:category>
        <w:types>
          <w:type w:val="bbPlcHdr"/>
        </w:types>
        <w:behaviors>
          <w:behavior w:val="content"/>
        </w:behaviors>
        <w:guid w:val="{DA10EC4C-FB88-4883-869F-D00E838FD575}"/>
      </w:docPartPr>
      <w:docPartBody>
        <w:p w:rsidR="0018308A" w:rsidRDefault="0018308A" w:rsidP="0018308A">
          <w:pPr>
            <w:pStyle w:val="2245304C602A4013AD970581FDE5B9BA"/>
          </w:pPr>
          <w:r>
            <w:t>222</w:t>
          </w:r>
          <w:r w:rsidRPr="008721FC">
            <w:rPr>
              <w:rStyle w:val="PlaceholderText"/>
            </w:rPr>
            <w:t>Document reference number</w:t>
          </w:r>
        </w:p>
      </w:docPartBody>
    </w:docPart>
    <w:docPart>
      <w:docPartPr>
        <w:name w:val="15672F0FB3684B0E8FB904248AC16AD3"/>
        <w:category>
          <w:name w:val="General"/>
          <w:gallery w:val="placeholder"/>
        </w:category>
        <w:types>
          <w:type w:val="bbPlcHdr"/>
        </w:types>
        <w:behaviors>
          <w:behavior w:val="content"/>
        </w:behaviors>
        <w:guid w:val="{364A3FFE-68F6-4E86-8EF5-6A8A99A8AD7D}"/>
      </w:docPartPr>
      <w:docPartBody>
        <w:p w:rsidR="0018308A" w:rsidRDefault="0018308A" w:rsidP="0018308A">
          <w:pPr>
            <w:pStyle w:val="15672F0FB3684B0E8FB904248AC16AD3"/>
          </w:pPr>
          <w:r>
            <w:t xml:space="preserve"> </w:t>
          </w:r>
          <w:r w:rsidRPr="00773362">
            <w:rPr>
              <w:rStyle w:val="PlaceholderText"/>
              <w:lang w:val="de-DE"/>
            </w:rPr>
            <w:t>Wählen Sie ein Element aus.</w:t>
          </w:r>
        </w:p>
      </w:docPartBody>
    </w:docPart>
    <w:docPart>
      <w:docPartPr>
        <w:name w:val="CDBA9E250049418788130B586EA8E1D3"/>
        <w:category>
          <w:name w:val="General"/>
          <w:gallery w:val="placeholder"/>
        </w:category>
        <w:types>
          <w:type w:val="bbPlcHdr"/>
        </w:types>
        <w:behaviors>
          <w:behavior w:val="content"/>
        </w:behaviors>
        <w:guid w:val="{A8322927-CE7D-4FF1-A197-0412F7267419}"/>
      </w:docPartPr>
      <w:docPartBody>
        <w:p w:rsidR="0018308A" w:rsidRDefault="0018308A" w:rsidP="0018308A">
          <w:pPr>
            <w:pStyle w:val="CDBA9E250049418788130B586EA8E1D3"/>
          </w:pPr>
          <w:r w:rsidRPr="0019515F">
            <w:rPr>
              <w:rStyle w:val="PlaceholderText"/>
            </w:rPr>
            <w:t>Klicken Sie hier, um Text einzugeben.</w:t>
          </w:r>
        </w:p>
      </w:docPartBody>
    </w:docPart>
    <w:docPart>
      <w:docPartPr>
        <w:name w:val="96D290DD758C47048C5E3BD7F8E95BB8"/>
        <w:category>
          <w:name w:val="General"/>
          <w:gallery w:val="placeholder"/>
        </w:category>
        <w:types>
          <w:type w:val="bbPlcHdr"/>
        </w:types>
        <w:behaviors>
          <w:behavior w:val="content"/>
        </w:behaviors>
        <w:guid w:val="{5B2369BF-D767-4671-8346-B42BC9D5503B}"/>
      </w:docPartPr>
      <w:docPartBody>
        <w:p w:rsidR="0018308A" w:rsidRDefault="0018308A" w:rsidP="0018308A">
          <w:pPr>
            <w:pStyle w:val="96D290DD758C47048C5E3BD7F8E95BB8"/>
          </w:pPr>
          <w:r w:rsidRPr="001B3E66">
            <w:rPr>
              <w:rStyle w:val="PlaceholderText"/>
            </w:rPr>
            <w:t>Choose an item.</w:t>
          </w:r>
        </w:p>
      </w:docPartBody>
    </w:docPart>
    <w:docPart>
      <w:docPartPr>
        <w:name w:val="DCBBD265982E493C8F1AFD9EB8B0DC51"/>
        <w:category>
          <w:name w:val="General"/>
          <w:gallery w:val="placeholder"/>
        </w:category>
        <w:types>
          <w:type w:val="bbPlcHdr"/>
        </w:types>
        <w:behaviors>
          <w:behavior w:val="content"/>
        </w:behaviors>
        <w:guid w:val="{50A3AF7B-9499-4DD1-88BF-54FE3C72616B}"/>
      </w:docPartPr>
      <w:docPartBody>
        <w:p w:rsidR="0018308A" w:rsidRDefault="0018308A" w:rsidP="0018308A">
          <w:pPr>
            <w:pStyle w:val="DCBBD265982E493C8F1AFD9EB8B0DC51"/>
          </w:pPr>
          <w:r w:rsidRPr="00CE2F3F">
            <w:rPr>
              <w:rStyle w:val="PlaceholderText"/>
            </w:rPr>
            <w:t>Klicken Sie hier, um Text einzugeben.</w:t>
          </w:r>
        </w:p>
      </w:docPartBody>
    </w:docPart>
    <w:docPart>
      <w:docPartPr>
        <w:name w:val="26D1C753CDA0443A8A3406353C08E60C"/>
        <w:category>
          <w:name w:val="General"/>
          <w:gallery w:val="placeholder"/>
        </w:category>
        <w:types>
          <w:type w:val="bbPlcHdr"/>
        </w:types>
        <w:behaviors>
          <w:behavior w:val="content"/>
        </w:behaviors>
        <w:guid w:val="{F9BB4B40-BF0E-4320-81CB-1E53CD99B883}"/>
      </w:docPartPr>
      <w:docPartBody>
        <w:p w:rsidR="0018308A" w:rsidRDefault="0018308A" w:rsidP="0018308A">
          <w:pPr>
            <w:pStyle w:val="26D1C753CDA0443A8A3406353C08E60C"/>
          </w:pPr>
          <w:r w:rsidRPr="0019515F">
            <w:rPr>
              <w:rStyle w:val="PlaceholderText"/>
            </w:rPr>
            <w:t>Klicken Sie hier, um Text einzugeben.</w:t>
          </w:r>
        </w:p>
      </w:docPartBody>
    </w:docPart>
    <w:docPart>
      <w:docPartPr>
        <w:name w:val="3E79C0478D3A4CFDABED0C5C33AE1C77"/>
        <w:category>
          <w:name w:val="General"/>
          <w:gallery w:val="placeholder"/>
        </w:category>
        <w:types>
          <w:type w:val="bbPlcHdr"/>
        </w:types>
        <w:behaviors>
          <w:behavior w:val="content"/>
        </w:behaviors>
        <w:guid w:val="{E1237DE8-1EF2-4951-9A20-16C0B6E14CD9}"/>
      </w:docPartPr>
      <w:docPartBody>
        <w:p w:rsidR="0018308A" w:rsidRDefault="0018308A" w:rsidP="0018308A">
          <w:pPr>
            <w:pStyle w:val="3E79C0478D3A4CFDABED0C5C33AE1C77"/>
          </w:pPr>
          <w:r w:rsidRPr="0019515F">
            <w:rPr>
              <w:rStyle w:val="PlaceholderText"/>
            </w:rPr>
            <w:t>Klicken Sie hier, um Text einzugeben.</w:t>
          </w:r>
        </w:p>
      </w:docPartBody>
    </w:docPart>
    <w:docPart>
      <w:docPartPr>
        <w:name w:val="27365F19CF3349E5989ACDF980212F16"/>
        <w:category>
          <w:name w:val="General"/>
          <w:gallery w:val="placeholder"/>
        </w:category>
        <w:types>
          <w:type w:val="bbPlcHdr"/>
        </w:types>
        <w:behaviors>
          <w:behavior w:val="content"/>
        </w:behaviors>
        <w:guid w:val="{5C2A75A1-75A9-47CA-8F15-20DB3368BC83}"/>
      </w:docPartPr>
      <w:docPartBody>
        <w:p w:rsidR="0018308A" w:rsidRDefault="0018308A" w:rsidP="0018308A">
          <w:pPr>
            <w:pStyle w:val="27365F19CF3349E5989ACDF980212F16"/>
          </w:pPr>
          <w:r>
            <w:t>##.#</w:t>
          </w:r>
        </w:p>
      </w:docPartBody>
    </w:docPart>
    <w:docPart>
      <w:docPartPr>
        <w:name w:val="B5395ABDC23B4252BD4E0465E0B735B4"/>
        <w:category>
          <w:name w:val="General"/>
          <w:gallery w:val="placeholder"/>
        </w:category>
        <w:types>
          <w:type w:val="bbPlcHdr"/>
        </w:types>
        <w:behaviors>
          <w:behavior w:val="content"/>
        </w:behaviors>
        <w:guid w:val="{5EA62811-A44A-4707-B792-1F7F39517D19}"/>
      </w:docPartPr>
      <w:docPartBody>
        <w:p w:rsidR="0018308A" w:rsidRDefault="0018308A" w:rsidP="0018308A">
          <w:pPr>
            <w:pStyle w:val="B5395ABDC23B4252BD4E0465E0B735B4"/>
          </w:pPr>
          <w:r>
            <w:t>222</w:t>
          </w:r>
          <w:r w:rsidRPr="008721FC">
            <w:rPr>
              <w:rStyle w:val="PlaceholderText"/>
            </w:rPr>
            <w:t>Document reference number</w:t>
          </w:r>
        </w:p>
      </w:docPartBody>
    </w:docPart>
    <w:docPart>
      <w:docPartPr>
        <w:name w:val="8138E8CCE36E405D8400B4670C245540"/>
        <w:category>
          <w:name w:val="General"/>
          <w:gallery w:val="placeholder"/>
        </w:category>
        <w:types>
          <w:type w:val="bbPlcHdr"/>
        </w:types>
        <w:behaviors>
          <w:behavior w:val="content"/>
        </w:behaviors>
        <w:guid w:val="{733A011B-704B-4F28-AF5B-F94B4E5D2352}"/>
      </w:docPartPr>
      <w:docPartBody>
        <w:p w:rsidR="0018308A" w:rsidRDefault="0018308A" w:rsidP="0018308A">
          <w:pPr>
            <w:pStyle w:val="8138E8CCE36E405D8400B4670C245540"/>
          </w:pPr>
          <w:r>
            <w:t xml:space="preserve"> </w:t>
          </w:r>
          <w:r w:rsidRPr="00773362">
            <w:rPr>
              <w:rStyle w:val="PlaceholderText"/>
              <w:lang w:val="de-DE"/>
            </w:rPr>
            <w:t>Wählen Sie ein Element aus.</w:t>
          </w:r>
        </w:p>
      </w:docPartBody>
    </w:docPart>
    <w:docPart>
      <w:docPartPr>
        <w:name w:val="C7174DE700544100B2DD855B355C9CB4"/>
        <w:category>
          <w:name w:val="General"/>
          <w:gallery w:val="placeholder"/>
        </w:category>
        <w:types>
          <w:type w:val="bbPlcHdr"/>
        </w:types>
        <w:behaviors>
          <w:behavior w:val="content"/>
        </w:behaviors>
        <w:guid w:val="{A41FBCCE-F0F4-4DD9-9A62-EAF9A73360C7}"/>
      </w:docPartPr>
      <w:docPartBody>
        <w:p w:rsidR="0018308A" w:rsidRDefault="0018308A" w:rsidP="0018308A">
          <w:pPr>
            <w:pStyle w:val="C7174DE700544100B2DD855B355C9CB4"/>
          </w:pPr>
          <w:r w:rsidRPr="0019515F">
            <w:rPr>
              <w:rStyle w:val="PlaceholderText"/>
            </w:rPr>
            <w:t>Klicken Sie hier, um Text einzugeben.</w:t>
          </w:r>
        </w:p>
      </w:docPartBody>
    </w:docPart>
    <w:docPart>
      <w:docPartPr>
        <w:name w:val="BAC279821CA249468518131A79D8DA64"/>
        <w:category>
          <w:name w:val="General"/>
          <w:gallery w:val="placeholder"/>
        </w:category>
        <w:types>
          <w:type w:val="bbPlcHdr"/>
        </w:types>
        <w:behaviors>
          <w:behavior w:val="content"/>
        </w:behaviors>
        <w:guid w:val="{EE60276B-CB54-41D7-AE0E-6553B2053D96}"/>
      </w:docPartPr>
      <w:docPartBody>
        <w:p w:rsidR="0018308A" w:rsidRDefault="0018308A" w:rsidP="0018308A">
          <w:pPr>
            <w:pStyle w:val="BAC279821CA249468518131A79D8DA64"/>
          </w:pPr>
          <w:r w:rsidRPr="001B3E66">
            <w:rPr>
              <w:rStyle w:val="PlaceholderText"/>
            </w:rPr>
            <w:t>Choose an item.</w:t>
          </w:r>
        </w:p>
      </w:docPartBody>
    </w:docPart>
    <w:docPart>
      <w:docPartPr>
        <w:name w:val="DD2203224B454A25A4E57F5AAF604D9E"/>
        <w:category>
          <w:name w:val="General"/>
          <w:gallery w:val="placeholder"/>
        </w:category>
        <w:types>
          <w:type w:val="bbPlcHdr"/>
        </w:types>
        <w:behaviors>
          <w:behavior w:val="content"/>
        </w:behaviors>
        <w:guid w:val="{39C07FBE-9DB8-42D1-8D19-DDF4902C518F}"/>
      </w:docPartPr>
      <w:docPartBody>
        <w:p w:rsidR="0018308A" w:rsidRDefault="0018308A" w:rsidP="0018308A">
          <w:pPr>
            <w:pStyle w:val="DD2203224B454A25A4E57F5AAF604D9E"/>
          </w:pPr>
          <w:r w:rsidRPr="00CE2F3F">
            <w:rPr>
              <w:rStyle w:val="PlaceholderText"/>
            </w:rPr>
            <w:t>Klicken Sie hier, um Text einzugeben.</w:t>
          </w:r>
        </w:p>
      </w:docPartBody>
    </w:docPart>
    <w:docPart>
      <w:docPartPr>
        <w:name w:val="E96B210430C2426DABF216C2D4FB6766"/>
        <w:category>
          <w:name w:val="General"/>
          <w:gallery w:val="placeholder"/>
        </w:category>
        <w:types>
          <w:type w:val="bbPlcHdr"/>
        </w:types>
        <w:behaviors>
          <w:behavior w:val="content"/>
        </w:behaviors>
        <w:guid w:val="{F6C72A8F-1D2A-4E7B-82B0-F9C1F4D241F3}"/>
      </w:docPartPr>
      <w:docPartBody>
        <w:p w:rsidR="0018308A" w:rsidRDefault="0018308A" w:rsidP="0018308A">
          <w:pPr>
            <w:pStyle w:val="E96B210430C2426DABF216C2D4FB6766"/>
          </w:pPr>
          <w:r w:rsidRPr="0019515F">
            <w:rPr>
              <w:rStyle w:val="PlaceholderText"/>
            </w:rPr>
            <w:t>Klicken Sie hier, um Text einzugeben.</w:t>
          </w:r>
        </w:p>
      </w:docPartBody>
    </w:docPart>
    <w:docPart>
      <w:docPartPr>
        <w:name w:val="25D1F9D9E8C6458E8C99ABC9896B5528"/>
        <w:category>
          <w:name w:val="General"/>
          <w:gallery w:val="placeholder"/>
        </w:category>
        <w:types>
          <w:type w:val="bbPlcHdr"/>
        </w:types>
        <w:behaviors>
          <w:behavior w:val="content"/>
        </w:behaviors>
        <w:guid w:val="{82B96289-9663-4249-A701-4A757A61F92E}"/>
      </w:docPartPr>
      <w:docPartBody>
        <w:p w:rsidR="0018308A" w:rsidRDefault="0018308A" w:rsidP="0018308A">
          <w:pPr>
            <w:pStyle w:val="25D1F9D9E8C6458E8C99ABC9896B5528"/>
          </w:pPr>
          <w:r w:rsidRPr="0019515F">
            <w:rPr>
              <w:rStyle w:val="PlaceholderText"/>
            </w:rPr>
            <w:t>Klicken Sie hier, um Text einzugeben.</w:t>
          </w:r>
        </w:p>
      </w:docPartBody>
    </w:docPart>
    <w:docPart>
      <w:docPartPr>
        <w:name w:val="11768F9306D14B0EA2811BFBF216F683"/>
        <w:category>
          <w:name w:val="General"/>
          <w:gallery w:val="placeholder"/>
        </w:category>
        <w:types>
          <w:type w:val="bbPlcHdr"/>
        </w:types>
        <w:behaviors>
          <w:behavior w:val="content"/>
        </w:behaviors>
        <w:guid w:val="{87844505-671D-4EA1-AC62-73C2852F2031}"/>
      </w:docPartPr>
      <w:docPartBody>
        <w:p w:rsidR="0018308A" w:rsidRDefault="0018308A" w:rsidP="0018308A">
          <w:pPr>
            <w:pStyle w:val="11768F9306D14B0EA2811BFBF216F683"/>
          </w:pPr>
          <w:r>
            <w:t>##.#</w:t>
          </w:r>
        </w:p>
      </w:docPartBody>
    </w:docPart>
    <w:docPart>
      <w:docPartPr>
        <w:name w:val="DE2F1AB5209C4421B8BE0597A39D0AA5"/>
        <w:category>
          <w:name w:val="General"/>
          <w:gallery w:val="placeholder"/>
        </w:category>
        <w:types>
          <w:type w:val="bbPlcHdr"/>
        </w:types>
        <w:behaviors>
          <w:behavior w:val="content"/>
        </w:behaviors>
        <w:guid w:val="{F2E40487-8533-4F87-B83C-163808BED553}"/>
      </w:docPartPr>
      <w:docPartBody>
        <w:p w:rsidR="0018308A" w:rsidRDefault="0018308A" w:rsidP="0018308A">
          <w:pPr>
            <w:pStyle w:val="DE2F1AB5209C4421B8BE0597A39D0AA5"/>
          </w:pPr>
          <w:r>
            <w:t>222</w:t>
          </w:r>
          <w:r w:rsidRPr="008721FC">
            <w:rPr>
              <w:rStyle w:val="PlaceholderText"/>
            </w:rPr>
            <w:t>Document reference number</w:t>
          </w:r>
        </w:p>
      </w:docPartBody>
    </w:docPart>
    <w:docPart>
      <w:docPartPr>
        <w:name w:val="44770E4691EB43C6BF504932E59DA18D"/>
        <w:category>
          <w:name w:val="General"/>
          <w:gallery w:val="placeholder"/>
        </w:category>
        <w:types>
          <w:type w:val="bbPlcHdr"/>
        </w:types>
        <w:behaviors>
          <w:behavior w:val="content"/>
        </w:behaviors>
        <w:guid w:val="{BA2DD45F-B13D-4479-8057-96B8E9F61B45}"/>
      </w:docPartPr>
      <w:docPartBody>
        <w:p w:rsidR="0018308A" w:rsidRDefault="0018308A" w:rsidP="0018308A">
          <w:pPr>
            <w:pStyle w:val="44770E4691EB43C6BF504932E59DA18D"/>
          </w:pPr>
          <w:r>
            <w:t xml:space="preserve"> </w:t>
          </w:r>
          <w:r w:rsidRPr="00773362">
            <w:rPr>
              <w:rStyle w:val="PlaceholderText"/>
              <w:lang w:val="de-DE"/>
            </w:rPr>
            <w:t>Wählen Sie ein Element aus.</w:t>
          </w:r>
        </w:p>
      </w:docPartBody>
    </w:docPart>
    <w:docPart>
      <w:docPartPr>
        <w:name w:val="F0AB015E7B884C3783A519A5C759DC2A"/>
        <w:category>
          <w:name w:val="General"/>
          <w:gallery w:val="placeholder"/>
        </w:category>
        <w:types>
          <w:type w:val="bbPlcHdr"/>
        </w:types>
        <w:behaviors>
          <w:behavior w:val="content"/>
        </w:behaviors>
        <w:guid w:val="{3556BF03-4304-436F-B253-6C3610FED22E}"/>
      </w:docPartPr>
      <w:docPartBody>
        <w:p w:rsidR="0018308A" w:rsidRDefault="0018308A" w:rsidP="0018308A">
          <w:pPr>
            <w:pStyle w:val="F0AB015E7B884C3783A519A5C759DC2A"/>
          </w:pPr>
          <w:r w:rsidRPr="0019515F">
            <w:rPr>
              <w:rStyle w:val="PlaceholderText"/>
            </w:rPr>
            <w:t>Klicken Sie hier, um Text einzugeben.</w:t>
          </w:r>
        </w:p>
      </w:docPartBody>
    </w:docPart>
    <w:docPart>
      <w:docPartPr>
        <w:name w:val="3FF4169EE5E549F9AC2E8BC7599530E5"/>
        <w:category>
          <w:name w:val="General"/>
          <w:gallery w:val="placeholder"/>
        </w:category>
        <w:types>
          <w:type w:val="bbPlcHdr"/>
        </w:types>
        <w:behaviors>
          <w:behavior w:val="content"/>
        </w:behaviors>
        <w:guid w:val="{521BAC18-7195-49D3-A66B-7203FFC412F5}"/>
      </w:docPartPr>
      <w:docPartBody>
        <w:p w:rsidR="0018308A" w:rsidRDefault="0018308A" w:rsidP="0018308A">
          <w:pPr>
            <w:pStyle w:val="3FF4169EE5E549F9AC2E8BC7599530E5"/>
          </w:pPr>
          <w:r w:rsidRPr="001B3E66">
            <w:rPr>
              <w:rStyle w:val="PlaceholderText"/>
            </w:rPr>
            <w:t>Choose an item.</w:t>
          </w:r>
        </w:p>
      </w:docPartBody>
    </w:docPart>
    <w:docPart>
      <w:docPartPr>
        <w:name w:val="C690422570A94C23BA32C16C8B668977"/>
        <w:category>
          <w:name w:val="General"/>
          <w:gallery w:val="placeholder"/>
        </w:category>
        <w:types>
          <w:type w:val="bbPlcHdr"/>
        </w:types>
        <w:behaviors>
          <w:behavior w:val="content"/>
        </w:behaviors>
        <w:guid w:val="{7EEBA20F-3FA7-4EB7-91C3-B7A44EFC7396}"/>
      </w:docPartPr>
      <w:docPartBody>
        <w:p w:rsidR="0018308A" w:rsidRDefault="0018308A" w:rsidP="0018308A">
          <w:pPr>
            <w:pStyle w:val="C690422570A94C23BA32C16C8B668977"/>
          </w:pPr>
          <w:r w:rsidRPr="00CE2F3F">
            <w:rPr>
              <w:rStyle w:val="PlaceholderText"/>
            </w:rPr>
            <w:t>Klicken Sie hier, um Text einzugeben.</w:t>
          </w:r>
        </w:p>
      </w:docPartBody>
    </w:docPart>
    <w:docPart>
      <w:docPartPr>
        <w:name w:val="2BF933870A704C1FA8FD2708280A78A2"/>
        <w:category>
          <w:name w:val="General"/>
          <w:gallery w:val="placeholder"/>
        </w:category>
        <w:types>
          <w:type w:val="bbPlcHdr"/>
        </w:types>
        <w:behaviors>
          <w:behavior w:val="content"/>
        </w:behaviors>
        <w:guid w:val="{7E19BB0A-BFDF-43D6-9CC6-5F47D3F62FC0}"/>
      </w:docPartPr>
      <w:docPartBody>
        <w:p w:rsidR="0018308A" w:rsidRDefault="0018308A" w:rsidP="0018308A">
          <w:pPr>
            <w:pStyle w:val="2BF933870A704C1FA8FD2708280A78A2"/>
          </w:pPr>
          <w:r w:rsidRPr="0019515F">
            <w:rPr>
              <w:rStyle w:val="PlaceholderText"/>
            </w:rPr>
            <w:t>Klicken Sie hier, um Text einzugeben.</w:t>
          </w:r>
        </w:p>
      </w:docPartBody>
    </w:docPart>
    <w:docPart>
      <w:docPartPr>
        <w:name w:val="EA2CA3F239B648EDBD6CA899019D9B77"/>
        <w:category>
          <w:name w:val="General"/>
          <w:gallery w:val="placeholder"/>
        </w:category>
        <w:types>
          <w:type w:val="bbPlcHdr"/>
        </w:types>
        <w:behaviors>
          <w:behavior w:val="content"/>
        </w:behaviors>
        <w:guid w:val="{3E5F1E66-FB86-46DD-9C6B-B3C3C9BFCAE5}"/>
      </w:docPartPr>
      <w:docPartBody>
        <w:p w:rsidR="0018308A" w:rsidRDefault="0018308A" w:rsidP="0018308A">
          <w:pPr>
            <w:pStyle w:val="EA2CA3F239B648EDBD6CA899019D9B77"/>
          </w:pPr>
          <w:r w:rsidRPr="0019515F">
            <w:rPr>
              <w:rStyle w:val="PlaceholderText"/>
            </w:rPr>
            <w:t>Klicken Sie hier, um Text einzugeben.</w:t>
          </w:r>
        </w:p>
      </w:docPartBody>
    </w:docPart>
    <w:docPart>
      <w:docPartPr>
        <w:name w:val="83AE9B1AB2864811BF04238ABEAC3F53"/>
        <w:category>
          <w:name w:val="General"/>
          <w:gallery w:val="placeholder"/>
        </w:category>
        <w:types>
          <w:type w:val="bbPlcHdr"/>
        </w:types>
        <w:behaviors>
          <w:behavior w:val="content"/>
        </w:behaviors>
        <w:guid w:val="{FC21AF23-5B02-4A45-B712-AFBD2707B61C}"/>
      </w:docPartPr>
      <w:docPartBody>
        <w:p w:rsidR="0018308A" w:rsidRDefault="0018308A" w:rsidP="0018308A">
          <w:pPr>
            <w:pStyle w:val="83AE9B1AB2864811BF04238ABEAC3F53"/>
          </w:pPr>
          <w:r>
            <w:t>##.#</w:t>
          </w:r>
        </w:p>
      </w:docPartBody>
    </w:docPart>
    <w:docPart>
      <w:docPartPr>
        <w:name w:val="40665F6940BA4213AC3CB247A1BC7268"/>
        <w:category>
          <w:name w:val="General"/>
          <w:gallery w:val="placeholder"/>
        </w:category>
        <w:types>
          <w:type w:val="bbPlcHdr"/>
        </w:types>
        <w:behaviors>
          <w:behavior w:val="content"/>
        </w:behaviors>
        <w:guid w:val="{86209BB1-FFB3-490A-9449-E4FD08F526F5}"/>
      </w:docPartPr>
      <w:docPartBody>
        <w:p w:rsidR="0018308A" w:rsidRDefault="0018308A" w:rsidP="0018308A">
          <w:pPr>
            <w:pStyle w:val="40665F6940BA4213AC3CB247A1BC7268"/>
          </w:pPr>
          <w:r>
            <w:t>222</w:t>
          </w:r>
          <w:r w:rsidRPr="008721FC">
            <w:rPr>
              <w:rStyle w:val="PlaceholderText"/>
            </w:rPr>
            <w:t>Document reference number</w:t>
          </w:r>
        </w:p>
      </w:docPartBody>
    </w:docPart>
    <w:docPart>
      <w:docPartPr>
        <w:name w:val="0122CC92F27845C2BF976442530E5E34"/>
        <w:category>
          <w:name w:val="General"/>
          <w:gallery w:val="placeholder"/>
        </w:category>
        <w:types>
          <w:type w:val="bbPlcHdr"/>
        </w:types>
        <w:behaviors>
          <w:behavior w:val="content"/>
        </w:behaviors>
        <w:guid w:val="{734E2A63-7DD9-4F80-9AB9-3440F8433E6A}"/>
      </w:docPartPr>
      <w:docPartBody>
        <w:p w:rsidR="0018308A" w:rsidRDefault="0018308A" w:rsidP="0018308A">
          <w:pPr>
            <w:pStyle w:val="0122CC92F27845C2BF976442530E5E34"/>
          </w:pPr>
          <w:r>
            <w:t xml:space="preserve"> </w:t>
          </w:r>
          <w:r w:rsidRPr="00773362">
            <w:rPr>
              <w:rStyle w:val="PlaceholderText"/>
              <w:lang w:val="de-DE"/>
            </w:rPr>
            <w:t>Wählen Sie ein Element aus.</w:t>
          </w:r>
        </w:p>
      </w:docPartBody>
    </w:docPart>
    <w:docPart>
      <w:docPartPr>
        <w:name w:val="D9E73AD14C034A80898617C52086267E"/>
        <w:category>
          <w:name w:val="General"/>
          <w:gallery w:val="placeholder"/>
        </w:category>
        <w:types>
          <w:type w:val="bbPlcHdr"/>
        </w:types>
        <w:behaviors>
          <w:behavior w:val="content"/>
        </w:behaviors>
        <w:guid w:val="{AA5AB302-FD98-4BE0-94AB-FB73E5C00A76}"/>
      </w:docPartPr>
      <w:docPartBody>
        <w:p w:rsidR="0018308A" w:rsidRDefault="0018308A" w:rsidP="0018308A">
          <w:pPr>
            <w:pStyle w:val="D9E73AD14C034A80898617C52086267E"/>
          </w:pPr>
          <w:r w:rsidRPr="0019515F">
            <w:rPr>
              <w:rStyle w:val="PlaceholderText"/>
            </w:rPr>
            <w:t>Klicken Sie hier, um Text einzugeben.</w:t>
          </w:r>
        </w:p>
      </w:docPartBody>
    </w:docPart>
    <w:docPart>
      <w:docPartPr>
        <w:name w:val="6DF20B8ED8214A5E992409B2213B8BF2"/>
        <w:category>
          <w:name w:val="General"/>
          <w:gallery w:val="placeholder"/>
        </w:category>
        <w:types>
          <w:type w:val="bbPlcHdr"/>
        </w:types>
        <w:behaviors>
          <w:behavior w:val="content"/>
        </w:behaviors>
        <w:guid w:val="{AC058E6D-B381-4789-A022-820DDBF2B158}"/>
      </w:docPartPr>
      <w:docPartBody>
        <w:p w:rsidR="0018308A" w:rsidRDefault="0018308A" w:rsidP="0018308A">
          <w:pPr>
            <w:pStyle w:val="6DF20B8ED8214A5E992409B2213B8BF2"/>
          </w:pPr>
          <w:r w:rsidRPr="001B3E66">
            <w:rPr>
              <w:rStyle w:val="PlaceholderText"/>
            </w:rPr>
            <w:t>Choose an item.</w:t>
          </w:r>
        </w:p>
      </w:docPartBody>
    </w:docPart>
    <w:docPart>
      <w:docPartPr>
        <w:name w:val="173A830821014E009F380085C0C7CC31"/>
        <w:category>
          <w:name w:val="General"/>
          <w:gallery w:val="placeholder"/>
        </w:category>
        <w:types>
          <w:type w:val="bbPlcHdr"/>
        </w:types>
        <w:behaviors>
          <w:behavior w:val="content"/>
        </w:behaviors>
        <w:guid w:val="{4C322D94-45DC-4472-80E9-54FCB550DE0D}"/>
      </w:docPartPr>
      <w:docPartBody>
        <w:p w:rsidR="0018308A" w:rsidRDefault="0018308A" w:rsidP="0018308A">
          <w:pPr>
            <w:pStyle w:val="173A830821014E009F380085C0C7CC31"/>
          </w:pPr>
          <w:r w:rsidRPr="00CE2F3F">
            <w:rPr>
              <w:rStyle w:val="PlaceholderText"/>
            </w:rPr>
            <w:t>Klicken Sie hier, um Text einzugeben.</w:t>
          </w:r>
        </w:p>
      </w:docPartBody>
    </w:docPart>
    <w:docPart>
      <w:docPartPr>
        <w:name w:val="E963F5C5AE414725A15D75EF37A6ABC0"/>
        <w:category>
          <w:name w:val="General"/>
          <w:gallery w:val="placeholder"/>
        </w:category>
        <w:types>
          <w:type w:val="bbPlcHdr"/>
        </w:types>
        <w:behaviors>
          <w:behavior w:val="content"/>
        </w:behaviors>
        <w:guid w:val="{AC5F86A5-75C0-4E78-A846-70BF647D5875}"/>
      </w:docPartPr>
      <w:docPartBody>
        <w:p w:rsidR="0018308A" w:rsidRDefault="0018308A" w:rsidP="0018308A">
          <w:pPr>
            <w:pStyle w:val="E963F5C5AE414725A15D75EF37A6ABC0"/>
          </w:pPr>
          <w:r w:rsidRPr="0019515F">
            <w:rPr>
              <w:rStyle w:val="PlaceholderText"/>
            </w:rPr>
            <w:t>Klicken Sie hier, um Text einzugeben.</w:t>
          </w:r>
        </w:p>
      </w:docPartBody>
    </w:docPart>
    <w:docPart>
      <w:docPartPr>
        <w:name w:val="69BFD10F782D4BD0AD9866C87D0C94F0"/>
        <w:category>
          <w:name w:val="General"/>
          <w:gallery w:val="placeholder"/>
        </w:category>
        <w:types>
          <w:type w:val="bbPlcHdr"/>
        </w:types>
        <w:behaviors>
          <w:behavior w:val="content"/>
        </w:behaviors>
        <w:guid w:val="{DBB9ABE2-0268-4406-9C1F-F7FA183B4918}"/>
      </w:docPartPr>
      <w:docPartBody>
        <w:p w:rsidR="0018308A" w:rsidRDefault="0018308A" w:rsidP="0018308A">
          <w:pPr>
            <w:pStyle w:val="69BFD10F782D4BD0AD9866C87D0C94F0"/>
          </w:pPr>
          <w:r w:rsidRPr="0019515F">
            <w:rPr>
              <w:rStyle w:val="PlaceholderText"/>
            </w:rPr>
            <w:t>Klicken Sie hier, um Text einzugeben.</w:t>
          </w:r>
        </w:p>
      </w:docPartBody>
    </w:docPart>
    <w:docPart>
      <w:docPartPr>
        <w:name w:val="5C98AEA6643540378656BEAB3E219314"/>
        <w:category>
          <w:name w:val="General"/>
          <w:gallery w:val="placeholder"/>
        </w:category>
        <w:types>
          <w:type w:val="bbPlcHdr"/>
        </w:types>
        <w:behaviors>
          <w:behavior w:val="content"/>
        </w:behaviors>
        <w:guid w:val="{14768150-FBC3-4A70-8FE0-D4668E9C0868}"/>
      </w:docPartPr>
      <w:docPartBody>
        <w:p w:rsidR="0018308A" w:rsidRDefault="0018308A" w:rsidP="0018308A">
          <w:pPr>
            <w:pStyle w:val="5C98AEA6643540378656BEAB3E219314"/>
          </w:pPr>
          <w:r>
            <w:t>##.#</w:t>
          </w:r>
        </w:p>
      </w:docPartBody>
    </w:docPart>
    <w:docPart>
      <w:docPartPr>
        <w:name w:val="81674C74A4814F2F8A282673C47F12EA"/>
        <w:category>
          <w:name w:val="General"/>
          <w:gallery w:val="placeholder"/>
        </w:category>
        <w:types>
          <w:type w:val="bbPlcHdr"/>
        </w:types>
        <w:behaviors>
          <w:behavior w:val="content"/>
        </w:behaviors>
        <w:guid w:val="{64414C8C-1F6B-4797-B58C-9E9780220A31}"/>
      </w:docPartPr>
      <w:docPartBody>
        <w:p w:rsidR="0018308A" w:rsidRDefault="0018308A" w:rsidP="0018308A">
          <w:pPr>
            <w:pStyle w:val="81674C74A4814F2F8A282673C47F12EA"/>
          </w:pPr>
          <w:r>
            <w:t>222</w:t>
          </w:r>
          <w:r w:rsidRPr="008721FC">
            <w:rPr>
              <w:rStyle w:val="PlaceholderText"/>
            </w:rPr>
            <w:t>Document reference number</w:t>
          </w:r>
        </w:p>
      </w:docPartBody>
    </w:docPart>
    <w:docPart>
      <w:docPartPr>
        <w:name w:val="A87C1F91FAED45E7B27320FEDB8005B4"/>
        <w:category>
          <w:name w:val="General"/>
          <w:gallery w:val="placeholder"/>
        </w:category>
        <w:types>
          <w:type w:val="bbPlcHdr"/>
        </w:types>
        <w:behaviors>
          <w:behavior w:val="content"/>
        </w:behaviors>
        <w:guid w:val="{F10288D8-9D89-449F-9CFC-D025B0B6D78C}"/>
      </w:docPartPr>
      <w:docPartBody>
        <w:p w:rsidR="0018308A" w:rsidRDefault="0018308A" w:rsidP="0018308A">
          <w:pPr>
            <w:pStyle w:val="A87C1F91FAED45E7B27320FEDB8005B4"/>
          </w:pPr>
          <w:r>
            <w:t xml:space="preserve"> </w:t>
          </w:r>
          <w:r w:rsidRPr="00773362">
            <w:rPr>
              <w:rStyle w:val="PlaceholderText"/>
              <w:lang w:val="de-DE"/>
            </w:rPr>
            <w:t>Wählen Sie ein Element aus.</w:t>
          </w:r>
        </w:p>
      </w:docPartBody>
    </w:docPart>
    <w:docPart>
      <w:docPartPr>
        <w:name w:val="8EDACB43AA9F4343AD31F29EEC12A8D3"/>
        <w:category>
          <w:name w:val="General"/>
          <w:gallery w:val="placeholder"/>
        </w:category>
        <w:types>
          <w:type w:val="bbPlcHdr"/>
        </w:types>
        <w:behaviors>
          <w:behavior w:val="content"/>
        </w:behaviors>
        <w:guid w:val="{270FF013-55A7-462C-AE8B-ADBF753B5028}"/>
      </w:docPartPr>
      <w:docPartBody>
        <w:p w:rsidR="0018308A" w:rsidRDefault="0018308A" w:rsidP="0018308A">
          <w:pPr>
            <w:pStyle w:val="8EDACB43AA9F4343AD31F29EEC12A8D3"/>
          </w:pPr>
          <w:r w:rsidRPr="0019515F">
            <w:rPr>
              <w:rStyle w:val="PlaceholderText"/>
            </w:rPr>
            <w:t>Klicken Sie hier, um Text einzugeben.</w:t>
          </w:r>
        </w:p>
      </w:docPartBody>
    </w:docPart>
    <w:docPart>
      <w:docPartPr>
        <w:name w:val="67948CD731014A4EBB9F05E7ADBEB811"/>
        <w:category>
          <w:name w:val="General"/>
          <w:gallery w:val="placeholder"/>
        </w:category>
        <w:types>
          <w:type w:val="bbPlcHdr"/>
        </w:types>
        <w:behaviors>
          <w:behavior w:val="content"/>
        </w:behaviors>
        <w:guid w:val="{513BED93-C7A9-4360-838D-09BE9A7FEBB8}"/>
      </w:docPartPr>
      <w:docPartBody>
        <w:p w:rsidR="0018308A" w:rsidRDefault="0018308A" w:rsidP="0018308A">
          <w:pPr>
            <w:pStyle w:val="67948CD731014A4EBB9F05E7ADBEB811"/>
          </w:pPr>
          <w:r w:rsidRPr="001B3E66">
            <w:rPr>
              <w:rStyle w:val="PlaceholderText"/>
            </w:rPr>
            <w:t>Choose an item.</w:t>
          </w:r>
        </w:p>
      </w:docPartBody>
    </w:docPart>
    <w:docPart>
      <w:docPartPr>
        <w:name w:val="8EF28E9250784A69AB7427EF32F2B2D8"/>
        <w:category>
          <w:name w:val="General"/>
          <w:gallery w:val="placeholder"/>
        </w:category>
        <w:types>
          <w:type w:val="bbPlcHdr"/>
        </w:types>
        <w:behaviors>
          <w:behavior w:val="content"/>
        </w:behaviors>
        <w:guid w:val="{43EEB28C-13EB-4558-BA3B-1E74A740D16D}"/>
      </w:docPartPr>
      <w:docPartBody>
        <w:p w:rsidR="0018308A" w:rsidRDefault="0018308A" w:rsidP="0018308A">
          <w:pPr>
            <w:pStyle w:val="8EF28E9250784A69AB7427EF32F2B2D8"/>
          </w:pPr>
          <w:r w:rsidRPr="00CE2F3F">
            <w:rPr>
              <w:rStyle w:val="PlaceholderText"/>
            </w:rPr>
            <w:t>Klicken Sie hier, um Text einzugeben.</w:t>
          </w:r>
        </w:p>
      </w:docPartBody>
    </w:docPart>
    <w:docPart>
      <w:docPartPr>
        <w:name w:val="7DA063DD16A347BDB9DF8920848732D9"/>
        <w:category>
          <w:name w:val="General"/>
          <w:gallery w:val="placeholder"/>
        </w:category>
        <w:types>
          <w:type w:val="bbPlcHdr"/>
        </w:types>
        <w:behaviors>
          <w:behavior w:val="content"/>
        </w:behaviors>
        <w:guid w:val="{BFF5B226-59EA-48F9-8EF6-1AD70EAA8F03}"/>
      </w:docPartPr>
      <w:docPartBody>
        <w:p w:rsidR="0018308A" w:rsidRDefault="0018308A" w:rsidP="0018308A">
          <w:pPr>
            <w:pStyle w:val="7DA063DD16A347BDB9DF8920848732D9"/>
          </w:pPr>
          <w:r w:rsidRPr="0019515F">
            <w:rPr>
              <w:rStyle w:val="PlaceholderText"/>
            </w:rPr>
            <w:t>Klicken Sie hier, um Text einzugeben.</w:t>
          </w:r>
        </w:p>
      </w:docPartBody>
    </w:docPart>
    <w:docPart>
      <w:docPartPr>
        <w:name w:val="99C6C991C029490B817A296C6DA050EB"/>
        <w:category>
          <w:name w:val="General"/>
          <w:gallery w:val="placeholder"/>
        </w:category>
        <w:types>
          <w:type w:val="bbPlcHdr"/>
        </w:types>
        <w:behaviors>
          <w:behavior w:val="content"/>
        </w:behaviors>
        <w:guid w:val="{C40206C8-A617-4010-9CFE-E17B7CD8961F}"/>
      </w:docPartPr>
      <w:docPartBody>
        <w:p w:rsidR="0018308A" w:rsidRDefault="0018308A" w:rsidP="0018308A">
          <w:pPr>
            <w:pStyle w:val="99C6C991C029490B817A296C6DA050EB"/>
          </w:pPr>
          <w:r w:rsidRPr="0019515F">
            <w:rPr>
              <w:rStyle w:val="PlaceholderText"/>
            </w:rPr>
            <w:t>Klicken Sie hier, um Text einzugeben.</w:t>
          </w:r>
        </w:p>
      </w:docPartBody>
    </w:docPart>
    <w:docPart>
      <w:docPartPr>
        <w:name w:val="8C99AF900A9C48EF9142F7A36620C6E4"/>
        <w:category>
          <w:name w:val="General"/>
          <w:gallery w:val="placeholder"/>
        </w:category>
        <w:types>
          <w:type w:val="bbPlcHdr"/>
        </w:types>
        <w:behaviors>
          <w:behavior w:val="content"/>
        </w:behaviors>
        <w:guid w:val="{2A0A5DBD-B7F7-49F2-A68F-E372AA8C86E9}"/>
      </w:docPartPr>
      <w:docPartBody>
        <w:p w:rsidR="0018308A" w:rsidRDefault="0018308A" w:rsidP="0018308A">
          <w:pPr>
            <w:pStyle w:val="8C99AF900A9C48EF9142F7A36620C6E4"/>
          </w:pP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A4D"/>
    <w:rsid w:val="000302F0"/>
    <w:rsid w:val="00043073"/>
    <w:rsid w:val="0010367C"/>
    <w:rsid w:val="001061F9"/>
    <w:rsid w:val="00122274"/>
    <w:rsid w:val="00132C26"/>
    <w:rsid w:val="0018308A"/>
    <w:rsid w:val="001A32F5"/>
    <w:rsid w:val="001B16B9"/>
    <w:rsid w:val="001E44E1"/>
    <w:rsid w:val="001F13B5"/>
    <w:rsid w:val="002B1C85"/>
    <w:rsid w:val="002D36FE"/>
    <w:rsid w:val="002E5B35"/>
    <w:rsid w:val="0030352A"/>
    <w:rsid w:val="003252C6"/>
    <w:rsid w:val="0033462C"/>
    <w:rsid w:val="00335910"/>
    <w:rsid w:val="00367113"/>
    <w:rsid w:val="00367E8D"/>
    <w:rsid w:val="00376F3E"/>
    <w:rsid w:val="003A09F2"/>
    <w:rsid w:val="003A2545"/>
    <w:rsid w:val="003B5735"/>
    <w:rsid w:val="003E0E48"/>
    <w:rsid w:val="00410CC2"/>
    <w:rsid w:val="0041386E"/>
    <w:rsid w:val="004375B4"/>
    <w:rsid w:val="00480E71"/>
    <w:rsid w:val="00492DBB"/>
    <w:rsid w:val="004B3389"/>
    <w:rsid w:val="004B6CD1"/>
    <w:rsid w:val="004D7DE6"/>
    <w:rsid w:val="004E5F35"/>
    <w:rsid w:val="004F4057"/>
    <w:rsid w:val="004F4A6F"/>
    <w:rsid w:val="005626F0"/>
    <w:rsid w:val="005B2317"/>
    <w:rsid w:val="005F0B59"/>
    <w:rsid w:val="0060154E"/>
    <w:rsid w:val="00604E6F"/>
    <w:rsid w:val="006334EE"/>
    <w:rsid w:val="006524FE"/>
    <w:rsid w:val="00671CEC"/>
    <w:rsid w:val="0067389D"/>
    <w:rsid w:val="006878FE"/>
    <w:rsid w:val="00710067"/>
    <w:rsid w:val="007343B9"/>
    <w:rsid w:val="00797DDF"/>
    <w:rsid w:val="007A35FA"/>
    <w:rsid w:val="007B55FF"/>
    <w:rsid w:val="007C0C46"/>
    <w:rsid w:val="007C49B0"/>
    <w:rsid w:val="008528B3"/>
    <w:rsid w:val="00862127"/>
    <w:rsid w:val="00862921"/>
    <w:rsid w:val="00880DFC"/>
    <w:rsid w:val="0088503C"/>
    <w:rsid w:val="008A666D"/>
    <w:rsid w:val="00901333"/>
    <w:rsid w:val="00911B8B"/>
    <w:rsid w:val="00963725"/>
    <w:rsid w:val="009711DD"/>
    <w:rsid w:val="009E02AA"/>
    <w:rsid w:val="009F730B"/>
    <w:rsid w:val="00A27FA5"/>
    <w:rsid w:val="00A670F8"/>
    <w:rsid w:val="00AC6A4D"/>
    <w:rsid w:val="00B023CA"/>
    <w:rsid w:val="00B11CFD"/>
    <w:rsid w:val="00B12ED4"/>
    <w:rsid w:val="00B34BF7"/>
    <w:rsid w:val="00B65E60"/>
    <w:rsid w:val="00B81C7C"/>
    <w:rsid w:val="00B91DA7"/>
    <w:rsid w:val="00BA0B07"/>
    <w:rsid w:val="00BA0B57"/>
    <w:rsid w:val="00BA4CBB"/>
    <w:rsid w:val="00BE3F81"/>
    <w:rsid w:val="00BF24AA"/>
    <w:rsid w:val="00C32A66"/>
    <w:rsid w:val="00C424A3"/>
    <w:rsid w:val="00C47323"/>
    <w:rsid w:val="00CE525E"/>
    <w:rsid w:val="00CE5B17"/>
    <w:rsid w:val="00D578AF"/>
    <w:rsid w:val="00DC2129"/>
    <w:rsid w:val="00DC52FF"/>
    <w:rsid w:val="00E14292"/>
    <w:rsid w:val="00E32840"/>
    <w:rsid w:val="00EA1347"/>
    <w:rsid w:val="00F54FB6"/>
    <w:rsid w:val="00F61E87"/>
    <w:rsid w:val="00F92BD2"/>
    <w:rsid w:val="00F92C99"/>
    <w:rsid w:val="00F96B83"/>
    <w:rsid w:val="00FA5A49"/>
    <w:rsid w:val="00FB0094"/>
    <w:rsid w:val="00FC3F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85D8D7C"/>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8308A"/>
    <w:rPr>
      <w:color w:val="808080"/>
    </w:rPr>
  </w:style>
  <w:style w:type="paragraph" w:customStyle="1" w:styleId="3EFE8D20822B425986466C78E6FCA0CB">
    <w:name w:val="3EFE8D20822B425986466C78E6FCA0CB"/>
  </w:style>
  <w:style w:type="paragraph" w:customStyle="1" w:styleId="C6AC6459B51643A3B4DCA87AC5653E61">
    <w:name w:val="C6AC6459B51643A3B4DCA87AC5653E61"/>
    <w:rsid w:val="00D578AF"/>
    <w:pPr>
      <w:spacing w:line="278" w:lineRule="auto"/>
    </w:pPr>
    <w:rPr>
      <w:kern w:val="2"/>
      <w:sz w:val="24"/>
      <w:szCs w:val="24"/>
      <w14:ligatures w14:val="standardContextual"/>
    </w:rPr>
  </w:style>
  <w:style w:type="paragraph" w:customStyle="1" w:styleId="AD87A26D58724E2F942CCAD817C97E8F">
    <w:name w:val="AD87A26D58724E2F942CCAD817C97E8F"/>
  </w:style>
  <w:style w:type="paragraph" w:customStyle="1" w:styleId="D68848931F864742A9B659DACF5BE410">
    <w:name w:val="D68848931F864742A9B659DACF5BE410"/>
  </w:style>
  <w:style w:type="paragraph" w:customStyle="1" w:styleId="5B485CEABD8340E19778624E63889857">
    <w:name w:val="5B485CEABD8340E19778624E63889857"/>
  </w:style>
  <w:style w:type="paragraph" w:customStyle="1" w:styleId="BA472278D59C40ED8BEC275B40C3F2D9">
    <w:name w:val="BA472278D59C40ED8BEC275B40C3F2D9"/>
    <w:rsid w:val="00D578AF"/>
    <w:pPr>
      <w:spacing w:line="278" w:lineRule="auto"/>
    </w:pPr>
    <w:rPr>
      <w:kern w:val="2"/>
      <w:sz w:val="24"/>
      <w:szCs w:val="24"/>
      <w14:ligatures w14:val="standardContextual"/>
    </w:rPr>
  </w:style>
  <w:style w:type="paragraph" w:customStyle="1" w:styleId="A714C4C8A5374F4EAA63E07228688AA5">
    <w:name w:val="A714C4C8A5374F4EAA63E07228688AA5"/>
  </w:style>
  <w:style w:type="paragraph" w:customStyle="1" w:styleId="98D45CA9FE7A4CCF9B4262836E7B4C42">
    <w:name w:val="98D45CA9FE7A4CCF9B4262836E7B4C42"/>
  </w:style>
  <w:style w:type="paragraph" w:customStyle="1" w:styleId="790F9D6CE6094CE4A9528715F7018D5C">
    <w:name w:val="790F9D6CE6094CE4A9528715F7018D5C"/>
    <w:rsid w:val="00D578AF"/>
    <w:pPr>
      <w:spacing w:line="278" w:lineRule="auto"/>
    </w:pPr>
    <w:rPr>
      <w:kern w:val="2"/>
      <w:sz w:val="24"/>
      <w:szCs w:val="24"/>
      <w14:ligatures w14:val="standardContextual"/>
    </w:rPr>
  </w:style>
  <w:style w:type="paragraph" w:customStyle="1" w:styleId="C63E17C9ED754AFBB633D2375123003D">
    <w:name w:val="C63E17C9ED754AFBB633D2375123003D"/>
    <w:rsid w:val="00D578AF"/>
    <w:pPr>
      <w:spacing w:line="278" w:lineRule="auto"/>
    </w:pPr>
    <w:rPr>
      <w:kern w:val="2"/>
      <w:sz w:val="24"/>
      <w:szCs w:val="24"/>
      <w14:ligatures w14:val="standardContextual"/>
    </w:rPr>
  </w:style>
  <w:style w:type="paragraph" w:customStyle="1" w:styleId="EA98DA5DC48B4627BB18CB540F2B61E5">
    <w:name w:val="EA98DA5DC48B4627BB18CB540F2B61E5"/>
    <w:rsid w:val="00D578AF"/>
    <w:pPr>
      <w:spacing w:line="278" w:lineRule="auto"/>
    </w:pPr>
    <w:rPr>
      <w:kern w:val="2"/>
      <w:sz w:val="24"/>
      <w:szCs w:val="24"/>
      <w14:ligatures w14:val="standardContextual"/>
    </w:rPr>
  </w:style>
  <w:style w:type="paragraph" w:customStyle="1" w:styleId="6EA1A6BC567740AF829FEE05735BDB7B">
    <w:name w:val="6EA1A6BC567740AF829FEE05735BDB7B"/>
    <w:rsid w:val="00D578AF"/>
    <w:pPr>
      <w:spacing w:line="278" w:lineRule="auto"/>
    </w:pPr>
    <w:rPr>
      <w:kern w:val="2"/>
      <w:sz w:val="24"/>
      <w:szCs w:val="24"/>
      <w14:ligatures w14:val="standardContextual"/>
    </w:rPr>
  </w:style>
  <w:style w:type="paragraph" w:customStyle="1" w:styleId="AD508DD403B144448083017063565735">
    <w:name w:val="AD508DD403B144448083017063565735"/>
    <w:rsid w:val="00D578AF"/>
    <w:pPr>
      <w:spacing w:line="278" w:lineRule="auto"/>
    </w:pPr>
    <w:rPr>
      <w:kern w:val="2"/>
      <w:sz w:val="24"/>
      <w:szCs w:val="24"/>
      <w14:ligatures w14:val="standardContextual"/>
    </w:rPr>
  </w:style>
  <w:style w:type="paragraph" w:customStyle="1" w:styleId="44957F40291D4DB0A8F78D29B3DF4876">
    <w:name w:val="44957F40291D4DB0A8F78D29B3DF4876"/>
    <w:rsid w:val="00D578AF"/>
    <w:pPr>
      <w:spacing w:line="278" w:lineRule="auto"/>
    </w:pPr>
    <w:rPr>
      <w:kern w:val="2"/>
      <w:sz w:val="24"/>
      <w:szCs w:val="24"/>
      <w14:ligatures w14:val="standardContextual"/>
    </w:rPr>
  </w:style>
  <w:style w:type="paragraph" w:customStyle="1" w:styleId="3B51D7665B334453AF448AA0D8C27A40">
    <w:name w:val="3B51D7665B334453AF448AA0D8C27A40"/>
    <w:rsid w:val="00D578AF"/>
    <w:pPr>
      <w:spacing w:line="278" w:lineRule="auto"/>
    </w:pPr>
    <w:rPr>
      <w:kern w:val="2"/>
      <w:sz w:val="24"/>
      <w:szCs w:val="24"/>
      <w14:ligatures w14:val="standardContextual"/>
    </w:rPr>
  </w:style>
  <w:style w:type="paragraph" w:customStyle="1" w:styleId="F1BB3F271E30493982134AB6EB86E6CB">
    <w:name w:val="F1BB3F271E30493982134AB6EB86E6CB"/>
    <w:rsid w:val="00D578AF"/>
    <w:pPr>
      <w:spacing w:line="278" w:lineRule="auto"/>
    </w:pPr>
    <w:rPr>
      <w:kern w:val="2"/>
      <w:sz w:val="24"/>
      <w:szCs w:val="24"/>
      <w14:ligatures w14:val="standardContextual"/>
    </w:rPr>
  </w:style>
  <w:style w:type="paragraph" w:customStyle="1" w:styleId="DBCC7FCA70DC4509B071A9F6ABD19479">
    <w:name w:val="DBCC7FCA70DC4509B071A9F6ABD19479"/>
    <w:rsid w:val="00D578AF"/>
    <w:pPr>
      <w:spacing w:line="278" w:lineRule="auto"/>
    </w:pPr>
    <w:rPr>
      <w:kern w:val="2"/>
      <w:sz w:val="24"/>
      <w:szCs w:val="24"/>
      <w14:ligatures w14:val="standardContextual"/>
    </w:rPr>
  </w:style>
  <w:style w:type="paragraph" w:customStyle="1" w:styleId="D8C2CEAEBD304DEEAA3129CEC66937EE">
    <w:name w:val="D8C2CEAEBD304DEEAA3129CEC66937EE"/>
    <w:rsid w:val="00D578AF"/>
    <w:pPr>
      <w:spacing w:line="278" w:lineRule="auto"/>
    </w:pPr>
    <w:rPr>
      <w:kern w:val="2"/>
      <w:sz w:val="24"/>
      <w:szCs w:val="24"/>
      <w14:ligatures w14:val="standardContextual"/>
    </w:rPr>
  </w:style>
  <w:style w:type="paragraph" w:customStyle="1" w:styleId="F532FEECE44A451AA4C2FD08F13C04B8">
    <w:name w:val="F532FEECE44A451AA4C2FD08F13C04B8"/>
    <w:rsid w:val="00D578AF"/>
    <w:pPr>
      <w:spacing w:line="278" w:lineRule="auto"/>
    </w:pPr>
    <w:rPr>
      <w:kern w:val="2"/>
      <w:sz w:val="24"/>
      <w:szCs w:val="24"/>
      <w14:ligatures w14:val="standardContextual"/>
    </w:rPr>
  </w:style>
  <w:style w:type="paragraph" w:customStyle="1" w:styleId="71E48BDD15A646DCAB8755C9F7C6D785">
    <w:name w:val="71E48BDD15A646DCAB8755C9F7C6D785"/>
    <w:rsid w:val="00D578AF"/>
    <w:pPr>
      <w:spacing w:line="278" w:lineRule="auto"/>
    </w:pPr>
    <w:rPr>
      <w:kern w:val="2"/>
      <w:sz w:val="24"/>
      <w:szCs w:val="24"/>
      <w14:ligatures w14:val="standardContextual"/>
    </w:rPr>
  </w:style>
  <w:style w:type="paragraph" w:customStyle="1" w:styleId="82C990632BE44AAA93E8D78B041201EF">
    <w:name w:val="82C990632BE44AAA93E8D78B041201EF"/>
    <w:rsid w:val="00D578AF"/>
    <w:pPr>
      <w:spacing w:line="278" w:lineRule="auto"/>
    </w:pPr>
    <w:rPr>
      <w:kern w:val="2"/>
      <w:sz w:val="24"/>
      <w:szCs w:val="24"/>
      <w14:ligatures w14:val="standardContextual"/>
    </w:rPr>
  </w:style>
  <w:style w:type="paragraph" w:customStyle="1" w:styleId="4990EB12DE2E4B1E9A4448A6944436FF">
    <w:name w:val="4990EB12DE2E4B1E9A4448A6944436FF"/>
    <w:rsid w:val="00D578AF"/>
    <w:pPr>
      <w:spacing w:line="278" w:lineRule="auto"/>
    </w:pPr>
    <w:rPr>
      <w:kern w:val="2"/>
      <w:sz w:val="24"/>
      <w:szCs w:val="24"/>
      <w14:ligatures w14:val="standardContextual"/>
    </w:rPr>
  </w:style>
  <w:style w:type="paragraph" w:customStyle="1" w:styleId="0708BF1F6558441EB1E1B0AD9DE6981B">
    <w:name w:val="0708BF1F6558441EB1E1B0AD9DE6981B"/>
    <w:rsid w:val="00D578AF"/>
    <w:pPr>
      <w:spacing w:line="278" w:lineRule="auto"/>
    </w:pPr>
    <w:rPr>
      <w:kern w:val="2"/>
      <w:sz w:val="24"/>
      <w:szCs w:val="24"/>
      <w14:ligatures w14:val="standardContextual"/>
    </w:rPr>
  </w:style>
  <w:style w:type="paragraph" w:customStyle="1" w:styleId="4698DE211EE34FFDAA2C8A8733FB6CA2">
    <w:name w:val="4698DE211EE34FFDAA2C8A8733FB6CA2"/>
    <w:rsid w:val="00D578AF"/>
    <w:pPr>
      <w:spacing w:line="278" w:lineRule="auto"/>
    </w:pPr>
    <w:rPr>
      <w:kern w:val="2"/>
      <w:sz w:val="24"/>
      <w:szCs w:val="24"/>
      <w14:ligatures w14:val="standardContextual"/>
    </w:rPr>
  </w:style>
  <w:style w:type="paragraph" w:customStyle="1" w:styleId="E7E42F419C894E85A4811FE17D07DD40">
    <w:name w:val="E7E42F419C894E85A4811FE17D07DD40"/>
    <w:rsid w:val="00D578AF"/>
    <w:pPr>
      <w:spacing w:line="278" w:lineRule="auto"/>
    </w:pPr>
    <w:rPr>
      <w:kern w:val="2"/>
      <w:sz w:val="24"/>
      <w:szCs w:val="24"/>
      <w14:ligatures w14:val="standardContextual"/>
    </w:rPr>
  </w:style>
  <w:style w:type="paragraph" w:customStyle="1" w:styleId="C09E24BAF98E40AA86D93DA3D9BD8A50">
    <w:name w:val="C09E24BAF98E40AA86D93DA3D9BD8A50"/>
    <w:rsid w:val="00D578AF"/>
    <w:pPr>
      <w:spacing w:line="278" w:lineRule="auto"/>
    </w:pPr>
    <w:rPr>
      <w:kern w:val="2"/>
      <w:sz w:val="24"/>
      <w:szCs w:val="24"/>
      <w14:ligatures w14:val="standardContextual"/>
    </w:rPr>
  </w:style>
  <w:style w:type="paragraph" w:customStyle="1" w:styleId="CEE6FD8936DE4303AD4A1F0E55A370C6">
    <w:name w:val="CEE6FD8936DE4303AD4A1F0E55A370C6"/>
    <w:rsid w:val="00D578AF"/>
    <w:pPr>
      <w:spacing w:line="278" w:lineRule="auto"/>
    </w:pPr>
    <w:rPr>
      <w:kern w:val="2"/>
      <w:sz w:val="24"/>
      <w:szCs w:val="24"/>
      <w14:ligatures w14:val="standardContextual"/>
    </w:rPr>
  </w:style>
  <w:style w:type="paragraph" w:customStyle="1" w:styleId="6B2DB49ABA34469E866B20D19FC9F31F">
    <w:name w:val="6B2DB49ABA34469E866B20D19FC9F31F"/>
    <w:rsid w:val="00D578AF"/>
    <w:pPr>
      <w:spacing w:line="278" w:lineRule="auto"/>
    </w:pPr>
    <w:rPr>
      <w:kern w:val="2"/>
      <w:sz w:val="24"/>
      <w:szCs w:val="24"/>
      <w14:ligatures w14:val="standardContextual"/>
    </w:rPr>
  </w:style>
  <w:style w:type="paragraph" w:customStyle="1" w:styleId="12F404625832464292022CC663BF41D0">
    <w:name w:val="12F404625832464292022CC663BF41D0"/>
    <w:rsid w:val="00D578AF"/>
    <w:pPr>
      <w:spacing w:line="278" w:lineRule="auto"/>
    </w:pPr>
    <w:rPr>
      <w:kern w:val="2"/>
      <w:sz w:val="24"/>
      <w:szCs w:val="24"/>
      <w14:ligatures w14:val="standardContextual"/>
    </w:rPr>
  </w:style>
  <w:style w:type="paragraph" w:customStyle="1" w:styleId="7E2E2139F74A46E596D65431C5661409">
    <w:name w:val="7E2E2139F74A46E596D65431C5661409"/>
    <w:rsid w:val="00D578AF"/>
    <w:pPr>
      <w:spacing w:line="278" w:lineRule="auto"/>
    </w:pPr>
    <w:rPr>
      <w:kern w:val="2"/>
      <w:sz w:val="24"/>
      <w:szCs w:val="24"/>
      <w14:ligatures w14:val="standardContextual"/>
    </w:rPr>
  </w:style>
  <w:style w:type="paragraph" w:customStyle="1" w:styleId="6CDAC8705844434F8BF031A79A285386">
    <w:name w:val="6CDAC8705844434F8BF031A79A285386"/>
    <w:rsid w:val="00D578AF"/>
    <w:pPr>
      <w:spacing w:line="278" w:lineRule="auto"/>
    </w:pPr>
    <w:rPr>
      <w:kern w:val="2"/>
      <w:sz w:val="24"/>
      <w:szCs w:val="24"/>
      <w14:ligatures w14:val="standardContextual"/>
    </w:rPr>
  </w:style>
  <w:style w:type="paragraph" w:customStyle="1" w:styleId="828A4B3F94F3475AA676AC9B4CC3B86C">
    <w:name w:val="828A4B3F94F3475AA676AC9B4CC3B86C"/>
    <w:rsid w:val="00D578AF"/>
    <w:pPr>
      <w:spacing w:line="278" w:lineRule="auto"/>
    </w:pPr>
    <w:rPr>
      <w:kern w:val="2"/>
      <w:sz w:val="24"/>
      <w:szCs w:val="24"/>
      <w14:ligatures w14:val="standardContextual"/>
    </w:rPr>
  </w:style>
  <w:style w:type="paragraph" w:customStyle="1" w:styleId="98876056D467474F9130A908DC517924">
    <w:name w:val="98876056D467474F9130A908DC517924"/>
    <w:rsid w:val="00D578AF"/>
    <w:pPr>
      <w:spacing w:line="278" w:lineRule="auto"/>
    </w:pPr>
    <w:rPr>
      <w:kern w:val="2"/>
      <w:sz w:val="24"/>
      <w:szCs w:val="24"/>
      <w14:ligatures w14:val="standardContextual"/>
    </w:rPr>
  </w:style>
  <w:style w:type="paragraph" w:customStyle="1" w:styleId="DA21F48CE289450DAB84D850E3B64396">
    <w:name w:val="DA21F48CE289450DAB84D850E3B64396"/>
    <w:rsid w:val="00D578AF"/>
    <w:pPr>
      <w:spacing w:line="278" w:lineRule="auto"/>
    </w:pPr>
    <w:rPr>
      <w:kern w:val="2"/>
      <w:sz w:val="24"/>
      <w:szCs w:val="24"/>
      <w14:ligatures w14:val="standardContextual"/>
    </w:rPr>
  </w:style>
  <w:style w:type="paragraph" w:customStyle="1" w:styleId="4075719EEB6E4255AF602CBB85619737">
    <w:name w:val="4075719EEB6E4255AF602CBB85619737"/>
    <w:rsid w:val="00D578AF"/>
    <w:pPr>
      <w:spacing w:line="278" w:lineRule="auto"/>
    </w:pPr>
    <w:rPr>
      <w:kern w:val="2"/>
      <w:sz w:val="24"/>
      <w:szCs w:val="24"/>
      <w14:ligatures w14:val="standardContextual"/>
    </w:rPr>
  </w:style>
  <w:style w:type="paragraph" w:customStyle="1" w:styleId="0E5EC8B774E04C3BB73FF5DC37EBCEC0">
    <w:name w:val="0E5EC8B774E04C3BB73FF5DC37EBCEC0"/>
    <w:rsid w:val="00D578AF"/>
    <w:pPr>
      <w:spacing w:line="278" w:lineRule="auto"/>
    </w:pPr>
    <w:rPr>
      <w:kern w:val="2"/>
      <w:sz w:val="24"/>
      <w:szCs w:val="24"/>
      <w14:ligatures w14:val="standardContextual"/>
    </w:rPr>
  </w:style>
  <w:style w:type="paragraph" w:customStyle="1" w:styleId="D27D83EDE4A44B4D9CCC9285F47280DA">
    <w:name w:val="D27D83EDE4A44B4D9CCC9285F47280DA"/>
    <w:rsid w:val="00D578AF"/>
    <w:pPr>
      <w:spacing w:line="278" w:lineRule="auto"/>
    </w:pPr>
    <w:rPr>
      <w:kern w:val="2"/>
      <w:sz w:val="24"/>
      <w:szCs w:val="24"/>
      <w14:ligatures w14:val="standardContextual"/>
    </w:rPr>
  </w:style>
  <w:style w:type="paragraph" w:customStyle="1" w:styleId="3C7D98A52D444653992667FB3CE59E18">
    <w:name w:val="3C7D98A52D444653992667FB3CE59E18"/>
    <w:rsid w:val="00D578AF"/>
    <w:pPr>
      <w:spacing w:line="278" w:lineRule="auto"/>
    </w:pPr>
    <w:rPr>
      <w:kern w:val="2"/>
      <w:sz w:val="24"/>
      <w:szCs w:val="24"/>
      <w14:ligatures w14:val="standardContextual"/>
    </w:rPr>
  </w:style>
  <w:style w:type="paragraph" w:customStyle="1" w:styleId="FFB59DAFBDA84D12A80C8A321A01F7AB">
    <w:name w:val="FFB59DAFBDA84D12A80C8A321A01F7AB"/>
    <w:rsid w:val="00D578AF"/>
    <w:pPr>
      <w:spacing w:line="278" w:lineRule="auto"/>
    </w:pPr>
    <w:rPr>
      <w:kern w:val="2"/>
      <w:sz w:val="24"/>
      <w:szCs w:val="24"/>
      <w14:ligatures w14:val="standardContextual"/>
    </w:rPr>
  </w:style>
  <w:style w:type="paragraph" w:customStyle="1" w:styleId="C68D6BF4940947C392FB1B6E3F29D8C7">
    <w:name w:val="C68D6BF4940947C392FB1B6E3F29D8C7"/>
    <w:rsid w:val="00D578AF"/>
    <w:pPr>
      <w:spacing w:line="278" w:lineRule="auto"/>
    </w:pPr>
    <w:rPr>
      <w:kern w:val="2"/>
      <w:sz w:val="24"/>
      <w:szCs w:val="24"/>
      <w14:ligatures w14:val="standardContextual"/>
    </w:rPr>
  </w:style>
  <w:style w:type="paragraph" w:customStyle="1" w:styleId="1C25A060A0F241EEB17BE451EA13AD83">
    <w:name w:val="1C25A060A0F241EEB17BE451EA13AD83"/>
    <w:rsid w:val="00D578AF"/>
    <w:pPr>
      <w:spacing w:line="278" w:lineRule="auto"/>
    </w:pPr>
    <w:rPr>
      <w:kern w:val="2"/>
      <w:sz w:val="24"/>
      <w:szCs w:val="24"/>
      <w14:ligatures w14:val="standardContextual"/>
    </w:rPr>
  </w:style>
  <w:style w:type="paragraph" w:customStyle="1" w:styleId="E9884FA9790A482D930D73228732E5D0">
    <w:name w:val="E9884FA9790A482D930D73228732E5D0"/>
    <w:rsid w:val="00D578AF"/>
    <w:pPr>
      <w:spacing w:line="278" w:lineRule="auto"/>
    </w:pPr>
    <w:rPr>
      <w:kern w:val="2"/>
      <w:sz w:val="24"/>
      <w:szCs w:val="24"/>
      <w14:ligatures w14:val="standardContextual"/>
    </w:rPr>
  </w:style>
  <w:style w:type="paragraph" w:customStyle="1" w:styleId="8BC92A8DEB6D49E68E639339201EFE73">
    <w:name w:val="8BC92A8DEB6D49E68E639339201EFE73"/>
    <w:rsid w:val="00D578AF"/>
    <w:pPr>
      <w:spacing w:line="278" w:lineRule="auto"/>
    </w:pPr>
    <w:rPr>
      <w:kern w:val="2"/>
      <w:sz w:val="24"/>
      <w:szCs w:val="24"/>
      <w14:ligatures w14:val="standardContextual"/>
    </w:rPr>
  </w:style>
  <w:style w:type="paragraph" w:customStyle="1" w:styleId="353A063A22644E7D8230372E9FE9EE56">
    <w:name w:val="353A063A22644E7D8230372E9FE9EE56"/>
    <w:rsid w:val="00D578AF"/>
    <w:pPr>
      <w:spacing w:line="278" w:lineRule="auto"/>
    </w:pPr>
    <w:rPr>
      <w:kern w:val="2"/>
      <w:sz w:val="24"/>
      <w:szCs w:val="24"/>
      <w14:ligatures w14:val="standardContextual"/>
    </w:rPr>
  </w:style>
  <w:style w:type="paragraph" w:customStyle="1" w:styleId="773B16367CB84E8584E9E5DA3404B926">
    <w:name w:val="773B16367CB84E8584E9E5DA3404B926"/>
    <w:rsid w:val="00D578AF"/>
    <w:pPr>
      <w:spacing w:line="278" w:lineRule="auto"/>
    </w:pPr>
    <w:rPr>
      <w:kern w:val="2"/>
      <w:sz w:val="24"/>
      <w:szCs w:val="24"/>
      <w14:ligatures w14:val="standardContextual"/>
    </w:rPr>
  </w:style>
  <w:style w:type="paragraph" w:customStyle="1" w:styleId="8EA5CE2A7CC64E30B04BF54F5C7FF8F1">
    <w:name w:val="8EA5CE2A7CC64E30B04BF54F5C7FF8F1"/>
    <w:rsid w:val="00D578AF"/>
    <w:pPr>
      <w:spacing w:line="278" w:lineRule="auto"/>
    </w:pPr>
    <w:rPr>
      <w:kern w:val="2"/>
      <w:sz w:val="24"/>
      <w:szCs w:val="24"/>
      <w14:ligatures w14:val="standardContextual"/>
    </w:rPr>
  </w:style>
  <w:style w:type="paragraph" w:customStyle="1" w:styleId="E93B1E96BC5A4501B0A2113687AF00EF1">
    <w:name w:val="E93B1E96BC5A4501B0A2113687AF00EF1"/>
    <w:rsid w:val="0041386E"/>
    <w:pPr>
      <w:spacing w:before="1200" w:after="0" w:line="240" w:lineRule="auto"/>
      <w:jc w:val="right"/>
    </w:pPr>
    <w:rPr>
      <w:rFonts w:ascii="Arial" w:eastAsia="Times New Roman" w:hAnsi="Arial" w:cs="Times New Roman"/>
      <w:b/>
      <w:caps/>
      <w:spacing w:val="10"/>
      <w:sz w:val="32"/>
      <w:szCs w:val="20"/>
      <w:lang w:val="en-GB" w:eastAsia="de-DE"/>
    </w:rPr>
  </w:style>
  <w:style w:type="paragraph" w:customStyle="1" w:styleId="FB4279C3B33844FC93BCEAD6BF238C13">
    <w:name w:val="FB4279C3B33844FC93BCEAD6BF238C13"/>
  </w:style>
  <w:style w:type="paragraph" w:customStyle="1" w:styleId="5C2DA880E0194359AA4EE3369358A2D4">
    <w:name w:val="5C2DA880E0194359AA4EE3369358A2D4"/>
  </w:style>
  <w:style w:type="paragraph" w:customStyle="1" w:styleId="2BE02F04DC2B42868DD8C48C899D7129">
    <w:name w:val="2BE02F04DC2B42868DD8C48C899D7129"/>
    <w:rsid w:val="00DC2129"/>
    <w:pPr>
      <w:spacing w:line="278" w:lineRule="auto"/>
    </w:pPr>
    <w:rPr>
      <w:kern w:val="2"/>
      <w:sz w:val="24"/>
      <w:szCs w:val="24"/>
      <w14:ligatures w14:val="standardContextual"/>
    </w:rPr>
  </w:style>
  <w:style w:type="paragraph" w:customStyle="1" w:styleId="DF7E311914B943789BA9E896FBBE04A2">
    <w:name w:val="DF7E311914B943789BA9E896FBBE04A2"/>
    <w:rsid w:val="00DC2129"/>
    <w:pPr>
      <w:spacing w:line="278" w:lineRule="auto"/>
    </w:pPr>
    <w:rPr>
      <w:kern w:val="2"/>
      <w:sz w:val="24"/>
      <w:szCs w:val="24"/>
      <w14:ligatures w14:val="standardContextual"/>
    </w:rPr>
  </w:style>
  <w:style w:type="paragraph" w:customStyle="1" w:styleId="8D880EAA221840F9A9D0B2D240E78A20">
    <w:name w:val="8D880EAA221840F9A9D0B2D240E78A20"/>
    <w:rsid w:val="00DC2129"/>
    <w:pPr>
      <w:spacing w:line="278" w:lineRule="auto"/>
    </w:pPr>
    <w:rPr>
      <w:kern w:val="2"/>
      <w:sz w:val="24"/>
      <w:szCs w:val="24"/>
      <w14:ligatures w14:val="standardContextual"/>
    </w:rPr>
  </w:style>
  <w:style w:type="paragraph" w:customStyle="1" w:styleId="7DDADE7D55A3468381DC63E1E482DADD">
    <w:name w:val="7DDADE7D55A3468381DC63E1E482DADD"/>
    <w:rsid w:val="00DC2129"/>
    <w:pPr>
      <w:spacing w:line="278" w:lineRule="auto"/>
    </w:pPr>
    <w:rPr>
      <w:kern w:val="2"/>
      <w:sz w:val="24"/>
      <w:szCs w:val="24"/>
      <w14:ligatures w14:val="standardContextual"/>
    </w:rPr>
  </w:style>
  <w:style w:type="paragraph" w:customStyle="1" w:styleId="AD71EDDD68304B3CB560AEE9CD4338F0">
    <w:name w:val="AD71EDDD68304B3CB560AEE9CD4338F0"/>
    <w:rsid w:val="00DC2129"/>
    <w:pPr>
      <w:spacing w:line="278" w:lineRule="auto"/>
    </w:pPr>
    <w:rPr>
      <w:kern w:val="2"/>
      <w:sz w:val="24"/>
      <w:szCs w:val="24"/>
      <w14:ligatures w14:val="standardContextual"/>
    </w:rPr>
  </w:style>
  <w:style w:type="paragraph" w:customStyle="1" w:styleId="C155ED0DA5114F668E38C81868DDDD4A">
    <w:name w:val="C155ED0DA5114F668E38C81868DDDD4A"/>
    <w:rsid w:val="00DC2129"/>
    <w:pPr>
      <w:spacing w:line="278" w:lineRule="auto"/>
    </w:pPr>
    <w:rPr>
      <w:kern w:val="2"/>
      <w:sz w:val="24"/>
      <w:szCs w:val="24"/>
      <w14:ligatures w14:val="standardContextual"/>
    </w:rPr>
  </w:style>
  <w:style w:type="paragraph" w:customStyle="1" w:styleId="D06C7A87F56A4E4795A913E78017815F">
    <w:name w:val="D06C7A87F56A4E4795A913E78017815F"/>
    <w:rsid w:val="00DC2129"/>
    <w:pPr>
      <w:spacing w:line="278" w:lineRule="auto"/>
    </w:pPr>
    <w:rPr>
      <w:kern w:val="2"/>
      <w:sz w:val="24"/>
      <w:szCs w:val="24"/>
      <w14:ligatures w14:val="standardContextual"/>
    </w:rPr>
  </w:style>
  <w:style w:type="paragraph" w:customStyle="1" w:styleId="E30FCA78A6104C99827FD79502ACADAF">
    <w:name w:val="E30FCA78A6104C99827FD79502ACADAF"/>
    <w:rsid w:val="00DC2129"/>
    <w:pPr>
      <w:spacing w:line="278" w:lineRule="auto"/>
    </w:pPr>
    <w:rPr>
      <w:kern w:val="2"/>
      <w:sz w:val="24"/>
      <w:szCs w:val="24"/>
      <w14:ligatures w14:val="standardContextual"/>
    </w:rPr>
  </w:style>
  <w:style w:type="paragraph" w:customStyle="1" w:styleId="5E9E70E14B174B92B5093B48948ABD74">
    <w:name w:val="5E9E70E14B174B92B5093B48948ABD74"/>
    <w:rsid w:val="00DC2129"/>
    <w:pPr>
      <w:spacing w:line="278" w:lineRule="auto"/>
    </w:pPr>
    <w:rPr>
      <w:kern w:val="2"/>
      <w:sz w:val="24"/>
      <w:szCs w:val="24"/>
      <w14:ligatures w14:val="standardContextual"/>
    </w:rPr>
  </w:style>
  <w:style w:type="paragraph" w:customStyle="1" w:styleId="A7D33E01323549BDBE70FFB7D494676A">
    <w:name w:val="A7D33E01323549BDBE70FFB7D494676A"/>
    <w:rsid w:val="00DC2129"/>
    <w:pPr>
      <w:spacing w:line="278" w:lineRule="auto"/>
    </w:pPr>
    <w:rPr>
      <w:kern w:val="2"/>
      <w:sz w:val="24"/>
      <w:szCs w:val="24"/>
      <w14:ligatures w14:val="standardContextual"/>
    </w:rPr>
  </w:style>
  <w:style w:type="paragraph" w:customStyle="1" w:styleId="142222EF87494C6A82770FF5F92FD44B">
    <w:name w:val="142222EF87494C6A82770FF5F92FD44B"/>
    <w:rsid w:val="00DC2129"/>
    <w:pPr>
      <w:spacing w:line="278" w:lineRule="auto"/>
    </w:pPr>
    <w:rPr>
      <w:kern w:val="2"/>
      <w:sz w:val="24"/>
      <w:szCs w:val="24"/>
      <w14:ligatures w14:val="standardContextual"/>
    </w:rPr>
  </w:style>
  <w:style w:type="paragraph" w:customStyle="1" w:styleId="4721B82162284C44AE5F1B7A67C478B1">
    <w:name w:val="4721B82162284C44AE5F1B7A67C478B1"/>
    <w:rsid w:val="00DC2129"/>
    <w:pPr>
      <w:spacing w:line="278" w:lineRule="auto"/>
    </w:pPr>
    <w:rPr>
      <w:kern w:val="2"/>
      <w:sz w:val="24"/>
      <w:szCs w:val="24"/>
      <w14:ligatures w14:val="standardContextual"/>
    </w:rPr>
  </w:style>
  <w:style w:type="paragraph" w:customStyle="1" w:styleId="D171CBF5DFF8463880F9B93006BF58DE">
    <w:name w:val="D171CBF5DFF8463880F9B93006BF58DE"/>
    <w:rsid w:val="00DC2129"/>
    <w:pPr>
      <w:spacing w:line="278" w:lineRule="auto"/>
    </w:pPr>
    <w:rPr>
      <w:kern w:val="2"/>
      <w:sz w:val="24"/>
      <w:szCs w:val="24"/>
      <w14:ligatures w14:val="standardContextual"/>
    </w:rPr>
  </w:style>
  <w:style w:type="paragraph" w:customStyle="1" w:styleId="C7F1274AA18244C1BFCA912EFD72E472">
    <w:name w:val="C7F1274AA18244C1BFCA912EFD72E472"/>
    <w:rsid w:val="00DC2129"/>
    <w:pPr>
      <w:spacing w:line="278" w:lineRule="auto"/>
    </w:pPr>
    <w:rPr>
      <w:kern w:val="2"/>
      <w:sz w:val="24"/>
      <w:szCs w:val="24"/>
      <w14:ligatures w14:val="standardContextual"/>
    </w:rPr>
  </w:style>
  <w:style w:type="paragraph" w:customStyle="1" w:styleId="86190E4148E44288B0D9B34C97DD56E1">
    <w:name w:val="86190E4148E44288B0D9B34C97DD56E1"/>
    <w:rsid w:val="00DC2129"/>
    <w:pPr>
      <w:spacing w:line="278" w:lineRule="auto"/>
    </w:pPr>
    <w:rPr>
      <w:kern w:val="2"/>
      <w:sz w:val="24"/>
      <w:szCs w:val="24"/>
      <w14:ligatures w14:val="standardContextual"/>
    </w:rPr>
  </w:style>
  <w:style w:type="paragraph" w:customStyle="1" w:styleId="A066D018791D4B648EAE7698A48321AB">
    <w:name w:val="A066D018791D4B648EAE7698A48321AB"/>
    <w:rsid w:val="00DC2129"/>
    <w:pPr>
      <w:spacing w:line="278" w:lineRule="auto"/>
    </w:pPr>
    <w:rPr>
      <w:kern w:val="2"/>
      <w:sz w:val="24"/>
      <w:szCs w:val="24"/>
      <w14:ligatures w14:val="standardContextual"/>
    </w:rPr>
  </w:style>
  <w:style w:type="paragraph" w:customStyle="1" w:styleId="83B47BA198554AAEBB3FC216093DE0B6">
    <w:name w:val="83B47BA198554AAEBB3FC216093DE0B6"/>
    <w:rsid w:val="00DC2129"/>
    <w:pPr>
      <w:spacing w:line="278" w:lineRule="auto"/>
    </w:pPr>
    <w:rPr>
      <w:kern w:val="2"/>
      <w:sz w:val="24"/>
      <w:szCs w:val="24"/>
      <w14:ligatures w14:val="standardContextual"/>
    </w:rPr>
  </w:style>
  <w:style w:type="paragraph" w:customStyle="1" w:styleId="F9B3C175E7174C89BCDA71473E1C8B8C">
    <w:name w:val="F9B3C175E7174C89BCDA71473E1C8B8C"/>
    <w:rsid w:val="00DC2129"/>
    <w:pPr>
      <w:spacing w:line="278" w:lineRule="auto"/>
    </w:pPr>
    <w:rPr>
      <w:kern w:val="2"/>
      <w:sz w:val="24"/>
      <w:szCs w:val="24"/>
      <w14:ligatures w14:val="standardContextual"/>
    </w:rPr>
  </w:style>
  <w:style w:type="paragraph" w:customStyle="1" w:styleId="5D8FF7F716FF4237B1B05F471221D676">
    <w:name w:val="5D8FF7F716FF4237B1B05F471221D676"/>
    <w:rsid w:val="00DC2129"/>
    <w:pPr>
      <w:spacing w:line="278" w:lineRule="auto"/>
    </w:pPr>
    <w:rPr>
      <w:kern w:val="2"/>
      <w:sz w:val="24"/>
      <w:szCs w:val="24"/>
      <w14:ligatures w14:val="standardContextual"/>
    </w:rPr>
  </w:style>
  <w:style w:type="paragraph" w:customStyle="1" w:styleId="3682BC335CA84929B1A0ACC47DA71E40">
    <w:name w:val="3682BC335CA84929B1A0ACC47DA71E40"/>
    <w:rsid w:val="00DC2129"/>
    <w:pPr>
      <w:spacing w:line="278" w:lineRule="auto"/>
    </w:pPr>
    <w:rPr>
      <w:kern w:val="2"/>
      <w:sz w:val="24"/>
      <w:szCs w:val="24"/>
      <w14:ligatures w14:val="standardContextual"/>
    </w:rPr>
  </w:style>
  <w:style w:type="paragraph" w:customStyle="1" w:styleId="1E7E69B84AC344ED877FD1E74C0AFC4E">
    <w:name w:val="1E7E69B84AC344ED877FD1E74C0AFC4E"/>
    <w:rsid w:val="00DC2129"/>
    <w:pPr>
      <w:spacing w:line="278" w:lineRule="auto"/>
    </w:pPr>
    <w:rPr>
      <w:kern w:val="2"/>
      <w:sz w:val="24"/>
      <w:szCs w:val="24"/>
      <w14:ligatures w14:val="standardContextual"/>
    </w:rPr>
  </w:style>
  <w:style w:type="paragraph" w:customStyle="1" w:styleId="531782D7C66B4B77886E49E43678E4D7">
    <w:name w:val="531782D7C66B4B77886E49E43678E4D7"/>
    <w:rsid w:val="00DC2129"/>
    <w:pPr>
      <w:spacing w:line="278" w:lineRule="auto"/>
    </w:pPr>
    <w:rPr>
      <w:kern w:val="2"/>
      <w:sz w:val="24"/>
      <w:szCs w:val="24"/>
      <w14:ligatures w14:val="standardContextual"/>
    </w:rPr>
  </w:style>
  <w:style w:type="paragraph" w:customStyle="1" w:styleId="DE50DEEE3D25483BB5DB9ABB5071DA77">
    <w:name w:val="DE50DEEE3D25483BB5DB9ABB5071DA77"/>
    <w:rsid w:val="00DC2129"/>
    <w:pPr>
      <w:spacing w:line="278" w:lineRule="auto"/>
    </w:pPr>
    <w:rPr>
      <w:kern w:val="2"/>
      <w:sz w:val="24"/>
      <w:szCs w:val="24"/>
      <w14:ligatures w14:val="standardContextual"/>
    </w:rPr>
  </w:style>
  <w:style w:type="paragraph" w:customStyle="1" w:styleId="22CB9CB3DAC9436F85A3D03D2CAA90CF">
    <w:name w:val="22CB9CB3DAC9436F85A3D03D2CAA90CF"/>
    <w:rsid w:val="00DC2129"/>
    <w:pPr>
      <w:spacing w:line="278" w:lineRule="auto"/>
    </w:pPr>
    <w:rPr>
      <w:kern w:val="2"/>
      <w:sz w:val="24"/>
      <w:szCs w:val="24"/>
      <w14:ligatures w14:val="standardContextual"/>
    </w:rPr>
  </w:style>
  <w:style w:type="paragraph" w:customStyle="1" w:styleId="A34B38148EC14154AF25958284D59BCF">
    <w:name w:val="A34B38148EC14154AF25958284D59BCF"/>
    <w:rsid w:val="00DC2129"/>
    <w:pPr>
      <w:spacing w:line="278" w:lineRule="auto"/>
    </w:pPr>
    <w:rPr>
      <w:kern w:val="2"/>
      <w:sz w:val="24"/>
      <w:szCs w:val="24"/>
      <w14:ligatures w14:val="standardContextual"/>
    </w:rPr>
  </w:style>
  <w:style w:type="paragraph" w:customStyle="1" w:styleId="68A1F5CAC19C4CFB8DCAD1DDCC5176A4">
    <w:name w:val="68A1F5CAC19C4CFB8DCAD1DDCC5176A4"/>
    <w:rsid w:val="00DC2129"/>
    <w:pPr>
      <w:spacing w:line="278" w:lineRule="auto"/>
    </w:pPr>
    <w:rPr>
      <w:kern w:val="2"/>
      <w:sz w:val="24"/>
      <w:szCs w:val="24"/>
      <w14:ligatures w14:val="standardContextual"/>
    </w:rPr>
  </w:style>
  <w:style w:type="paragraph" w:customStyle="1" w:styleId="18B8245FF0A34F6DA34543DA3FADC9A7">
    <w:name w:val="18B8245FF0A34F6DA34543DA3FADC9A7"/>
    <w:rsid w:val="00DC2129"/>
    <w:pPr>
      <w:spacing w:line="278" w:lineRule="auto"/>
    </w:pPr>
    <w:rPr>
      <w:kern w:val="2"/>
      <w:sz w:val="24"/>
      <w:szCs w:val="24"/>
      <w14:ligatures w14:val="standardContextual"/>
    </w:rPr>
  </w:style>
  <w:style w:type="paragraph" w:customStyle="1" w:styleId="0CEBB25D07FC4C7382706EFB21692407">
    <w:name w:val="0CEBB25D07FC4C7382706EFB21692407"/>
    <w:rsid w:val="00DC2129"/>
    <w:pPr>
      <w:spacing w:line="278" w:lineRule="auto"/>
    </w:pPr>
    <w:rPr>
      <w:kern w:val="2"/>
      <w:sz w:val="24"/>
      <w:szCs w:val="24"/>
      <w14:ligatures w14:val="standardContextual"/>
    </w:rPr>
  </w:style>
  <w:style w:type="paragraph" w:customStyle="1" w:styleId="2B1961D9657F4E43AF5958FC5048B7FA">
    <w:name w:val="2B1961D9657F4E43AF5958FC5048B7FA"/>
    <w:rsid w:val="00DC2129"/>
    <w:pPr>
      <w:spacing w:line="278" w:lineRule="auto"/>
    </w:pPr>
    <w:rPr>
      <w:kern w:val="2"/>
      <w:sz w:val="24"/>
      <w:szCs w:val="24"/>
      <w14:ligatures w14:val="standardContextual"/>
    </w:rPr>
  </w:style>
  <w:style w:type="paragraph" w:customStyle="1" w:styleId="6028417E5DE64AB3B0C4B64E600890E3">
    <w:name w:val="6028417E5DE64AB3B0C4B64E600890E3"/>
    <w:rsid w:val="00DC2129"/>
    <w:pPr>
      <w:spacing w:line="278" w:lineRule="auto"/>
    </w:pPr>
    <w:rPr>
      <w:kern w:val="2"/>
      <w:sz w:val="24"/>
      <w:szCs w:val="24"/>
      <w14:ligatures w14:val="standardContextual"/>
    </w:rPr>
  </w:style>
  <w:style w:type="paragraph" w:customStyle="1" w:styleId="14FD663DFD46407193F08B3C458D3E81">
    <w:name w:val="14FD663DFD46407193F08B3C458D3E81"/>
    <w:rsid w:val="00DC2129"/>
    <w:pPr>
      <w:spacing w:line="278" w:lineRule="auto"/>
    </w:pPr>
    <w:rPr>
      <w:kern w:val="2"/>
      <w:sz w:val="24"/>
      <w:szCs w:val="24"/>
      <w14:ligatures w14:val="standardContextual"/>
    </w:rPr>
  </w:style>
  <w:style w:type="paragraph" w:customStyle="1" w:styleId="CCC5A8F674FA4DF8BC7B0FE7C085AD85">
    <w:name w:val="CCC5A8F674FA4DF8BC7B0FE7C085AD85"/>
    <w:rsid w:val="00DC2129"/>
    <w:pPr>
      <w:spacing w:line="278" w:lineRule="auto"/>
    </w:pPr>
    <w:rPr>
      <w:kern w:val="2"/>
      <w:sz w:val="24"/>
      <w:szCs w:val="24"/>
      <w14:ligatures w14:val="standardContextual"/>
    </w:rPr>
  </w:style>
  <w:style w:type="paragraph" w:customStyle="1" w:styleId="A1B96059301B490D8970ADA8F5D07FB3">
    <w:name w:val="A1B96059301B490D8970ADA8F5D07FB3"/>
    <w:rsid w:val="00DC2129"/>
    <w:pPr>
      <w:spacing w:line="278" w:lineRule="auto"/>
    </w:pPr>
    <w:rPr>
      <w:kern w:val="2"/>
      <w:sz w:val="24"/>
      <w:szCs w:val="24"/>
      <w14:ligatures w14:val="standardContextual"/>
    </w:rPr>
  </w:style>
  <w:style w:type="paragraph" w:customStyle="1" w:styleId="44D347F3787E44E1BE7EF357CBCB68AE">
    <w:name w:val="44D347F3787E44E1BE7EF357CBCB68AE"/>
    <w:rsid w:val="00DC2129"/>
    <w:pPr>
      <w:spacing w:line="278" w:lineRule="auto"/>
    </w:pPr>
    <w:rPr>
      <w:kern w:val="2"/>
      <w:sz w:val="24"/>
      <w:szCs w:val="24"/>
      <w14:ligatures w14:val="standardContextual"/>
    </w:rPr>
  </w:style>
  <w:style w:type="paragraph" w:customStyle="1" w:styleId="2905DD2B8C694809ABBC468B362FF84B">
    <w:name w:val="2905DD2B8C694809ABBC468B362FF84B"/>
    <w:rsid w:val="00DC2129"/>
    <w:pPr>
      <w:spacing w:line="278" w:lineRule="auto"/>
    </w:pPr>
    <w:rPr>
      <w:kern w:val="2"/>
      <w:sz w:val="24"/>
      <w:szCs w:val="24"/>
      <w14:ligatures w14:val="standardContextual"/>
    </w:rPr>
  </w:style>
  <w:style w:type="paragraph" w:customStyle="1" w:styleId="C4344D368B5649DA816E52A61B76E145">
    <w:name w:val="C4344D368B5649DA816E52A61B76E145"/>
    <w:rsid w:val="00DC2129"/>
    <w:pPr>
      <w:spacing w:line="278" w:lineRule="auto"/>
    </w:pPr>
    <w:rPr>
      <w:kern w:val="2"/>
      <w:sz w:val="24"/>
      <w:szCs w:val="24"/>
      <w14:ligatures w14:val="standardContextual"/>
    </w:rPr>
  </w:style>
  <w:style w:type="paragraph" w:customStyle="1" w:styleId="F3322C1059FB4DDEA6E08C00466F2C11">
    <w:name w:val="F3322C1059FB4DDEA6E08C00466F2C11"/>
    <w:rsid w:val="00DC2129"/>
    <w:pPr>
      <w:spacing w:line="278" w:lineRule="auto"/>
    </w:pPr>
    <w:rPr>
      <w:kern w:val="2"/>
      <w:sz w:val="24"/>
      <w:szCs w:val="24"/>
      <w14:ligatures w14:val="standardContextual"/>
    </w:rPr>
  </w:style>
  <w:style w:type="paragraph" w:customStyle="1" w:styleId="B21021725B9949DEACC9A897E6AA0B2E">
    <w:name w:val="B21021725B9949DEACC9A897E6AA0B2E"/>
    <w:rsid w:val="00DC2129"/>
    <w:pPr>
      <w:spacing w:line="278" w:lineRule="auto"/>
    </w:pPr>
    <w:rPr>
      <w:kern w:val="2"/>
      <w:sz w:val="24"/>
      <w:szCs w:val="24"/>
      <w14:ligatures w14:val="standardContextual"/>
    </w:rPr>
  </w:style>
  <w:style w:type="paragraph" w:customStyle="1" w:styleId="E8CC8F3EF831452FA172F103BABC5277">
    <w:name w:val="E8CC8F3EF831452FA172F103BABC5277"/>
    <w:rsid w:val="00DC2129"/>
    <w:pPr>
      <w:spacing w:line="278" w:lineRule="auto"/>
    </w:pPr>
    <w:rPr>
      <w:kern w:val="2"/>
      <w:sz w:val="24"/>
      <w:szCs w:val="24"/>
      <w14:ligatures w14:val="standardContextual"/>
    </w:rPr>
  </w:style>
  <w:style w:type="paragraph" w:customStyle="1" w:styleId="0BF206C818F3451A98F8C13A2FB391DC">
    <w:name w:val="0BF206C818F3451A98F8C13A2FB391DC"/>
    <w:rsid w:val="00DC2129"/>
    <w:pPr>
      <w:spacing w:line="278" w:lineRule="auto"/>
    </w:pPr>
    <w:rPr>
      <w:kern w:val="2"/>
      <w:sz w:val="24"/>
      <w:szCs w:val="24"/>
      <w14:ligatures w14:val="standardContextual"/>
    </w:rPr>
  </w:style>
  <w:style w:type="paragraph" w:customStyle="1" w:styleId="2245304C602A4013AD970581FDE5B9BA">
    <w:name w:val="2245304C602A4013AD970581FDE5B9BA"/>
    <w:rsid w:val="0018308A"/>
    <w:pPr>
      <w:spacing w:line="278" w:lineRule="auto"/>
    </w:pPr>
    <w:rPr>
      <w:kern w:val="2"/>
      <w:sz w:val="24"/>
      <w:szCs w:val="24"/>
      <w14:ligatures w14:val="standardContextual"/>
    </w:rPr>
  </w:style>
  <w:style w:type="paragraph" w:customStyle="1" w:styleId="15672F0FB3684B0E8FB904248AC16AD3">
    <w:name w:val="15672F0FB3684B0E8FB904248AC16AD3"/>
    <w:rsid w:val="0018308A"/>
    <w:pPr>
      <w:spacing w:line="278" w:lineRule="auto"/>
    </w:pPr>
    <w:rPr>
      <w:kern w:val="2"/>
      <w:sz w:val="24"/>
      <w:szCs w:val="24"/>
      <w14:ligatures w14:val="standardContextual"/>
    </w:rPr>
  </w:style>
  <w:style w:type="paragraph" w:customStyle="1" w:styleId="CDBA9E250049418788130B586EA8E1D3">
    <w:name w:val="CDBA9E250049418788130B586EA8E1D3"/>
    <w:rsid w:val="0018308A"/>
    <w:pPr>
      <w:spacing w:line="278" w:lineRule="auto"/>
    </w:pPr>
    <w:rPr>
      <w:kern w:val="2"/>
      <w:sz w:val="24"/>
      <w:szCs w:val="24"/>
      <w14:ligatures w14:val="standardContextual"/>
    </w:rPr>
  </w:style>
  <w:style w:type="paragraph" w:customStyle="1" w:styleId="96D290DD758C47048C5E3BD7F8E95BB8">
    <w:name w:val="96D290DD758C47048C5E3BD7F8E95BB8"/>
    <w:rsid w:val="0018308A"/>
    <w:pPr>
      <w:spacing w:line="278" w:lineRule="auto"/>
    </w:pPr>
    <w:rPr>
      <w:kern w:val="2"/>
      <w:sz w:val="24"/>
      <w:szCs w:val="24"/>
      <w14:ligatures w14:val="standardContextual"/>
    </w:rPr>
  </w:style>
  <w:style w:type="paragraph" w:customStyle="1" w:styleId="DCBBD265982E493C8F1AFD9EB8B0DC51">
    <w:name w:val="DCBBD265982E493C8F1AFD9EB8B0DC51"/>
    <w:rsid w:val="0018308A"/>
    <w:pPr>
      <w:spacing w:line="278" w:lineRule="auto"/>
    </w:pPr>
    <w:rPr>
      <w:kern w:val="2"/>
      <w:sz w:val="24"/>
      <w:szCs w:val="24"/>
      <w14:ligatures w14:val="standardContextual"/>
    </w:rPr>
  </w:style>
  <w:style w:type="paragraph" w:customStyle="1" w:styleId="26D1C753CDA0443A8A3406353C08E60C">
    <w:name w:val="26D1C753CDA0443A8A3406353C08E60C"/>
    <w:rsid w:val="0018308A"/>
    <w:pPr>
      <w:spacing w:line="278" w:lineRule="auto"/>
    </w:pPr>
    <w:rPr>
      <w:kern w:val="2"/>
      <w:sz w:val="24"/>
      <w:szCs w:val="24"/>
      <w14:ligatures w14:val="standardContextual"/>
    </w:rPr>
  </w:style>
  <w:style w:type="paragraph" w:customStyle="1" w:styleId="3E79C0478D3A4CFDABED0C5C33AE1C77">
    <w:name w:val="3E79C0478D3A4CFDABED0C5C33AE1C77"/>
    <w:rsid w:val="0018308A"/>
    <w:pPr>
      <w:spacing w:line="278" w:lineRule="auto"/>
    </w:pPr>
    <w:rPr>
      <w:kern w:val="2"/>
      <w:sz w:val="24"/>
      <w:szCs w:val="24"/>
      <w14:ligatures w14:val="standardContextual"/>
    </w:rPr>
  </w:style>
  <w:style w:type="paragraph" w:customStyle="1" w:styleId="27365F19CF3349E5989ACDF980212F16">
    <w:name w:val="27365F19CF3349E5989ACDF980212F16"/>
    <w:rsid w:val="0018308A"/>
    <w:pPr>
      <w:spacing w:line="278" w:lineRule="auto"/>
    </w:pPr>
    <w:rPr>
      <w:kern w:val="2"/>
      <w:sz w:val="24"/>
      <w:szCs w:val="24"/>
      <w14:ligatures w14:val="standardContextual"/>
    </w:rPr>
  </w:style>
  <w:style w:type="paragraph" w:customStyle="1" w:styleId="B5395ABDC23B4252BD4E0465E0B735B4">
    <w:name w:val="B5395ABDC23B4252BD4E0465E0B735B4"/>
    <w:rsid w:val="0018308A"/>
    <w:pPr>
      <w:spacing w:line="278" w:lineRule="auto"/>
    </w:pPr>
    <w:rPr>
      <w:kern w:val="2"/>
      <w:sz w:val="24"/>
      <w:szCs w:val="24"/>
      <w14:ligatures w14:val="standardContextual"/>
    </w:rPr>
  </w:style>
  <w:style w:type="paragraph" w:customStyle="1" w:styleId="8138E8CCE36E405D8400B4670C245540">
    <w:name w:val="8138E8CCE36E405D8400B4670C245540"/>
    <w:rsid w:val="0018308A"/>
    <w:pPr>
      <w:spacing w:line="278" w:lineRule="auto"/>
    </w:pPr>
    <w:rPr>
      <w:kern w:val="2"/>
      <w:sz w:val="24"/>
      <w:szCs w:val="24"/>
      <w14:ligatures w14:val="standardContextual"/>
    </w:rPr>
  </w:style>
  <w:style w:type="paragraph" w:customStyle="1" w:styleId="C7174DE700544100B2DD855B355C9CB4">
    <w:name w:val="C7174DE700544100B2DD855B355C9CB4"/>
    <w:rsid w:val="0018308A"/>
    <w:pPr>
      <w:spacing w:line="278" w:lineRule="auto"/>
    </w:pPr>
    <w:rPr>
      <w:kern w:val="2"/>
      <w:sz w:val="24"/>
      <w:szCs w:val="24"/>
      <w14:ligatures w14:val="standardContextual"/>
    </w:rPr>
  </w:style>
  <w:style w:type="paragraph" w:customStyle="1" w:styleId="BAC279821CA249468518131A79D8DA64">
    <w:name w:val="BAC279821CA249468518131A79D8DA64"/>
    <w:rsid w:val="0018308A"/>
    <w:pPr>
      <w:spacing w:line="278" w:lineRule="auto"/>
    </w:pPr>
    <w:rPr>
      <w:kern w:val="2"/>
      <w:sz w:val="24"/>
      <w:szCs w:val="24"/>
      <w14:ligatures w14:val="standardContextual"/>
    </w:rPr>
  </w:style>
  <w:style w:type="paragraph" w:customStyle="1" w:styleId="DD2203224B454A25A4E57F5AAF604D9E">
    <w:name w:val="DD2203224B454A25A4E57F5AAF604D9E"/>
    <w:rsid w:val="0018308A"/>
    <w:pPr>
      <w:spacing w:line="278" w:lineRule="auto"/>
    </w:pPr>
    <w:rPr>
      <w:kern w:val="2"/>
      <w:sz w:val="24"/>
      <w:szCs w:val="24"/>
      <w14:ligatures w14:val="standardContextual"/>
    </w:rPr>
  </w:style>
  <w:style w:type="paragraph" w:customStyle="1" w:styleId="E96B210430C2426DABF216C2D4FB6766">
    <w:name w:val="E96B210430C2426DABF216C2D4FB6766"/>
    <w:rsid w:val="0018308A"/>
    <w:pPr>
      <w:spacing w:line="278" w:lineRule="auto"/>
    </w:pPr>
    <w:rPr>
      <w:kern w:val="2"/>
      <w:sz w:val="24"/>
      <w:szCs w:val="24"/>
      <w14:ligatures w14:val="standardContextual"/>
    </w:rPr>
  </w:style>
  <w:style w:type="paragraph" w:customStyle="1" w:styleId="25D1F9D9E8C6458E8C99ABC9896B5528">
    <w:name w:val="25D1F9D9E8C6458E8C99ABC9896B5528"/>
    <w:rsid w:val="0018308A"/>
    <w:pPr>
      <w:spacing w:line="278" w:lineRule="auto"/>
    </w:pPr>
    <w:rPr>
      <w:kern w:val="2"/>
      <w:sz w:val="24"/>
      <w:szCs w:val="24"/>
      <w14:ligatures w14:val="standardContextual"/>
    </w:rPr>
  </w:style>
  <w:style w:type="paragraph" w:customStyle="1" w:styleId="11768F9306D14B0EA2811BFBF216F683">
    <w:name w:val="11768F9306D14B0EA2811BFBF216F683"/>
    <w:rsid w:val="0018308A"/>
    <w:pPr>
      <w:spacing w:line="278" w:lineRule="auto"/>
    </w:pPr>
    <w:rPr>
      <w:kern w:val="2"/>
      <w:sz w:val="24"/>
      <w:szCs w:val="24"/>
      <w14:ligatures w14:val="standardContextual"/>
    </w:rPr>
  </w:style>
  <w:style w:type="paragraph" w:customStyle="1" w:styleId="DE2F1AB5209C4421B8BE0597A39D0AA5">
    <w:name w:val="DE2F1AB5209C4421B8BE0597A39D0AA5"/>
    <w:rsid w:val="0018308A"/>
    <w:pPr>
      <w:spacing w:line="278" w:lineRule="auto"/>
    </w:pPr>
    <w:rPr>
      <w:kern w:val="2"/>
      <w:sz w:val="24"/>
      <w:szCs w:val="24"/>
      <w14:ligatures w14:val="standardContextual"/>
    </w:rPr>
  </w:style>
  <w:style w:type="paragraph" w:customStyle="1" w:styleId="44770E4691EB43C6BF504932E59DA18D">
    <w:name w:val="44770E4691EB43C6BF504932E59DA18D"/>
    <w:rsid w:val="0018308A"/>
    <w:pPr>
      <w:spacing w:line="278" w:lineRule="auto"/>
    </w:pPr>
    <w:rPr>
      <w:kern w:val="2"/>
      <w:sz w:val="24"/>
      <w:szCs w:val="24"/>
      <w14:ligatures w14:val="standardContextual"/>
    </w:rPr>
  </w:style>
  <w:style w:type="paragraph" w:customStyle="1" w:styleId="F0AB015E7B884C3783A519A5C759DC2A">
    <w:name w:val="F0AB015E7B884C3783A519A5C759DC2A"/>
    <w:rsid w:val="0018308A"/>
    <w:pPr>
      <w:spacing w:line="278" w:lineRule="auto"/>
    </w:pPr>
    <w:rPr>
      <w:kern w:val="2"/>
      <w:sz w:val="24"/>
      <w:szCs w:val="24"/>
      <w14:ligatures w14:val="standardContextual"/>
    </w:rPr>
  </w:style>
  <w:style w:type="paragraph" w:customStyle="1" w:styleId="3FF4169EE5E549F9AC2E8BC7599530E5">
    <w:name w:val="3FF4169EE5E549F9AC2E8BC7599530E5"/>
    <w:rsid w:val="0018308A"/>
    <w:pPr>
      <w:spacing w:line="278" w:lineRule="auto"/>
    </w:pPr>
    <w:rPr>
      <w:kern w:val="2"/>
      <w:sz w:val="24"/>
      <w:szCs w:val="24"/>
      <w14:ligatures w14:val="standardContextual"/>
    </w:rPr>
  </w:style>
  <w:style w:type="paragraph" w:customStyle="1" w:styleId="C690422570A94C23BA32C16C8B668977">
    <w:name w:val="C690422570A94C23BA32C16C8B668977"/>
    <w:rsid w:val="0018308A"/>
    <w:pPr>
      <w:spacing w:line="278" w:lineRule="auto"/>
    </w:pPr>
    <w:rPr>
      <w:kern w:val="2"/>
      <w:sz w:val="24"/>
      <w:szCs w:val="24"/>
      <w14:ligatures w14:val="standardContextual"/>
    </w:rPr>
  </w:style>
  <w:style w:type="paragraph" w:customStyle="1" w:styleId="2BF933870A704C1FA8FD2708280A78A2">
    <w:name w:val="2BF933870A704C1FA8FD2708280A78A2"/>
    <w:rsid w:val="0018308A"/>
    <w:pPr>
      <w:spacing w:line="278" w:lineRule="auto"/>
    </w:pPr>
    <w:rPr>
      <w:kern w:val="2"/>
      <w:sz w:val="24"/>
      <w:szCs w:val="24"/>
      <w14:ligatures w14:val="standardContextual"/>
    </w:rPr>
  </w:style>
  <w:style w:type="paragraph" w:customStyle="1" w:styleId="EA2CA3F239B648EDBD6CA899019D9B77">
    <w:name w:val="EA2CA3F239B648EDBD6CA899019D9B77"/>
    <w:rsid w:val="0018308A"/>
    <w:pPr>
      <w:spacing w:line="278" w:lineRule="auto"/>
    </w:pPr>
    <w:rPr>
      <w:kern w:val="2"/>
      <w:sz w:val="24"/>
      <w:szCs w:val="24"/>
      <w14:ligatures w14:val="standardContextual"/>
    </w:rPr>
  </w:style>
  <w:style w:type="paragraph" w:customStyle="1" w:styleId="83AE9B1AB2864811BF04238ABEAC3F53">
    <w:name w:val="83AE9B1AB2864811BF04238ABEAC3F53"/>
    <w:rsid w:val="0018308A"/>
    <w:pPr>
      <w:spacing w:line="278" w:lineRule="auto"/>
    </w:pPr>
    <w:rPr>
      <w:kern w:val="2"/>
      <w:sz w:val="24"/>
      <w:szCs w:val="24"/>
      <w14:ligatures w14:val="standardContextual"/>
    </w:rPr>
  </w:style>
  <w:style w:type="paragraph" w:customStyle="1" w:styleId="40665F6940BA4213AC3CB247A1BC7268">
    <w:name w:val="40665F6940BA4213AC3CB247A1BC7268"/>
    <w:rsid w:val="0018308A"/>
    <w:pPr>
      <w:spacing w:line="278" w:lineRule="auto"/>
    </w:pPr>
    <w:rPr>
      <w:kern w:val="2"/>
      <w:sz w:val="24"/>
      <w:szCs w:val="24"/>
      <w14:ligatures w14:val="standardContextual"/>
    </w:rPr>
  </w:style>
  <w:style w:type="paragraph" w:customStyle="1" w:styleId="0122CC92F27845C2BF976442530E5E34">
    <w:name w:val="0122CC92F27845C2BF976442530E5E34"/>
    <w:rsid w:val="0018308A"/>
    <w:pPr>
      <w:spacing w:line="278" w:lineRule="auto"/>
    </w:pPr>
    <w:rPr>
      <w:kern w:val="2"/>
      <w:sz w:val="24"/>
      <w:szCs w:val="24"/>
      <w14:ligatures w14:val="standardContextual"/>
    </w:rPr>
  </w:style>
  <w:style w:type="paragraph" w:customStyle="1" w:styleId="D9E73AD14C034A80898617C52086267E">
    <w:name w:val="D9E73AD14C034A80898617C52086267E"/>
    <w:rsid w:val="0018308A"/>
    <w:pPr>
      <w:spacing w:line="278" w:lineRule="auto"/>
    </w:pPr>
    <w:rPr>
      <w:kern w:val="2"/>
      <w:sz w:val="24"/>
      <w:szCs w:val="24"/>
      <w14:ligatures w14:val="standardContextual"/>
    </w:rPr>
  </w:style>
  <w:style w:type="paragraph" w:customStyle="1" w:styleId="6DF20B8ED8214A5E992409B2213B8BF2">
    <w:name w:val="6DF20B8ED8214A5E992409B2213B8BF2"/>
    <w:rsid w:val="0018308A"/>
    <w:pPr>
      <w:spacing w:line="278" w:lineRule="auto"/>
    </w:pPr>
    <w:rPr>
      <w:kern w:val="2"/>
      <w:sz w:val="24"/>
      <w:szCs w:val="24"/>
      <w14:ligatures w14:val="standardContextual"/>
    </w:rPr>
  </w:style>
  <w:style w:type="paragraph" w:customStyle="1" w:styleId="173A830821014E009F380085C0C7CC31">
    <w:name w:val="173A830821014E009F380085C0C7CC31"/>
    <w:rsid w:val="0018308A"/>
    <w:pPr>
      <w:spacing w:line="278" w:lineRule="auto"/>
    </w:pPr>
    <w:rPr>
      <w:kern w:val="2"/>
      <w:sz w:val="24"/>
      <w:szCs w:val="24"/>
      <w14:ligatures w14:val="standardContextual"/>
    </w:rPr>
  </w:style>
  <w:style w:type="paragraph" w:customStyle="1" w:styleId="E963F5C5AE414725A15D75EF37A6ABC0">
    <w:name w:val="E963F5C5AE414725A15D75EF37A6ABC0"/>
    <w:rsid w:val="0018308A"/>
    <w:pPr>
      <w:spacing w:line="278" w:lineRule="auto"/>
    </w:pPr>
    <w:rPr>
      <w:kern w:val="2"/>
      <w:sz w:val="24"/>
      <w:szCs w:val="24"/>
      <w14:ligatures w14:val="standardContextual"/>
    </w:rPr>
  </w:style>
  <w:style w:type="paragraph" w:customStyle="1" w:styleId="69BFD10F782D4BD0AD9866C87D0C94F0">
    <w:name w:val="69BFD10F782D4BD0AD9866C87D0C94F0"/>
    <w:rsid w:val="0018308A"/>
    <w:pPr>
      <w:spacing w:line="278" w:lineRule="auto"/>
    </w:pPr>
    <w:rPr>
      <w:kern w:val="2"/>
      <w:sz w:val="24"/>
      <w:szCs w:val="24"/>
      <w14:ligatures w14:val="standardContextual"/>
    </w:rPr>
  </w:style>
  <w:style w:type="paragraph" w:customStyle="1" w:styleId="5C98AEA6643540378656BEAB3E219314">
    <w:name w:val="5C98AEA6643540378656BEAB3E219314"/>
    <w:rsid w:val="0018308A"/>
    <w:pPr>
      <w:spacing w:line="278" w:lineRule="auto"/>
    </w:pPr>
    <w:rPr>
      <w:kern w:val="2"/>
      <w:sz w:val="24"/>
      <w:szCs w:val="24"/>
      <w14:ligatures w14:val="standardContextual"/>
    </w:rPr>
  </w:style>
  <w:style w:type="paragraph" w:customStyle="1" w:styleId="81674C74A4814F2F8A282673C47F12EA">
    <w:name w:val="81674C74A4814F2F8A282673C47F12EA"/>
    <w:rsid w:val="0018308A"/>
    <w:pPr>
      <w:spacing w:line="278" w:lineRule="auto"/>
    </w:pPr>
    <w:rPr>
      <w:kern w:val="2"/>
      <w:sz w:val="24"/>
      <w:szCs w:val="24"/>
      <w14:ligatures w14:val="standardContextual"/>
    </w:rPr>
  </w:style>
  <w:style w:type="paragraph" w:customStyle="1" w:styleId="A87C1F91FAED45E7B27320FEDB8005B4">
    <w:name w:val="A87C1F91FAED45E7B27320FEDB8005B4"/>
    <w:rsid w:val="0018308A"/>
    <w:pPr>
      <w:spacing w:line="278" w:lineRule="auto"/>
    </w:pPr>
    <w:rPr>
      <w:kern w:val="2"/>
      <w:sz w:val="24"/>
      <w:szCs w:val="24"/>
      <w14:ligatures w14:val="standardContextual"/>
    </w:rPr>
  </w:style>
  <w:style w:type="paragraph" w:customStyle="1" w:styleId="8EDACB43AA9F4343AD31F29EEC12A8D3">
    <w:name w:val="8EDACB43AA9F4343AD31F29EEC12A8D3"/>
    <w:rsid w:val="0018308A"/>
    <w:pPr>
      <w:spacing w:line="278" w:lineRule="auto"/>
    </w:pPr>
    <w:rPr>
      <w:kern w:val="2"/>
      <w:sz w:val="24"/>
      <w:szCs w:val="24"/>
      <w14:ligatures w14:val="standardContextual"/>
    </w:rPr>
  </w:style>
  <w:style w:type="paragraph" w:customStyle="1" w:styleId="67948CD731014A4EBB9F05E7ADBEB811">
    <w:name w:val="67948CD731014A4EBB9F05E7ADBEB811"/>
    <w:rsid w:val="0018308A"/>
    <w:pPr>
      <w:spacing w:line="278" w:lineRule="auto"/>
    </w:pPr>
    <w:rPr>
      <w:kern w:val="2"/>
      <w:sz w:val="24"/>
      <w:szCs w:val="24"/>
      <w14:ligatures w14:val="standardContextual"/>
    </w:rPr>
  </w:style>
  <w:style w:type="paragraph" w:customStyle="1" w:styleId="8EF28E9250784A69AB7427EF32F2B2D8">
    <w:name w:val="8EF28E9250784A69AB7427EF32F2B2D8"/>
    <w:rsid w:val="0018308A"/>
    <w:pPr>
      <w:spacing w:line="278" w:lineRule="auto"/>
    </w:pPr>
    <w:rPr>
      <w:kern w:val="2"/>
      <w:sz w:val="24"/>
      <w:szCs w:val="24"/>
      <w14:ligatures w14:val="standardContextual"/>
    </w:rPr>
  </w:style>
  <w:style w:type="paragraph" w:customStyle="1" w:styleId="7DA063DD16A347BDB9DF8920848732D9">
    <w:name w:val="7DA063DD16A347BDB9DF8920848732D9"/>
    <w:rsid w:val="0018308A"/>
    <w:pPr>
      <w:spacing w:line="278" w:lineRule="auto"/>
    </w:pPr>
    <w:rPr>
      <w:kern w:val="2"/>
      <w:sz w:val="24"/>
      <w:szCs w:val="24"/>
      <w14:ligatures w14:val="standardContextual"/>
    </w:rPr>
  </w:style>
  <w:style w:type="paragraph" w:customStyle="1" w:styleId="99C6C991C029490B817A296C6DA050EB">
    <w:name w:val="99C6C991C029490B817A296C6DA050EB"/>
    <w:rsid w:val="0018308A"/>
    <w:pPr>
      <w:spacing w:line="278" w:lineRule="auto"/>
    </w:pPr>
    <w:rPr>
      <w:kern w:val="2"/>
      <w:sz w:val="24"/>
      <w:szCs w:val="24"/>
      <w14:ligatures w14:val="standardContextual"/>
    </w:rPr>
  </w:style>
  <w:style w:type="paragraph" w:customStyle="1" w:styleId="8C99AF900A9C48EF9142F7A36620C6E4">
    <w:name w:val="8C99AF900A9C48EF9142F7A36620C6E4"/>
    <w:rsid w:val="001830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B6730B0802B54A9F00C78B857E1443" ma:contentTypeVersion="21" ma:contentTypeDescription="Create a new document." ma:contentTypeScope="" ma:versionID="e7d0671dbe340d15fdce5ab7e9f4c491">
  <xsd:schema xmlns:xsd="http://www.w3.org/2001/XMLSchema" xmlns:xs="http://www.w3.org/2001/XMLSchema" xmlns:p="http://schemas.microsoft.com/office/2006/metadata/properties" xmlns:ns2="819ae873-75e1-413b-9d00-7af9258cf281" xmlns:ns3="eb4559c4-8463-4985-927f-f0d558bff8f0" xmlns:ns4="13d80b15-5f07-43ab-b435-85767a7dac08" targetNamespace="http://schemas.microsoft.com/office/2006/metadata/properties" ma:root="true" ma:fieldsID="2feafd61044eb4abe44eb47c2e62f3e5" ns2:_="" ns3:_="" ns4:_="">
    <xsd:import namespace="819ae873-75e1-413b-9d00-7af9258cf281"/>
    <xsd:import namespace="eb4559c4-8463-4985-927f-f0d558bff8f0"/>
    <xsd:import namespace="13d80b15-5f07-43ab-b435-85767a7dac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oc_x002e_SymbolNumber"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Comments" minOccurs="0"/>
                <xsd:element ref="ns2:Ready"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ae873-75e1-413b-9d00-7af9258c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_x002e_SymbolNumber" ma:index="12" nillable="true" ma:displayName="Doc. Symbol Number" ma:format="Dropdown" ma:internalName="Doc_x002e_SymbolNumber">
      <xsd:simpleType>
        <xsd:restriction base="dms:Note">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Comments" ma:index="26" nillable="true" ma:displayName="Comments" ma:format="Dropdown" ma:internalName="Comments">
      <xsd:simpleType>
        <xsd:restriction base="dms:Text">
          <xsd:maxLength value="255"/>
        </xsd:restriction>
      </xsd:simpleType>
    </xsd:element>
    <xsd:element name="Ready" ma:index="27" nillable="true" ma:displayName="Ready" ma:default="1" ma:format="Dropdown" ma:internalName="Ready">
      <xsd:simpleType>
        <xsd:restriction base="dms:Boolean"/>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59c4-8463-4985-927f-f0d558bff8f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990851-a39d-4e76-9339-d9f3f2815fa8}" ma:internalName="TaxCatchAll" ma:showField="CatchAllData" ma:web="13d80b15-5f07-43ab-b435-85767a7dac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d80b15-5f07-43ab-b435-85767a7dac0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19ae873-75e1-413b-9d00-7af9258cf281">
      <Terms xmlns="http://schemas.microsoft.com/office/infopath/2007/PartnerControls"/>
    </lcf76f155ced4ddcb4097134ff3c332f>
    <TaxCatchAll xmlns="eb4559c4-8463-4985-927f-f0d558bff8f0" xsi:nil="true"/>
    <Ready xmlns="819ae873-75e1-413b-9d00-7af9258cf281">true</Ready>
    <Comments xmlns="819ae873-75e1-413b-9d00-7af9258cf281" xsi:nil="true"/>
    <Doc_x002e_SymbolNumber xmlns="819ae873-75e1-413b-9d00-7af9258cf281" xsi:nil="true"/>
    <_Flow_SignoffStatus xmlns="819ae873-75e1-413b-9d00-7af9258cf281" xsi:nil="true"/>
  </documentManagement>
</p:properties>
</file>

<file path=customXml/item4.xml><?xml version="1.0" encoding="utf-8"?>
<?mso-contentType ?>
<SharedContentType xmlns="Microsoft.SharePoint.Taxonomy.ContentTypeSync" SourceId="9d8c265a-5436-43a7-80c1-713d2827ffde"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F24DC-19DB-4951-85B0-6B3D78A799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ae873-75e1-413b-9d00-7af9258cf281"/>
    <ds:schemaRef ds:uri="eb4559c4-8463-4985-927f-f0d558bff8f0"/>
    <ds:schemaRef ds:uri="13d80b15-5f07-43ab-b435-85767a7dac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83100E-D8CB-42F1-82F9-473423759E89}">
  <ds:schemaRefs>
    <ds:schemaRef ds:uri="http://schemas.microsoft.com/sharepoint/v3/contenttype/forms"/>
  </ds:schemaRefs>
</ds:datastoreItem>
</file>

<file path=customXml/itemProps3.xml><?xml version="1.0" encoding="utf-8"?>
<ds:datastoreItem xmlns:ds="http://schemas.openxmlformats.org/officeDocument/2006/customXml" ds:itemID="{B9CA9E2B-40F0-44C4-AF62-A0407BE03665}">
  <ds:schemaRefs>
    <ds:schemaRef ds:uri="http://schemas.microsoft.com/office/2006/metadata/properties"/>
    <ds:schemaRef ds:uri="http://schemas.microsoft.com/office/infopath/2007/PartnerControls"/>
    <ds:schemaRef ds:uri="819ae873-75e1-413b-9d00-7af9258cf281"/>
    <ds:schemaRef ds:uri="eb4559c4-8463-4985-927f-f0d558bff8f0"/>
  </ds:schemaRefs>
</ds:datastoreItem>
</file>

<file path=customXml/itemProps4.xml><?xml version="1.0" encoding="utf-8"?>
<ds:datastoreItem xmlns:ds="http://schemas.openxmlformats.org/officeDocument/2006/customXml" ds:itemID="{19C3D19B-ADBD-4E7A-961C-A89B70136F32}">
  <ds:schemaRefs>
    <ds:schemaRef ds:uri="Microsoft.SharePoint.Taxonomy.ContentTypeSync"/>
  </ds:schemaRefs>
</ds:datastoreItem>
</file>

<file path=customXml/itemProps5.xml><?xml version="1.0" encoding="utf-8"?>
<ds:datastoreItem xmlns:ds="http://schemas.openxmlformats.org/officeDocument/2006/customXml" ds:itemID="{8D92B5A2-FBD2-4CF4-820E-31B2EA38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CDM_Methodology.dotm</Template>
  <TotalTime>2</TotalTime>
  <Pages>96</Pages>
  <Words>32330</Words>
  <Characters>184283</Characters>
  <Application>Microsoft Office Word</Application>
  <DocSecurity>0</DocSecurity>
  <Lines>1535</Lines>
  <Paragraphs>432</Paragraphs>
  <ScaleCrop>false</ScaleCrop>
  <HeadingPairs>
    <vt:vector size="2" baseType="variant">
      <vt:variant>
        <vt:lpstr>Title</vt:lpstr>
      </vt:variant>
      <vt:variant>
        <vt:i4>1</vt:i4>
      </vt:variant>
    </vt:vector>
  </HeadingPairs>
  <TitlesOfParts>
    <vt:vector size="1" baseType="lpstr">
      <vt:lpstr>In-meeting_SBM019_Draft_methodology_draft methodology_flaring or use of landfill gas</vt:lpstr>
    </vt:vector>
  </TitlesOfParts>
  <Company/>
  <LinksUpToDate>false</LinksUpToDate>
  <CharactersWithSpaces>216181</CharactersWithSpaces>
  <SharedDoc>false</SharedDoc>
  <HLinks>
    <vt:vector size="360" baseType="variant">
      <vt:variant>
        <vt:i4>1835102</vt:i4>
      </vt:variant>
      <vt:variant>
        <vt:i4>261</vt:i4>
      </vt:variant>
      <vt:variant>
        <vt:i4>0</vt:i4>
      </vt:variant>
      <vt:variant>
        <vt:i4>5</vt:i4>
      </vt:variant>
      <vt:variant>
        <vt:lpwstr>https://doi.org/10.2790/57624</vt:lpwstr>
      </vt:variant>
      <vt:variant>
        <vt:lpwstr/>
      </vt:variant>
      <vt:variant>
        <vt:i4>1245237</vt:i4>
      </vt:variant>
      <vt:variant>
        <vt:i4>254</vt:i4>
      </vt:variant>
      <vt:variant>
        <vt:i4>0</vt:i4>
      </vt:variant>
      <vt:variant>
        <vt:i4>5</vt:i4>
      </vt:variant>
      <vt:variant>
        <vt:lpwstr/>
      </vt:variant>
      <vt:variant>
        <vt:lpwstr>_Toc211614776</vt:lpwstr>
      </vt:variant>
      <vt:variant>
        <vt:i4>1245237</vt:i4>
      </vt:variant>
      <vt:variant>
        <vt:i4>248</vt:i4>
      </vt:variant>
      <vt:variant>
        <vt:i4>0</vt:i4>
      </vt:variant>
      <vt:variant>
        <vt:i4>5</vt:i4>
      </vt:variant>
      <vt:variant>
        <vt:lpwstr/>
      </vt:variant>
      <vt:variant>
        <vt:lpwstr>_Toc211614775</vt:lpwstr>
      </vt:variant>
      <vt:variant>
        <vt:i4>1245237</vt:i4>
      </vt:variant>
      <vt:variant>
        <vt:i4>242</vt:i4>
      </vt:variant>
      <vt:variant>
        <vt:i4>0</vt:i4>
      </vt:variant>
      <vt:variant>
        <vt:i4>5</vt:i4>
      </vt:variant>
      <vt:variant>
        <vt:lpwstr/>
      </vt:variant>
      <vt:variant>
        <vt:lpwstr>_Toc211614774</vt:lpwstr>
      </vt:variant>
      <vt:variant>
        <vt:i4>1245237</vt:i4>
      </vt:variant>
      <vt:variant>
        <vt:i4>236</vt:i4>
      </vt:variant>
      <vt:variant>
        <vt:i4>0</vt:i4>
      </vt:variant>
      <vt:variant>
        <vt:i4>5</vt:i4>
      </vt:variant>
      <vt:variant>
        <vt:lpwstr/>
      </vt:variant>
      <vt:variant>
        <vt:lpwstr>_Toc211614773</vt:lpwstr>
      </vt:variant>
      <vt:variant>
        <vt:i4>1245237</vt:i4>
      </vt:variant>
      <vt:variant>
        <vt:i4>230</vt:i4>
      </vt:variant>
      <vt:variant>
        <vt:i4>0</vt:i4>
      </vt:variant>
      <vt:variant>
        <vt:i4>5</vt:i4>
      </vt:variant>
      <vt:variant>
        <vt:lpwstr/>
      </vt:variant>
      <vt:variant>
        <vt:lpwstr>_Toc211614772</vt:lpwstr>
      </vt:variant>
      <vt:variant>
        <vt:i4>1245237</vt:i4>
      </vt:variant>
      <vt:variant>
        <vt:i4>224</vt:i4>
      </vt:variant>
      <vt:variant>
        <vt:i4>0</vt:i4>
      </vt:variant>
      <vt:variant>
        <vt:i4>5</vt:i4>
      </vt:variant>
      <vt:variant>
        <vt:lpwstr/>
      </vt:variant>
      <vt:variant>
        <vt:lpwstr>_Toc211614771</vt:lpwstr>
      </vt:variant>
      <vt:variant>
        <vt:i4>1245237</vt:i4>
      </vt:variant>
      <vt:variant>
        <vt:i4>218</vt:i4>
      </vt:variant>
      <vt:variant>
        <vt:i4>0</vt:i4>
      </vt:variant>
      <vt:variant>
        <vt:i4>5</vt:i4>
      </vt:variant>
      <vt:variant>
        <vt:lpwstr/>
      </vt:variant>
      <vt:variant>
        <vt:lpwstr>_Toc211614770</vt:lpwstr>
      </vt:variant>
      <vt:variant>
        <vt:i4>1179701</vt:i4>
      </vt:variant>
      <vt:variant>
        <vt:i4>212</vt:i4>
      </vt:variant>
      <vt:variant>
        <vt:i4>0</vt:i4>
      </vt:variant>
      <vt:variant>
        <vt:i4>5</vt:i4>
      </vt:variant>
      <vt:variant>
        <vt:lpwstr/>
      </vt:variant>
      <vt:variant>
        <vt:lpwstr>_Toc211614769</vt:lpwstr>
      </vt:variant>
      <vt:variant>
        <vt:i4>1179701</vt:i4>
      </vt:variant>
      <vt:variant>
        <vt:i4>206</vt:i4>
      </vt:variant>
      <vt:variant>
        <vt:i4>0</vt:i4>
      </vt:variant>
      <vt:variant>
        <vt:i4>5</vt:i4>
      </vt:variant>
      <vt:variant>
        <vt:lpwstr/>
      </vt:variant>
      <vt:variant>
        <vt:lpwstr>_Toc211614768</vt:lpwstr>
      </vt:variant>
      <vt:variant>
        <vt:i4>1179701</vt:i4>
      </vt:variant>
      <vt:variant>
        <vt:i4>200</vt:i4>
      </vt:variant>
      <vt:variant>
        <vt:i4>0</vt:i4>
      </vt:variant>
      <vt:variant>
        <vt:i4>5</vt:i4>
      </vt:variant>
      <vt:variant>
        <vt:lpwstr/>
      </vt:variant>
      <vt:variant>
        <vt:lpwstr>_Toc211614767</vt:lpwstr>
      </vt:variant>
      <vt:variant>
        <vt:i4>1179701</vt:i4>
      </vt:variant>
      <vt:variant>
        <vt:i4>194</vt:i4>
      </vt:variant>
      <vt:variant>
        <vt:i4>0</vt:i4>
      </vt:variant>
      <vt:variant>
        <vt:i4>5</vt:i4>
      </vt:variant>
      <vt:variant>
        <vt:lpwstr/>
      </vt:variant>
      <vt:variant>
        <vt:lpwstr>_Toc211614766</vt:lpwstr>
      </vt:variant>
      <vt:variant>
        <vt:i4>1179701</vt:i4>
      </vt:variant>
      <vt:variant>
        <vt:i4>188</vt:i4>
      </vt:variant>
      <vt:variant>
        <vt:i4>0</vt:i4>
      </vt:variant>
      <vt:variant>
        <vt:i4>5</vt:i4>
      </vt:variant>
      <vt:variant>
        <vt:lpwstr/>
      </vt:variant>
      <vt:variant>
        <vt:lpwstr>_Toc211614765</vt:lpwstr>
      </vt:variant>
      <vt:variant>
        <vt:i4>1179701</vt:i4>
      </vt:variant>
      <vt:variant>
        <vt:i4>182</vt:i4>
      </vt:variant>
      <vt:variant>
        <vt:i4>0</vt:i4>
      </vt:variant>
      <vt:variant>
        <vt:i4>5</vt:i4>
      </vt:variant>
      <vt:variant>
        <vt:lpwstr/>
      </vt:variant>
      <vt:variant>
        <vt:lpwstr>_Toc211614764</vt:lpwstr>
      </vt:variant>
      <vt:variant>
        <vt:i4>1179701</vt:i4>
      </vt:variant>
      <vt:variant>
        <vt:i4>176</vt:i4>
      </vt:variant>
      <vt:variant>
        <vt:i4>0</vt:i4>
      </vt:variant>
      <vt:variant>
        <vt:i4>5</vt:i4>
      </vt:variant>
      <vt:variant>
        <vt:lpwstr/>
      </vt:variant>
      <vt:variant>
        <vt:lpwstr>_Toc211614763</vt:lpwstr>
      </vt:variant>
      <vt:variant>
        <vt:i4>1179701</vt:i4>
      </vt:variant>
      <vt:variant>
        <vt:i4>170</vt:i4>
      </vt:variant>
      <vt:variant>
        <vt:i4>0</vt:i4>
      </vt:variant>
      <vt:variant>
        <vt:i4>5</vt:i4>
      </vt:variant>
      <vt:variant>
        <vt:lpwstr/>
      </vt:variant>
      <vt:variant>
        <vt:lpwstr>_Toc211614762</vt:lpwstr>
      </vt:variant>
      <vt:variant>
        <vt:i4>1179701</vt:i4>
      </vt:variant>
      <vt:variant>
        <vt:i4>164</vt:i4>
      </vt:variant>
      <vt:variant>
        <vt:i4>0</vt:i4>
      </vt:variant>
      <vt:variant>
        <vt:i4>5</vt:i4>
      </vt:variant>
      <vt:variant>
        <vt:lpwstr/>
      </vt:variant>
      <vt:variant>
        <vt:lpwstr>_Toc211614761</vt:lpwstr>
      </vt:variant>
      <vt:variant>
        <vt:i4>1179701</vt:i4>
      </vt:variant>
      <vt:variant>
        <vt:i4>158</vt:i4>
      </vt:variant>
      <vt:variant>
        <vt:i4>0</vt:i4>
      </vt:variant>
      <vt:variant>
        <vt:i4>5</vt:i4>
      </vt:variant>
      <vt:variant>
        <vt:lpwstr/>
      </vt:variant>
      <vt:variant>
        <vt:lpwstr>_Toc211614760</vt:lpwstr>
      </vt:variant>
      <vt:variant>
        <vt:i4>1114165</vt:i4>
      </vt:variant>
      <vt:variant>
        <vt:i4>152</vt:i4>
      </vt:variant>
      <vt:variant>
        <vt:i4>0</vt:i4>
      </vt:variant>
      <vt:variant>
        <vt:i4>5</vt:i4>
      </vt:variant>
      <vt:variant>
        <vt:lpwstr/>
      </vt:variant>
      <vt:variant>
        <vt:lpwstr>_Toc211614759</vt:lpwstr>
      </vt:variant>
      <vt:variant>
        <vt:i4>1114165</vt:i4>
      </vt:variant>
      <vt:variant>
        <vt:i4>146</vt:i4>
      </vt:variant>
      <vt:variant>
        <vt:i4>0</vt:i4>
      </vt:variant>
      <vt:variant>
        <vt:i4>5</vt:i4>
      </vt:variant>
      <vt:variant>
        <vt:lpwstr/>
      </vt:variant>
      <vt:variant>
        <vt:lpwstr>_Toc211614758</vt:lpwstr>
      </vt:variant>
      <vt:variant>
        <vt:i4>1114165</vt:i4>
      </vt:variant>
      <vt:variant>
        <vt:i4>140</vt:i4>
      </vt:variant>
      <vt:variant>
        <vt:i4>0</vt:i4>
      </vt:variant>
      <vt:variant>
        <vt:i4>5</vt:i4>
      </vt:variant>
      <vt:variant>
        <vt:lpwstr/>
      </vt:variant>
      <vt:variant>
        <vt:lpwstr>_Toc211614757</vt:lpwstr>
      </vt:variant>
      <vt:variant>
        <vt:i4>1114165</vt:i4>
      </vt:variant>
      <vt:variant>
        <vt:i4>134</vt:i4>
      </vt:variant>
      <vt:variant>
        <vt:i4>0</vt:i4>
      </vt:variant>
      <vt:variant>
        <vt:i4>5</vt:i4>
      </vt:variant>
      <vt:variant>
        <vt:lpwstr/>
      </vt:variant>
      <vt:variant>
        <vt:lpwstr>_Toc211614756</vt:lpwstr>
      </vt:variant>
      <vt:variant>
        <vt:i4>1114165</vt:i4>
      </vt:variant>
      <vt:variant>
        <vt:i4>128</vt:i4>
      </vt:variant>
      <vt:variant>
        <vt:i4>0</vt:i4>
      </vt:variant>
      <vt:variant>
        <vt:i4>5</vt:i4>
      </vt:variant>
      <vt:variant>
        <vt:lpwstr/>
      </vt:variant>
      <vt:variant>
        <vt:lpwstr>_Toc211614755</vt:lpwstr>
      </vt:variant>
      <vt:variant>
        <vt:i4>1114165</vt:i4>
      </vt:variant>
      <vt:variant>
        <vt:i4>122</vt:i4>
      </vt:variant>
      <vt:variant>
        <vt:i4>0</vt:i4>
      </vt:variant>
      <vt:variant>
        <vt:i4>5</vt:i4>
      </vt:variant>
      <vt:variant>
        <vt:lpwstr/>
      </vt:variant>
      <vt:variant>
        <vt:lpwstr>_Toc211614754</vt:lpwstr>
      </vt:variant>
      <vt:variant>
        <vt:i4>1114165</vt:i4>
      </vt:variant>
      <vt:variant>
        <vt:i4>116</vt:i4>
      </vt:variant>
      <vt:variant>
        <vt:i4>0</vt:i4>
      </vt:variant>
      <vt:variant>
        <vt:i4>5</vt:i4>
      </vt:variant>
      <vt:variant>
        <vt:lpwstr/>
      </vt:variant>
      <vt:variant>
        <vt:lpwstr>_Toc211614753</vt:lpwstr>
      </vt:variant>
      <vt:variant>
        <vt:i4>1114165</vt:i4>
      </vt:variant>
      <vt:variant>
        <vt:i4>110</vt:i4>
      </vt:variant>
      <vt:variant>
        <vt:i4>0</vt:i4>
      </vt:variant>
      <vt:variant>
        <vt:i4>5</vt:i4>
      </vt:variant>
      <vt:variant>
        <vt:lpwstr/>
      </vt:variant>
      <vt:variant>
        <vt:lpwstr>_Toc211614752</vt:lpwstr>
      </vt:variant>
      <vt:variant>
        <vt:i4>1114165</vt:i4>
      </vt:variant>
      <vt:variant>
        <vt:i4>104</vt:i4>
      </vt:variant>
      <vt:variant>
        <vt:i4>0</vt:i4>
      </vt:variant>
      <vt:variant>
        <vt:i4>5</vt:i4>
      </vt:variant>
      <vt:variant>
        <vt:lpwstr/>
      </vt:variant>
      <vt:variant>
        <vt:lpwstr>_Toc211614751</vt:lpwstr>
      </vt:variant>
      <vt:variant>
        <vt:i4>1114165</vt:i4>
      </vt:variant>
      <vt:variant>
        <vt:i4>98</vt:i4>
      </vt:variant>
      <vt:variant>
        <vt:i4>0</vt:i4>
      </vt:variant>
      <vt:variant>
        <vt:i4>5</vt:i4>
      </vt:variant>
      <vt:variant>
        <vt:lpwstr/>
      </vt:variant>
      <vt:variant>
        <vt:lpwstr>_Toc211614750</vt:lpwstr>
      </vt:variant>
      <vt:variant>
        <vt:i4>1048629</vt:i4>
      </vt:variant>
      <vt:variant>
        <vt:i4>92</vt:i4>
      </vt:variant>
      <vt:variant>
        <vt:i4>0</vt:i4>
      </vt:variant>
      <vt:variant>
        <vt:i4>5</vt:i4>
      </vt:variant>
      <vt:variant>
        <vt:lpwstr/>
      </vt:variant>
      <vt:variant>
        <vt:lpwstr>_Toc211614749</vt:lpwstr>
      </vt:variant>
      <vt:variant>
        <vt:i4>1048629</vt:i4>
      </vt:variant>
      <vt:variant>
        <vt:i4>86</vt:i4>
      </vt:variant>
      <vt:variant>
        <vt:i4>0</vt:i4>
      </vt:variant>
      <vt:variant>
        <vt:i4>5</vt:i4>
      </vt:variant>
      <vt:variant>
        <vt:lpwstr/>
      </vt:variant>
      <vt:variant>
        <vt:lpwstr>_Toc211614748</vt:lpwstr>
      </vt:variant>
      <vt:variant>
        <vt:i4>1048629</vt:i4>
      </vt:variant>
      <vt:variant>
        <vt:i4>80</vt:i4>
      </vt:variant>
      <vt:variant>
        <vt:i4>0</vt:i4>
      </vt:variant>
      <vt:variant>
        <vt:i4>5</vt:i4>
      </vt:variant>
      <vt:variant>
        <vt:lpwstr/>
      </vt:variant>
      <vt:variant>
        <vt:lpwstr>_Toc211614747</vt:lpwstr>
      </vt:variant>
      <vt:variant>
        <vt:i4>1048629</vt:i4>
      </vt:variant>
      <vt:variant>
        <vt:i4>74</vt:i4>
      </vt:variant>
      <vt:variant>
        <vt:i4>0</vt:i4>
      </vt:variant>
      <vt:variant>
        <vt:i4>5</vt:i4>
      </vt:variant>
      <vt:variant>
        <vt:lpwstr/>
      </vt:variant>
      <vt:variant>
        <vt:lpwstr>_Toc211614746</vt:lpwstr>
      </vt:variant>
      <vt:variant>
        <vt:i4>1048629</vt:i4>
      </vt:variant>
      <vt:variant>
        <vt:i4>68</vt:i4>
      </vt:variant>
      <vt:variant>
        <vt:i4>0</vt:i4>
      </vt:variant>
      <vt:variant>
        <vt:i4>5</vt:i4>
      </vt:variant>
      <vt:variant>
        <vt:lpwstr/>
      </vt:variant>
      <vt:variant>
        <vt:lpwstr>_Toc211614745</vt:lpwstr>
      </vt:variant>
      <vt:variant>
        <vt:i4>1048629</vt:i4>
      </vt:variant>
      <vt:variant>
        <vt:i4>62</vt:i4>
      </vt:variant>
      <vt:variant>
        <vt:i4>0</vt:i4>
      </vt:variant>
      <vt:variant>
        <vt:i4>5</vt:i4>
      </vt:variant>
      <vt:variant>
        <vt:lpwstr/>
      </vt:variant>
      <vt:variant>
        <vt:lpwstr>_Toc211614744</vt:lpwstr>
      </vt:variant>
      <vt:variant>
        <vt:i4>1048629</vt:i4>
      </vt:variant>
      <vt:variant>
        <vt:i4>56</vt:i4>
      </vt:variant>
      <vt:variant>
        <vt:i4>0</vt:i4>
      </vt:variant>
      <vt:variant>
        <vt:i4>5</vt:i4>
      </vt:variant>
      <vt:variant>
        <vt:lpwstr/>
      </vt:variant>
      <vt:variant>
        <vt:lpwstr>_Toc211614743</vt:lpwstr>
      </vt:variant>
      <vt:variant>
        <vt:i4>1048629</vt:i4>
      </vt:variant>
      <vt:variant>
        <vt:i4>50</vt:i4>
      </vt:variant>
      <vt:variant>
        <vt:i4>0</vt:i4>
      </vt:variant>
      <vt:variant>
        <vt:i4>5</vt:i4>
      </vt:variant>
      <vt:variant>
        <vt:lpwstr/>
      </vt:variant>
      <vt:variant>
        <vt:lpwstr>_Toc211614742</vt:lpwstr>
      </vt:variant>
      <vt:variant>
        <vt:i4>1048629</vt:i4>
      </vt:variant>
      <vt:variant>
        <vt:i4>44</vt:i4>
      </vt:variant>
      <vt:variant>
        <vt:i4>0</vt:i4>
      </vt:variant>
      <vt:variant>
        <vt:i4>5</vt:i4>
      </vt:variant>
      <vt:variant>
        <vt:lpwstr/>
      </vt:variant>
      <vt:variant>
        <vt:lpwstr>_Toc211614741</vt:lpwstr>
      </vt:variant>
      <vt:variant>
        <vt:i4>1048629</vt:i4>
      </vt:variant>
      <vt:variant>
        <vt:i4>38</vt:i4>
      </vt:variant>
      <vt:variant>
        <vt:i4>0</vt:i4>
      </vt:variant>
      <vt:variant>
        <vt:i4>5</vt:i4>
      </vt:variant>
      <vt:variant>
        <vt:lpwstr/>
      </vt:variant>
      <vt:variant>
        <vt:lpwstr>_Toc211614740</vt:lpwstr>
      </vt:variant>
      <vt:variant>
        <vt:i4>1507381</vt:i4>
      </vt:variant>
      <vt:variant>
        <vt:i4>32</vt:i4>
      </vt:variant>
      <vt:variant>
        <vt:i4>0</vt:i4>
      </vt:variant>
      <vt:variant>
        <vt:i4>5</vt:i4>
      </vt:variant>
      <vt:variant>
        <vt:lpwstr/>
      </vt:variant>
      <vt:variant>
        <vt:lpwstr>_Toc211614739</vt:lpwstr>
      </vt:variant>
      <vt:variant>
        <vt:i4>1507381</vt:i4>
      </vt:variant>
      <vt:variant>
        <vt:i4>26</vt:i4>
      </vt:variant>
      <vt:variant>
        <vt:i4>0</vt:i4>
      </vt:variant>
      <vt:variant>
        <vt:i4>5</vt:i4>
      </vt:variant>
      <vt:variant>
        <vt:lpwstr/>
      </vt:variant>
      <vt:variant>
        <vt:lpwstr>_Toc211614738</vt:lpwstr>
      </vt:variant>
      <vt:variant>
        <vt:i4>1507381</vt:i4>
      </vt:variant>
      <vt:variant>
        <vt:i4>20</vt:i4>
      </vt:variant>
      <vt:variant>
        <vt:i4>0</vt:i4>
      </vt:variant>
      <vt:variant>
        <vt:i4>5</vt:i4>
      </vt:variant>
      <vt:variant>
        <vt:lpwstr/>
      </vt:variant>
      <vt:variant>
        <vt:lpwstr>_Toc211614737</vt:lpwstr>
      </vt:variant>
      <vt:variant>
        <vt:i4>1507381</vt:i4>
      </vt:variant>
      <vt:variant>
        <vt:i4>14</vt:i4>
      </vt:variant>
      <vt:variant>
        <vt:i4>0</vt:i4>
      </vt:variant>
      <vt:variant>
        <vt:i4>5</vt:i4>
      </vt:variant>
      <vt:variant>
        <vt:lpwstr/>
      </vt:variant>
      <vt:variant>
        <vt:lpwstr>_Toc211614736</vt:lpwstr>
      </vt:variant>
      <vt:variant>
        <vt:i4>1507381</vt:i4>
      </vt:variant>
      <vt:variant>
        <vt:i4>8</vt:i4>
      </vt:variant>
      <vt:variant>
        <vt:i4>0</vt:i4>
      </vt:variant>
      <vt:variant>
        <vt:i4>5</vt:i4>
      </vt:variant>
      <vt:variant>
        <vt:lpwstr/>
      </vt:variant>
      <vt:variant>
        <vt:lpwstr>_Toc211614735</vt:lpwstr>
      </vt:variant>
      <vt:variant>
        <vt:i4>1507381</vt:i4>
      </vt:variant>
      <vt:variant>
        <vt:i4>2</vt:i4>
      </vt:variant>
      <vt:variant>
        <vt:i4>0</vt:i4>
      </vt:variant>
      <vt:variant>
        <vt:i4>5</vt:i4>
      </vt:variant>
      <vt:variant>
        <vt:lpwstr/>
      </vt:variant>
      <vt:variant>
        <vt:lpwstr>_Toc211614734</vt:lpwstr>
      </vt:variant>
      <vt:variant>
        <vt:i4>5177373</vt:i4>
      </vt:variant>
      <vt:variant>
        <vt:i4>45</vt:i4>
      </vt:variant>
      <vt:variant>
        <vt:i4>0</vt:i4>
      </vt:variant>
      <vt:variant>
        <vt:i4>5</vt:i4>
      </vt:variant>
      <vt:variant>
        <vt:lpwstr>https://unece.org/sed/documents/2021/10/reports/life-cycle-assessment-electricity-generation-options</vt:lpwstr>
      </vt:variant>
      <vt:variant>
        <vt:lpwstr/>
      </vt:variant>
      <vt:variant>
        <vt:i4>4325500</vt:i4>
      </vt:variant>
      <vt:variant>
        <vt:i4>42</vt:i4>
      </vt:variant>
      <vt:variant>
        <vt:i4>0</vt:i4>
      </vt:variant>
      <vt:variant>
        <vt:i4>5</vt:i4>
      </vt:variant>
      <vt:variant>
        <vt:lpwstr>https://www.netl.doe.gov/projects/files/LifeCycleAnalysisofNaturalGasExtractionandPowerGenerationUS2020EmissionsProfile_121724.pdf</vt:lpwstr>
      </vt:variant>
      <vt:variant>
        <vt:lpwstr/>
      </vt:variant>
      <vt:variant>
        <vt:i4>131127</vt:i4>
      </vt:variant>
      <vt:variant>
        <vt:i4>39</vt:i4>
      </vt:variant>
      <vt:variant>
        <vt:i4>0</vt:i4>
      </vt:variant>
      <vt:variant>
        <vt:i4>5</vt:i4>
      </vt:variant>
      <vt:variant>
        <vt:lpwstr>https://cdn0.scrvt.com/2828ebc457efab95be01dd36047e3b52/8fde0b1cea96b7c1/22e104ceb3e7/Vitomax-HS-Technical-Data.PDF?utm_source=chatgpt.com</vt:lpwstr>
      </vt:variant>
      <vt:variant>
        <vt:lpwstr/>
      </vt:variant>
      <vt:variant>
        <vt:i4>5636129</vt:i4>
      </vt:variant>
      <vt:variant>
        <vt:i4>36</vt:i4>
      </vt:variant>
      <vt:variant>
        <vt:i4>0</vt:i4>
      </vt:variant>
      <vt:variant>
        <vt:i4>5</vt:i4>
      </vt:variant>
      <vt:variant>
        <vt:lpwstr>https://www.cat.com/en_US/products/new/power-systems/electric-power/gas-generator-sets/15969826.html</vt:lpwstr>
      </vt:variant>
      <vt:variant>
        <vt:lpwstr/>
      </vt:variant>
      <vt:variant>
        <vt:i4>4325500</vt:i4>
      </vt:variant>
      <vt:variant>
        <vt:i4>33</vt:i4>
      </vt:variant>
      <vt:variant>
        <vt:i4>0</vt:i4>
      </vt:variant>
      <vt:variant>
        <vt:i4>5</vt:i4>
      </vt:variant>
      <vt:variant>
        <vt:lpwstr>https://www.netl.doe.gov/projects/files/LifeCycleAnalysisofNaturalGasExtractionandPowerGenerationUS2020EmissionsProfile_121724.pdf</vt:lpwstr>
      </vt:variant>
      <vt:variant>
        <vt:lpwstr/>
      </vt:variant>
      <vt:variant>
        <vt:i4>1114180</vt:i4>
      </vt:variant>
      <vt:variant>
        <vt:i4>30</vt:i4>
      </vt:variant>
      <vt:variant>
        <vt:i4>0</vt:i4>
      </vt:variant>
      <vt:variant>
        <vt:i4>5</vt:i4>
      </vt:variant>
      <vt:variant>
        <vt:lpwstr>https://theicct.org/wp-content/uploads/2023/02/Lifecycle-assessment-trucks-and-buses-emissions-Europe.pdf</vt:lpwstr>
      </vt:variant>
      <vt:variant>
        <vt:lpwstr/>
      </vt:variant>
      <vt:variant>
        <vt:i4>4325446</vt:i4>
      </vt:variant>
      <vt:variant>
        <vt:i4>27</vt:i4>
      </vt:variant>
      <vt:variant>
        <vt:i4>0</vt:i4>
      </vt:variant>
      <vt:variant>
        <vt:i4>5</vt:i4>
      </vt:variant>
      <vt:variant>
        <vt:lpwstr>https://glassfibreeurope.eu/life-cycle-assessment-of-continuous-filament-glass-fibre-products-2/</vt:lpwstr>
      </vt:variant>
      <vt:variant>
        <vt:lpwstr/>
      </vt:variant>
      <vt:variant>
        <vt:i4>6881293</vt:i4>
      </vt:variant>
      <vt:variant>
        <vt:i4>24</vt:i4>
      </vt:variant>
      <vt:variant>
        <vt:i4>0</vt:i4>
      </vt:variant>
      <vt:variant>
        <vt:i4>5</vt:i4>
      </vt:variant>
      <vt:variant>
        <vt:lpwstr>https://www.sciencedirect.com/science/article/pii/S1526612523000944?ref=pdf_download&amp;fr=RR-7&amp;rr=976f1ff31c261db8</vt:lpwstr>
      </vt:variant>
      <vt:variant>
        <vt:lpwstr/>
      </vt:variant>
      <vt:variant>
        <vt:i4>131093</vt:i4>
      </vt:variant>
      <vt:variant>
        <vt:i4>21</vt:i4>
      </vt:variant>
      <vt:variant>
        <vt:i4>0</vt:i4>
      </vt:variant>
      <vt:variant>
        <vt:i4>5</vt:i4>
      </vt:variant>
      <vt:variant>
        <vt:lpwstr>https://steelheadcomposites.com/sites/default/files/2024-01/CNG-Brochure.pdf</vt:lpwstr>
      </vt:variant>
      <vt:variant>
        <vt:lpwstr/>
      </vt:variant>
      <vt:variant>
        <vt:i4>2687011</vt:i4>
      </vt:variant>
      <vt:variant>
        <vt:i4>18</vt:i4>
      </vt:variant>
      <vt:variant>
        <vt:i4>0</vt:i4>
      </vt:variant>
      <vt:variant>
        <vt:i4>5</vt:i4>
      </vt:variant>
      <vt:variant>
        <vt:lpwstr>https://pdf.sciencedirectassets.com/271750/1-s2.0-S0959652620X0028X/1-s2.0-S0959652620340555/am.pdf?X-Amz-Security-Token=IQoJb3JpZ2luX2VjEFsaCXVzLWVhc3QtMSJHMEUCIEkQxgygm0pT55sj0BIKSgz%2FLB5dru6zY9o18TpqjrrLAiEApIpBY7rY1FMqFn%2Fvc1gGfShyOCl%2Be7DnGHhLTnPI%2BO8qswUIZBAFGgwwNTkwMDM1NDY4NjUiDBDYYY15xgtxLJDoiSqQBShT255T4Z7gUYPI5GyOT6Zwefx%2B2cMswFnOXedF4pfiQF9fX14WVWHt9yizDdQfYzUvyu4Oy%2FA9AZSj0EAo5HQIkngQcEaGThxmoIdUtED1LmVITtkO8YaBi%2Bjj8loltldW99Rxo67QdsadQuKYD5qiXazw7k8lp%2BH4lP8Z4FRLyRyUVM1iafm%2FRoY7glS90HSIiEHLFCG91PfiCUpQdtn%2BBcUm4UKQ2XU9v5%2Bt1R6BpRI3HKnKxMONG%2Bel8SYp%2BWwIhZC22I%2FSV5zDazisOFnB4cv7XIpRekr33rv85Iu8ejXDoQp6oxuqLt3fLvpObjSq0168jIOh4rAZdXQyD2xoVaIHnMmePu581vfZ82pIZP73cIatVztrxIX0mBVQ8uDTXMwt28jMSFDQHQj%2Bu7lC4qKGePAHurmTeVctPYftmtQ7HBQ855aoynukNBEGj6F3CwYUaxaEBL7gXGMgBr8Wyr4fovChtRz5fKRsmrGlC7edEvsJ8HlI5JuonB4%2FAJbIy4zhnH%2F%2B41Y7utuKm8FK4jzeUHRlpFz7xUTco4ur2POYbQMin%2BUu7SGPftnO9SXuUZAZ8F1ShdpPxUdaRMJROFufLRV5%2FszdnWywdZsmxTAjSIT9dsirWKZ%2BqHTiO6qWMUuhpzDaG5IX48MSLGZ5VQbwvgKKow4nMJcdpXpNKxGeqOVW25VplnpWJ4fZRv3Z8qr6ucmJtiY5JeSOBoUgizptG%2BXYi4yl9T8DvZHfxyhwjKv2cxnL64JWhsY7YNrKxWt%2F7AdWt6Lfz4fDBP3%2BZPVBgps03h1vLlRNwRlGX09XNGD349IH%2BXIWKz20K7qsNNN0VMA89%2BoeHWQo6cZewjx9B9HeqVY2Ze31WXWeMMqGq8MGOrEBwJE2KBQFZ8mZEkFuUGdzqB0oJacDfL1568pxBN7S%2FHFdI3thfYI1ewvhNZgHj5IpsYYrvT0rKBYTwZJdhvkkgVnCWyqZ%2BK%2BHCSUMxXWevHbN2MOgv6RO2EvIhLLpIhYcFbZu07iOeluQNFo8XFYnhU6efp64JBbLWJiQZTmB5JivnqDvrsTJ2aTgE4iz8OFpyHig9dPEw6Yd7sKNnWNVX0L4U9TOuBIX898gSGEj%2B8v3&amp;X-Amz-Algorithm=AWS4-HMAC-SHA256&amp;X-Amz-Date=20250706T192529Z&amp;X-Amz-SignedHeaders=host&amp;X-Amz-Expires=300&amp;X-Amz-Credential=ASIAQ3PHCVTYZ74ZD3JP%2F20250706%2Fus-east-1%2Fs3%2Faws4_request&amp;X-Amz-Signature=474d14d11a3f0ed0f522867fcaa4d8e922406e81bd0e09d87dd783efaad98e67&amp;hash=4c36358b6b302d52b6601367a82c24390fb88e8d93aee8fec6aaf71a9bf8ab14&amp;host=68042c943591013ac2b2430a89b270f6af2c76d8dfd086a07176afe7c76c2c61&amp;pii=S0959652620340555&amp;tid=pdf-6d5d6eec-472b-4d35-ac86-1323dec375aa&amp;sid=60b137b34718d14d8e3841c52e99802970e5gxrqb&amp;type=client</vt:lpwstr>
      </vt:variant>
      <vt:variant>
        <vt:lpwstr/>
      </vt:variant>
      <vt:variant>
        <vt:i4>2883696</vt:i4>
      </vt:variant>
      <vt:variant>
        <vt:i4>15</vt:i4>
      </vt:variant>
      <vt:variant>
        <vt:i4>0</vt:i4>
      </vt:variant>
      <vt:variant>
        <vt:i4>5</vt:i4>
      </vt:variant>
      <vt:variant>
        <vt:lpwstr>https://www.youmats.com/en/plumbing/pipe-and-fittings/hdpe-pipes-and-fittings/hdpe-pipes/hdpe-pipe-pn-10-bar-pe-80-od-315-mm-black-color-alwasail-194/</vt:lpwstr>
      </vt:variant>
      <vt:variant>
        <vt:lpwstr/>
      </vt:variant>
      <vt:variant>
        <vt:i4>1900565</vt:i4>
      </vt:variant>
      <vt:variant>
        <vt:i4>12</vt:i4>
      </vt:variant>
      <vt:variant>
        <vt:i4>0</vt:i4>
      </vt:variant>
      <vt:variant>
        <vt:i4>5</vt:i4>
      </vt:variant>
      <vt:variant>
        <vt:lpwstr>https://cdm.unfccc.int/UserManagement/FileStorage/30BQNA7GEM4ZCPWI895FHDXRLJTSK6</vt:lpwstr>
      </vt:variant>
      <vt:variant>
        <vt:lpwstr/>
      </vt:variant>
      <vt:variant>
        <vt:i4>8257592</vt:i4>
      </vt:variant>
      <vt:variant>
        <vt:i4>9</vt:i4>
      </vt:variant>
      <vt:variant>
        <vt:i4>0</vt:i4>
      </vt:variant>
      <vt:variant>
        <vt:i4>5</vt:i4>
      </vt:variant>
      <vt:variant>
        <vt:lpwstr>https://unfccc.int/sites/default/files/resource/A6.4-PROC-METH-001.pdf</vt:lpwstr>
      </vt:variant>
      <vt:variant>
        <vt:lpwstr/>
      </vt:variant>
      <vt:variant>
        <vt:i4>3801132</vt:i4>
      </vt:variant>
      <vt:variant>
        <vt:i4>6</vt:i4>
      </vt:variant>
      <vt:variant>
        <vt:i4>0</vt:i4>
      </vt:variant>
      <vt:variant>
        <vt:i4>5</vt:i4>
      </vt:variant>
      <vt:variant>
        <vt:lpwstr>https://www.ipcc-nggip.iges.or.jp/public/2006gl/index.html</vt:lpwstr>
      </vt:variant>
      <vt:variant>
        <vt:lpwstr/>
      </vt:variant>
      <vt:variant>
        <vt:i4>3014697</vt:i4>
      </vt:variant>
      <vt:variant>
        <vt:i4>3</vt:i4>
      </vt:variant>
      <vt:variant>
        <vt:i4>0</vt:i4>
      </vt:variant>
      <vt:variant>
        <vt:i4>5</vt:i4>
      </vt:variant>
      <vt:variant>
        <vt:lpwstr>https://www.ipcc-nggip.iges.or.jp/public/2019rf/index.html</vt:lpwstr>
      </vt:variant>
      <vt:variant>
        <vt:lpwstr/>
      </vt:variant>
      <vt:variant>
        <vt:i4>8257592</vt:i4>
      </vt:variant>
      <vt:variant>
        <vt:i4>0</vt:i4>
      </vt:variant>
      <vt:variant>
        <vt:i4>0</vt:i4>
      </vt:variant>
      <vt:variant>
        <vt:i4>5</vt:i4>
      </vt:variant>
      <vt:variant>
        <vt:lpwstr>https://unfccc.int/sites/default/files/resource/A6.4-PROC-METH-001.pdf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A6.4-SBM019-A02</dc:title>
  <dc:subject/>
  <dc:creator>UNFCCC</dc:creator>
  <cp:keywords/>
  <dc:description/>
  <cp:lastModifiedBy>Jane Stickdorn</cp:lastModifiedBy>
  <cp:revision>6</cp:revision>
  <cp:lastPrinted>2025-11-03T13:11:00Z</cp:lastPrinted>
  <dcterms:created xsi:type="dcterms:W3CDTF">2025-11-03T13:12:00Z</dcterms:created>
  <dcterms:modified xsi:type="dcterms:W3CDTF">2025-11-05T16:05:00Z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0x0101008FB6730B0802B54A9F00C78B857E1443</vt:lpwstr>
  </property>
  <property fmtid="{D5CDD505-2E9C-101B-9397-08002B2CF9AE}" pid="3" name="_ModernAudienceTargetUserField">
    <vt:lpwstr/>
  </property>
  <property fmtid="{D5CDD505-2E9C-101B-9397-08002B2CF9AE}" pid="4" name="Document">
    <vt:lpwstr>Annex</vt:lpwstr>
  </property>
  <property fmtid="{D5CDD505-2E9C-101B-9397-08002B2CF9AE}" pid="5" name="Officer(s)">
    <vt:lpwstr/>
  </property>
  <property fmtid="{D5CDD505-2E9C-101B-9397-08002B2CF9AE}" pid="6" name="Team Lead">
    <vt:lpwstr/>
  </property>
  <property fmtid="{D5CDD505-2E9C-101B-9397-08002B2CF9AE}" pid="7" name="Category">
    <vt:lpwstr>Working document</vt:lpwstr>
  </property>
  <property fmtid="{D5CDD505-2E9C-101B-9397-08002B2CF9AE}" pid="8" name="Expert(s)">
    <vt:lpwstr/>
  </property>
  <property fmtid="{D5CDD505-2E9C-101B-9397-08002B2CF9AE}" pid="9" name="MediaServiceImageTags">
    <vt:lpwstr/>
  </property>
</Properties>
</file>