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2" w:type="dxa"/>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1488"/>
        <w:gridCol w:w="2976"/>
        <w:gridCol w:w="5288"/>
      </w:tblGrid>
      <w:tr w:rsidR="000253FA" w:rsidRPr="001C0510" w14:paraId="1639E49C" w14:textId="77777777" w:rsidTr="004C2F07">
        <w:trPr>
          <w:cantSplit/>
          <w:trHeight w:val="1361"/>
        </w:trPr>
        <w:tc>
          <w:tcPr>
            <w:tcW w:w="1488" w:type="dxa"/>
            <w:tcBorders>
              <w:top w:val="double" w:sz="4" w:space="0" w:color="auto"/>
              <w:bottom w:val="single" w:sz="4" w:space="0" w:color="auto"/>
              <w:right w:val="nil"/>
            </w:tcBorders>
            <w:shd w:val="clear" w:color="auto" w:fill="auto"/>
            <w:vAlign w:val="center"/>
          </w:tcPr>
          <w:p w14:paraId="6D64EF72" w14:textId="1399C959" w:rsidR="000253FA" w:rsidRPr="001C0510" w:rsidRDefault="000253FA" w:rsidP="000253FA">
            <w:pPr>
              <w:ind w:left="85"/>
              <w:jc w:val="center"/>
              <w:rPr>
                <w:b/>
                <w:sz w:val="24"/>
                <w:szCs w:val="24"/>
              </w:rPr>
            </w:pPr>
            <w:r w:rsidRPr="006F4D0B">
              <w:rPr>
                <w:noProof/>
              </w:rPr>
              <w:drawing>
                <wp:inline distT="0" distB="0" distL="0" distR="0" wp14:anchorId="46A775BB" wp14:editId="03F8955B">
                  <wp:extent cx="571500" cy="4572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inline>
              </w:drawing>
            </w:r>
          </w:p>
        </w:tc>
        <w:tc>
          <w:tcPr>
            <w:tcW w:w="8264" w:type="dxa"/>
            <w:gridSpan w:val="2"/>
            <w:tcBorders>
              <w:top w:val="double" w:sz="4" w:space="0" w:color="auto"/>
              <w:left w:val="nil"/>
              <w:bottom w:val="single" w:sz="4" w:space="0" w:color="auto"/>
            </w:tcBorders>
            <w:shd w:val="clear" w:color="auto" w:fill="auto"/>
            <w:vAlign w:val="center"/>
          </w:tcPr>
          <w:p w14:paraId="48FA9DE2" w14:textId="558B03CB" w:rsidR="00274D2F" w:rsidRDefault="000636C3" w:rsidP="000253FA">
            <w:pPr>
              <w:pStyle w:val="TitleForm"/>
              <w:ind w:left="178"/>
              <w:rPr>
                <w:caps/>
              </w:rPr>
            </w:pPr>
            <w:r>
              <w:rPr>
                <w:caps/>
              </w:rPr>
              <w:t>Outline for the initial report and updated initial report referred to in decision 2/cma.3</w:t>
            </w:r>
            <w:r w:rsidR="00D4003A">
              <w:rPr>
                <w:caps/>
              </w:rPr>
              <w:t xml:space="preserve">, annex, chapter </w:t>
            </w:r>
            <w:r w:rsidR="005C12BF">
              <w:rPr>
                <w:caps/>
              </w:rPr>
              <w:t>I</w:t>
            </w:r>
            <w:r w:rsidR="00D4003A">
              <w:rPr>
                <w:caps/>
              </w:rPr>
              <w:t>v.a (initial report)</w:t>
            </w:r>
            <w:r w:rsidR="008E224B">
              <w:rPr>
                <w:rStyle w:val="FootnoteReference"/>
                <w:caps/>
              </w:rPr>
              <w:footnoteReference w:id="2"/>
            </w:r>
            <w:r w:rsidR="00DB2212">
              <w:rPr>
                <w:caps/>
              </w:rPr>
              <w:t xml:space="preserve"> </w:t>
            </w:r>
            <w:r w:rsidR="002C0D30">
              <w:rPr>
                <w:rStyle w:val="FootnoteReference"/>
                <w:caps/>
              </w:rPr>
              <w:footnoteReference w:id="3"/>
            </w:r>
            <w:r w:rsidR="00DB2212">
              <w:rPr>
                <w:caps/>
              </w:rPr>
              <w:t xml:space="preserve"> </w:t>
            </w:r>
            <w:r w:rsidR="0069179F">
              <w:rPr>
                <w:rStyle w:val="FootnoteReference"/>
                <w:caps/>
              </w:rPr>
              <w:footnoteReference w:id="4"/>
            </w:r>
          </w:p>
          <w:p w14:paraId="38790822" w14:textId="6C6B454E" w:rsidR="000253FA" w:rsidRPr="006F4D0B" w:rsidRDefault="000253FA" w:rsidP="000253FA">
            <w:pPr>
              <w:pStyle w:val="TitleForm"/>
              <w:ind w:left="178"/>
            </w:pPr>
            <w:r w:rsidRPr="006F4D0B">
              <w:t>(</w:t>
            </w:r>
            <w:r>
              <w:t>Version 0</w:t>
            </w:r>
            <w:r w:rsidR="00D4003A">
              <w:t>2</w:t>
            </w:r>
            <w:r>
              <w:t>.0</w:t>
            </w:r>
            <w:r w:rsidRPr="006F4D0B">
              <w:t>)</w:t>
            </w:r>
          </w:p>
        </w:tc>
      </w:tr>
      <w:tr w:rsidR="00AE5C58" w:rsidRPr="001C0510" w14:paraId="60639EFF" w14:textId="77777777" w:rsidTr="004C2F07">
        <w:trPr>
          <w:trHeight w:val="53"/>
        </w:trPr>
        <w:tc>
          <w:tcPr>
            <w:tcW w:w="9752" w:type="dxa"/>
            <w:gridSpan w:val="3"/>
            <w:tcBorders>
              <w:top w:val="dotted" w:sz="4" w:space="0" w:color="auto"/>
              <w:bottom w:val="single" w:sz="4" w:space="0" w:color="auto"/>
            </w:tcBorders>
            <w:shd w:val="clear" w:color="auto" w:fill="auto"/>
            <w:vAlign w:val="center"/>
          </w:tcPr>
          <w:p w14:paraId="43188444" w14:textId="22879447" w:rsidR="00B75CDB" w:rsidRDefault="00B75CDB" w:rsidP="000C378A">
            <w:pPr>
              <w:jc w:val="right"/>
            </w:pPr>
            <w:r>
              <w:tab/>
            </w:r>
            <w:r>
              <w:tab/>
            </w:r>
            <w:r>
              <w:tab/>
            </w:r>
            <w:r>
              <w:tab/>
            </w:r>
            <w:r>
              <w:tab/>
            </w:r>
            <w:r>
              <w:tab/>
            </w:r>
            <w:r>
              <w:tab/>
            </w:r>
            <w:r>
              <w:tab/>
            </w:r>
            <w:r>
              <w:tab/>
            </w:r>
            <w:r>
              <w:tab/>
            </w:r>
            <w:r>
              <w:tab/>
            </w:r>
            <w:r>
              <w:tab/>
            </w:r>
            <w:r>
              <w:tab/>
            </w:r>
            <w:r>
              <w:tab/>
            </w:r>
            <w:r w:rsidR="000C378A">
              <w:t>[English only]</w:t>
            </w:r>
          </w:p>
          <w:tbl>
            <w:tblPr>
              <w:tblStyle w:val="TableGrid"/>
              <w:tblW w:w="9526" w:type="dxa"/>
              <w:jc w:val="center"/>
              <w:tblLayout w:type="fixed"/>
              <w:tblLook w:val="04A0" w:firstRow="1" w:lastRow="0" w:firstColumn="1" w:lastColumn="0" w:noHBand="0" w:noVBand="1"/>
            </w:tblPr>
            <w:tblGrid>
              <w:gridCol w:w="4763"/>
              <w:gridCol w:w="4763"/>
            </w:tblGrid>
            <w:tr w:rsidR="00D83FC9" w:rsidRPr="00E7251C" w14:paraId="33DFB539" w14:textId="77777777" w:rsidTr="00DB6E11">
              <w:trPr>
                <w:jc w:val="center"/>
              </w:trPr>
              <w:tc>
                <w:tcPr>
                  <w:tcW w:w="4763" w:type="dxa"/>
                </w:tcPr>
                <w:p w14:paraId="5A5BB9CB" w14:textId="45420BF7" w:rsidR="00D83FC9" w:rsidRPr="004E1B17" w:rsidRDefault="00D83FC9" w:rsidP="00DB6E11">
                  <w:pPr>
                    <w:pStyle w:val="RegTypePara"/>
                    <w:spacing w:after="120"/>
                    <w:ind w:left="0"/>
                    <w:rPr>
                      <w:rStyle w:val="RegTypeParaChar"/>
                      <w:rFonts w:asciiTheme="minorBidi" w:hAnsiTheme="minorBidi" w:cstheme="minorBidi"/>
                      <w:sz w:val="22"/>
                      <w:szCs w:val="22"/>
                    </w:rPr>
                  </w:pPr>
                  <w:r w:rsidRPr="004E1B17">
                    <w:rPr>
                      <w:rFonts w:asciiTheme="minorBidi" w:hAnsiTheme="minorBidi" w:cstheme="minorBidi"/>
                      <w:b/>
                      <w:bCs/>
                      <w:sz w:val="22"/>
                      <w:szCs w:val="22"/>
                    </w:rPr>
                    <w:t>Party</w:t>
                  </w:r>
                </w:p>
              </w:tc>
              <w:tc>
                <w:tcPr>
                  <w:tcW w:w="4763" w:type="dxa"/>
                </w:tcPr>
                <w:p w14:paraId="1D8AAB35" w14:textId="5ACF1E6C" w:rsidR="00D83FC9" w:rsidRPr="00E7251C" w:rsidRDefault="00D83FC9" w:rsidP="00B75CDB">
                  <w:pPr>
                    <w:pStyle w:val="RegTypePara"/>
                    <w:spacing w:after="120"/>
                    <w:ind w:left="0"/>
                    <w:rPr>
                      <w:rStyle w:val="RegTypeParaChar"/>
                      <w:rFonts w:asciiTheme="minorBidi" w:hAnsiTheme="minorBidi" w:cstheme="minorBidi"/>
                    </w:rPr>
                  </w:pPr>
                  <w:r w:rsidRPr="00E7251C">
                    <w:rPr>
                      <w:rFonts w:asciiTheme="minorBidi" w:hAnsiTheme="minorBidi" w:cstheme="minorBidi"/>
                      <w:color w:val="A6A6A6" w:themeColor="background1" w:themeShade="A6"/>
                    </w:rPr>
                    <w:t>Party name</w:t>
                  </w:r>
                </w:p>
              </w:tc>
            </w:tr>
            <w:tr w:rsidR="00D83FC9" w:rsidRPr="00E7251C" w14:paraId="0363E61D" w14:textId="77777777" w:rsidTr="00DB6E11">
              <w:trPr>
                <w:jc w:val="center"/>
              </w:trPr>
              <w:tc>
                <w:tcPr>
                  <w:tcW w:w="4763" w:type="dxa"/>
                </w:tcPr>
                <w:p w14:paraId="5B55D087" w14:textId="11D1E87C" w:rsidR="00D83FC9" w:rsidRPr="004E1B17" w:rsidRDefault="00D83FC9" w:rsidP="00DB6E11">
                  <w:pPr>
                    <w:pStyle w:val="RegTypePara"/>
                    <w:spacing w:after="120"/>
                    <w:ind w:left="0"/>
                    <w:rPr>
                      <w:rStyle w:val="RegTypeParaChar"/>
                      <w:rFonts w:asciiTheme="minorBidi" w:hAnsiTheme="minorBidi" w:cstheme="minorBidi"/>
                      <w:sz w:val="22"/>
                      <w:szCs w:val="22"/>
                    </w:rPr>
                  </w:pPr>
                  <w:r w:rsidRPr="004E1B17">
                    <w:rPr>
                      <w:rFonts w:asciiTheme="minorBidi" w:hAnsiTheme="minorBidi" w:cstheme="minorBidi"/>
                      <w:b/>
                      <w:bCs/>
                      <w:sz w:val="22"/>
                      <w:szCs w:val="22"/>
                    </w:rPr>
                    <w:t>NDC period</w:t>
                  </w:r>
                </w:p>
              </w:tc>
              <w:tc>
                <w:tcPr>
                  <w:tcW w:w="4763" w:type="dxa"/>
                </w:tcPr>
                <w:p w14:paraId="498C3098" w14:textId="56CEE93A" w:rsidR="00D83FC9" w:rsidRPr="00E7251C" w:rsidRDefault="00D83FC9" w:rsidP="00B75CDB">
                  <w:pPr>
                    <w:pStyle w:val="RegTypePara"/>
                    <w:spacing w:after="120"/>
                    <w:ind w:left="0"/>
                    <w:rPr>
                      <w:rStyle w:val="RegTypeParaChar"/>
                      <w:rFonts w:asciiTheme="minorBidi" w:hAnsiTheme="minorBidi" w:cstheme="minorBidi"/>
                    </w:rPr>
                  </w:pPr>
                  <w:proofErr w:type="spellStart"/>
                  <w:r w:rsidRPr="00E7251C">
                    <w:rPr>
                      <w:rFonts w:asciiTheme="minorBidi" w:hAnsiTheme="minorBidi" w:cstheme="minorBidi"/>
                      <w:color w:val="A6A6A6" w:themeColor="background1" w:themeShade="A6"/>
                    </w:rPr>
                    <w:t>yyyy</w:t>
                  </w:r>
                  <w:proofErr w:type="spellEnd"/>
                  <w:r w:rsidRPr="00E7251C">
                    <w:rPr>
                      <w:rFonts w:asciiTheme="minorBidi" w:hAnsiTheme="minorBidi" w:cstheme="minorBidi"/>
                      <w:color w:val="A6A6A6" w:themeColor="background1" w:themeShade="A6"/>
                    </w:rPr>
                    <w:t xml:space="preserve"> - </w:t>
                  </w:r>
                  <w:proofErr w:type="spellStart"/>
                  <w:r w:rsidRPr="00E7251C">
                    <w:rPr>
                      <w:rFonts w:asciiTheme="minorBidi" w:hAnsiTheme="minorBidi" w:cstheme="minorBidi"/>
                      <w:color w:val="A6A6A6" w:themeColor="background1" w:themeShade="A6"/>
                    </w:rPr>
                    <w:t>yyyy</w:t>
                  </w:r>
                  <w:proofErr w:type="spellEnd"/>
                </w:p>
              </w:tc>
            </w:tr>
            <w:tr w:rsidR="00D83FC9" w:rsidRPr="00E7251C" w14:paraId="1AD71EC0" w14:textId="77777777" w:rsidTr="00DB6E11">
              <w:trPr>
                <w:jc w:val="center"/>
              </w:trPr>
              <w:tc>
                <w:tcPr>
                  <w:tcW w:w="4763" w:type="dxa"/>
                </w:tcPr>
                <w:p w14:paraId="48BD85B6" w14:textId="5F4B39B5" w:rsidR="00D83FC9" w:rsidRPr="004E1B17" w:rsidRDefault="00D83FC9" w:rsidP="00DB6E11">
                  <w:pPr>
                    <w:pStyle w:val="RegTypePara"/>
                    <w:spacing w:after="120"/>
                    <w:ind w:left="0"/>
                    <w:rPr>
                      <w:rStyle w:val="RegTypeParaChar"/>
                      <w:rFonts w:asciiTheme="minorBidi" w:hAnsiTheme="minorBidi" w:cstheme="minorBidi"/>
                      <w:sz w:val="22"/>
                      <w:szCs w:val="22"/>
                    </w:rPr>
                  </w:pPr>
                  <w:r w:rsidRPr="004E1B17">
                    <w:rPr>
                      <w:rFonts w:asciiTheme="minorBidi" w:hAnsiTheme="minorBidi" w:cstheme="minorBidi"/>
                      <w:b/>
                      <w:bCs/>
                      <w:sz w:val="22"/>
                      <w:szCs w:val="22"/>
                    </w:rPr>
                    <w:t xml:space="preserve">Report number for the NDC </w:t>
                  </w:r>
                  <w:proofErr w:type="spellStart"/>
                  <w:r w:rsidRPr="004E1B17">
                    <w:rPr>
                      <w:rFonts w:asciiTheme="minorBidi" w:hAnsiTheme="minorBidi" w:cstheme="minorBidi"/>
                      <w:b/>
                      <w:bCs/>
                      <w:sz w:val="22"/>
                      <w:szCs w:val="22"/>
                    </w:rPr>
                    <w:t>period</w:t>
                  </w:r>
                  <w:r w:rsidRPr="004E1B17">
                    <w:rPr>
                      <w:rStyle w:val="EndnoteReference"/>
                      <w:rFonts w:asciiTheme="minorBidi" w:hAnsiTheme="minorBidi" w:cstheme="minorBidi"/>
                      <w:b/>
                      <w:bCs/>
                      <w:sz w:val="22"/>
                      <w:szCs w:val="22"/>
                    </w:rPr>
                    <w:t>a</w:t>
                  </w:r>
                  <w:proofErr w:type="spellEnd"/>
                </w:p>
              </w:tc>
              <w:tc>
                <w:tcPr>
                  <w:tcW w:w="4763" w:type="dxa"/>
                </w:tcPr>
                <w:p w14:paraId="3435CA84" w14:textId="5AD647A9" w:rsidR="00D83FC9" w:rsidRPr="00E7251C" w:rsidRDefault="00D83FC9" w:rsidP="00B75CDB">
                  <w:pPr>
                    <w:pStyle w:val="RegTypePara"/>
                    <w:spacing w:after="120"/>
                    <w:ind w:left="0"/>
                    <w:rPr>
                      <w:rStyle w:val="RegTypeParaChar"/>
                      <w:rFonts w:asciiTheme="minorBidi" w:hAnsiTheme="minorBidi" w:cstheme="minorBidi"/>
                    </w:rPr>
                  </w:pPr>
                  <w:r w:rsidRPr="00E7251C">
                    <w:rPr>
                      <w:rFonts w:asciiTheme="minorBidi" w:hAnsiTheme="minorBidi" w:cstheme="minorBidi"/>
                      <w:color w:val="A6A6A6" w:themeColor="background1" w:themeShade="A6"/>
                    </w:rPr>
                    <w:t>1</w:t>
                  </w:r>
                </w:p>
              </w:tc>
            </w:tr>
            <w:tr w:rsidR="00D83FC9" w:rsidRPr="00E7251C" w14:paraId="6A2002BD" w14:textId="77777777" w:rsidTr="00DB6E11">
              <w:trPr>
                <w:jc w:val="center"/>
              </w:trPr>
              <w:tc>
                <w:tcPr>
                  <w:tcW w:w="4763" w:type="dxa"/>
                </w:tcPr>
                <w:p w14:paraId="3C949A4A" w14:textId="77777777" w:rsidR="00D83FC9" w:rsidRPr="004E1B17" w:rsidRDefault="00D83FC9" w:rsidP="00DB6E11">
                  <w:pPr>
                    <w:spacing w:line="276" w:lineRule="auto"/>
                    <w:ind w:left="1212" w:hanging="1212"/>
                    <w:rPr>
                      <w:rFonts w:asciiTheme="minorBidi" w:hAnsiTheme="minorBidi" w:cstheme="minorBidi"/>
                      <w:szCs w:val="22"/>
                    </w:rPr>
                  </w:pPr>
                  <w:r w:rsidRPr="004E1B17">
                    <w:rPr>
                      <w:rFonts w:asciiTheme="minorBidi" w:hAnsiTheme="minorBidi" w:cstheme="minorBidi"/>
                      <w:b/>
                      <w:bCs/>
                      <w:szCs w:val="22"/>
                    </w:rPr>
                    <w:t xml:space="preserve">Report type: </w:t>
                  </w:r>
                  <w:r w:rsidRPr="004E1B17">
                    <w:rPr>
                      <w:rFonts w:asciiTheme="minorBidi" w:hAnsiTheme="minorBidi" w:cstheme="minorBidi"/>
                      <w:szCs w:val="22"/>
                    </w:rPr>
                    <w:t>Initial report</w:t>
                  </w:r>
                </w:p>
                <w:p w14:paraId="14674D09" w14:textId="00E3C1F6" w:rsidR="00D83FC9" w:rsidRPr="004E1B17" w:rsidRDefault="00D83FC9" w:rsidP="00DB6E11">
                  <w:pPr>
                    <w:spacing w:line="276" w:lineRule="auto"/>
                    <w:ind w:left="1353"/>
                    <w:rPr>
                      <w:rStyle w:val="RegTypeParaChar"/>
                      <w:rFonts w:asciiTheme="minorBidi" w:hAnsiTheme="minorBidi" w:cstheme="minorBidi"/>
                      <w:szCs w:val="22"/>
                    </w:rPr>
                  </w:pPr>
                  <w:r w:rsidRPr="004E1B17">
                    <w:rPr>
                      <w:rFonts w:asciiTheme="minorBidi" w:hAnsiTheme="minorBidi" w:cstheme="minorBidi"/>
                      <w:szCs w:val="22"/>
                    </w:rPr>
                    <w:t>Updated initial report</w:t>
                  </w:r>
                </w:p>
              </w:tc>
              <w:tc>
                <w:tcPr>
                  <w:tcW w:w="4763" w:type="dxa"/>
                </w:tcPr>
                <w:p w14:paraId="13379C06" w14:textId="193CDA45" w:rsidR="00D83FC9" w:rsidRPr="00E7251C" w:rsidRDefault="00000000" w:rsidP="00E7251C">
                  <w:pPr>
                    <w:rPr>
                      <w:rStyle w:val="RegTypeParaChar"/>
                      <w:rFonts w:asciiTheme="minorBidi" w:hAnsiTheme="minorBidi" w:cstheme="minorBidi"/>
                    </w:rPr>
                  </w:pPr>
                  <w:sdt>
                    <w:sdtPr>
                      <w:rPr>
                        <w:rFonts w:asciiTheme="minorBidi" w:hAnsiTheme="minorBidi" w:cstheme="minorBidi"/>
                        <w:color w:val="A6A6A6" w:themeColor="background1" w:themeShade="A6"/>
                        <w:szCs w:val="18"/>
                      </w:rPr>
                      <w:id w:val="-257372544"/>
                      <w14:checkbox>
                        <w14:checked w14:val="0"/>
                        <w14:checkedState w14:val="2612" w14:font="MS Gothic"/>
                        <w14:uncheckedState w14:val="2610" w14:font="MS Gothic"/>
                      </w14:checkbox>
                    </w:sdtPr>
                    <w:sdtContent>
                      <w:r w:rsidR="00D83FC9" w:rsidRPr="00E7251C">
                        <w:rPr>
                          <w:rFonts w:ascii="Segoe UI Symbol" w:eastAsia="MS Gothic" w:hAnsi="Segoe UI Symbol" w:cs="Segoe UI Symbol"/>
                          <w:color w:val="A6A6A6" w:themeColor="background1" w:themeShade="A6"/>
                        </w:rPr>
                        <w:t>☐</w:t>
                      </w:r>
                    </w:sdtContent>
                  </w:sdt>
                  <w:r w:rsidR="00D83FC9" w:rsidRPr="00E7251C">
                    <w:rPr>
                      <w:rFonts w:asciiTheme="minorBidi" w:hAnsiTheme="minorBidi" w:cstheme="minorBidi"/>
                      <w:color w:val="A6A6A6" w:themeColor="background1" w:themeShade="A6"/>
                    </w:rPr>
                    <w:t xml:space="preserve"> </w:t>
                  </w:r>
                  <w:r w:rsidR="00D83FC9">
                    <w:rPr>
                      <w:rFonts w:asciiTheme="minorBidi" w:hAnsiTheme="minorBidi" w:cstheme="minorBidi"/>
                      <w:color w:val="A6A6A6" w:themeColor="background1" w:themeShade="A6"/>
                    </w:rPr>
                    <w:br/>
                  </w:r>
                  <w:sdt>
                    <w:sdtPr>
                      <w:rPr>
                        <w:rFonts w:asciiTheme="minorBidi" w:hAnsiTheme="minorBidi" w:cstheme="minorBidi"/>
                        <w:color w:val="A6A6A6" w:themeColor="background1" w:themeShade="A6"/>
                      </w:rPr>
                      <w:id w:val="-992789948"/>
                      <w14:checkbox>
                        <w14:checked w14:val="0"/>
                        <w14:checkedState w14:val="2612" w14:font="MS Gothic"/>
                        <w14:uncheckedState w14:val="2610" w14:font="MS Gothic"/>
                      </w14:checkbox>
                    </w:sdtPr>
                    <w:sdtContent>
                      <w:r w:rsidR="00D83FC9" w:rsidRPr="00E7251C">
                        <w:rPr>
                          <w:rFonts w:ascii="Segoe UI Symbol" w:eastAsia="MS Gothic" w:hAnsi="Segoe UI Symbol" w:cs="Segoe UI Symbol"/>
                          <w:color w:val="A6A6A6" w:themeColor="background1" w:themeShade="A6"/>
                        </w:rPr>
                        <w:t>☐</w:t>
                      </w:r>
                    </w:sdtContent>
                  </w:sdt>
                </w:p>
              </w:tc>
            </w:tr>
            <w:tr w:rsidR="00D83FC9" w:rsidRPr="00E7251C" w14:paraId="377558CA" w14:textId="77777777" w:rsidTr="00DB6E11">
              <w:trPr>
                <w:jc w:val="center"/>
              </w:trPr>
              <w:tc>
                <w:tcPr>
                  <w:tcW w:w="4763" w:type="dxa"/>
                </w:tcPr>
                <w:p w14:paraId="269238D0" w14:textId="530AEBA0" w:rsidR="00D83FC9" w:rsidRPr="004E1B17" w:rsidRDefault="00D83FC9" w:rsidP="00DB6E11">
                  <w:pPr>
                    <w:pStyle w:val="RegTypePara"/>
                    <w:spacing w:after="120"/>
                    <w:ind w:left="0"/>
                    <w:rPr>
                      <w:rStyle w:val="RegTypeParaChar"/>
                      <w:rFonts w:asciiTheme="minorBidi" w:hAnsiTheme="minorBidi" w:cstheme="minorBidi"/>
                      <w:sz w:val="22"/>
                      <w:szCs w:val="22"/>
                    </w:rPr>
                  </w:pPr>
                  <w:r w:rsidRPr="004E1B17">
                    <w:rPr>
                      <w:rFonts w:asciiTheme="minorBidi" w:hAnsiTheme="minorBidi" w:cstheme="minorBidi"/>
                      <w:sz w:val="22"/>
                      <w:szCs w:val="22"/>
                    </w:rPr>
                    <w:t>Updated initial report number</w:t>
                  </w:r>
                </w:p>
              </w:tc>
              <w:tc>
                <w:tcPr>
                  <w:tcW w:w="4763" w:type="dxa"/>
                </w:tcPr>
                <w:p w14:paraId="41200222" w14:textId="7542DAE4" w:rsidR="00D83FC9" w:rsidRPr="00E7251C" w:rsidRDefault="00D83FC9" w:rsidP="00B75CDB">
                  <w:pPr>
                    <w:pStyle w:val="RegTypePara"/>
                    <w:spacing w:after="120"/>
                    <w:ind w:left="0"/>
                    <w:rPr>
                      <w:rStyle w:val="RegTypeParaChar"/>
                      <w:rFonts w:asciiTheme="minorBidi" w:hAnsiTheme="minorBidi" w:cstheme="minorBidi"/>
                    </w:rPr>
                  </w:pPr>
                  <w:r w:rsidRPr="00E7251C">
                    <w:rPr>
                      <w:rFonts w:asciiTheme="minorBidi" w:hAnsiTheme="minorBidi" w:cstheme="minorBidi"/>
                      <w:color w:val="A6A6A6" w:themeColor="background1" w:themeShade="A6"/>
                    </w:rPr>
                    <w:t>1</w:t>
                  </w:r>
                </w:p>
              </w:tc>
            </w:tr>
            <w:tr w:rsidR="00D83FC9" w:rsidRPr="00E7251C" w14:paraId="7AD0C799" w14:textId="77777777" w:rsidTr="00DB6E11">
              <w:trPr>
                <w:jc w:val="center"/>
              </w:trPr>
              <w:tc>
                <w:tcPr>
                  <w:tcW w:w="4763" w:type="dxa"/>
                </w:tcPr>
                <w:p w14:paraId="1E5B3C00" w14:textId="14842470" w:rsidR="00D83FC9" w:rsidRPr="004E1B17" w:rsidRDefault="00D83FC9" w:rsidP="00DB6E11">
                  <w:pPr>
                    <w:pStyle w:val="RegTypePara"/>
                    <w:spacing w:after="120"/>
                    <w:ind w:left="0"/>
                    <w:rPr>
                      <w:rStyle w:val="RegTypeParaChar"/>
                      <w:rFonts w:asciiTheme="minorBidi" w:hAnsiTheme="minorBidi" w:cstheme="minorBidi"/>
                      <w:sz w:val="22"/>
                      <w:szCs w:val="22"/>
                    </w:rPr>
                  </w:pPr>
                  <w:proofErr w:type="spellStart"/>
                  <w:r w:rsidRPr="004E1B17">
                    <w:rPr>
                      <w:rFonts w:asciiTheme="minorBidi" w:hAnsiTheme="minorBidi" w:cstheme="minorBidi"/>
                      <w:b/>
                      <w:bCs/>
                      <w:sz w:val="22"/>
                      <w:szCs w:val="22"/>
                    </w:rPr>
                    <w:t>Version</w:t>
                  </w:r>
                  <w:r w:rsidRPr="004E1B17">
                    <w:rPr>
                      <w:rStyle w:val="EndnoteReference"/>
                      <w:rFonts w:asciiTheme="minorBidi" w:hAnsiTheme="minorBidi" w:cstheme="minorBidi"/>
                      <w:b/>
                      <w:bCs/>
                      <w:sz w:val="22"/>
                      <w:szCs w:val="22"/>
                    </w:rPr>
                    <w:t>b</w:t>
                  </w:r>
                  <w:proofErr w:type="spellEnd"/>
                </w:p>
              </w:tc>
              <w:tc>
                <w:tcPr>
                  <w:tcW w:w="4763" w:type="dxa"/>
                </w:tcPr>
                <w:p w14:paraId="416F1390" w14:textId="20D4450E" w:rsidR="00D83FC9" w:rsidRPr="00E7251C" w:rsidRDefault="00D83FC9" w:rsidP="00B75CDB">
                  <w:pPr>
                    <w:pStyle w:val="RegTypePara"/>
                    <w:spacing w:after="120"/>
                    <w:ind w:left="0"/>
                    <w:rPr>
                      <w:rStyle w:val="RegTypeParaChar"/>
                      <w:rFonts w:asciiTheme="minorBidi" w:hAnsiTheme="minorBidi" w:cstheme="minorBidi"/>
                    </w:rPr>
                  </w:pPr>
                  <w:r w:rsidRPr="00E7251C">
                    <w:rPr>
                      <w:rFonts w:asciiTheme="minorBidi" w:hAnsiTheme="minorBidi" w:cstheme="minorBidi"/>
                      <w:color w:val="A6A6A6" w:themeColor="background1" w:themeShade="A6"/>
                    </w:rPr>
                    <w:t>1.0</w:t>
                  </w:r>
                </w:p>
              </w:tc>
            </w:tr>
            <w:tr w:rsidR="00D83FC9" w:rsidRPr="00E7251C" w14:paraId="4F80346D" w14:textId="77777777" w:rsidTr="00DB6E11">
              <w:trPr>
                <w:jc w:val="center"/>
              </w:trPr>
              <w:tc>
                <w:tcPr>
                  <w:tcW w:w="4763" w:type="dxa"/>
                </w:tcPr>
                <w:p w14:paraId="03E83A68" w14:textId="042C121F" w:rsidR="00D83FC9" w:rsidRPr="004E1B17" w:rsidRDefault="00D83FC9" w:rsidP="00DB6E11">
                  <w:pPr>
                    <w:pStyle w:val="RegTypePara"/>
                    <w:spacing w:after="120"/>
                    <w:ind w:left="0"/>
                    <w:rPr>
                      <w:rStyle w:val="RegTypeParaChar"/>
                      <w:rFonts w:asciiTheme="minorBidi" w:hAnsiTheme="minorBidi" w:cstheme="minorBidi"/>
                      <w:sz w:val="22"/>
                      <w:szCs w:val="22"/>
                    </w:rPr>
                  </w:pPr>
                  <w:r w:rsidRPr="004E1B17">
                    <w:rPr>
                      <w:rFonts w:asciiTheme="minorBidi" w:hAnsiTheme="minorBidi" w:cstheme="minorBidi"/>
                      <w:b/>
                      <w:bCs/>
                      <w:sz w:val="22"/>
                      <w:szCs w:val="22"/>
                    </w:rPr>
                    <w:t>Date</w:t>
                  </w:r>
                </w:p>
              </w:tc>
              <w:tc>
                <w:tcPr>
                  <w:tcW w:w="4763" w:type="dxa"/>
                </w:tcPr>
                <w:p w14:paraId="48B5D46C" w14:textId="0A69F70A" w:rsidR="00D83FC9" w:rsidRPr="00E7251C" w:rsidRDefault="00D83FC9" w:rsidP="00B75CDB">
                  <w:pPr>
                    <w:pStyle w:val="RegTypePara"/>
                    <w:spacing w:after="120"/>
                    <w:ind w:left="0"/>
                    <w:rPr>
                      <w:rStyle w:val="RegTypeParaChar"/>
                      <w:rFonts w:asciiTheme="minorBidi" w:hAnsiTheme="minorBidi" w:cstheme="minorBidi"/>
                    </w:rPr>
                  </w:pPr>
                  <w:r w:rsidRPr="00E7251C">
                    <w:rPr>
                      <w:rFonts w:asciiTheme="minorBidi" w:hAnsiTheme="minorBidi" w:cstheme="minorBidi"/>
                      <w:color w:val="A6A6A6" w:themeColor="background1" w:themeShade="A6"/>
                    </w:rPr>
                    <w:t>dd/mm/</w:t>
                  </w:r>
                  <w:proofErr w:type="spellStart"/>
                  <w:r w:rsidRPr="00E7251C">
                    <w:rPr>
                      <w:rFonts w:asciiTheme="minorBidi" w:hAnsiTheme="minorBidi" w:cstheme="minorBidi"/>
                      <w:color w:val="A6A6A6" w:themeColor="background1" w:themeShade="A6"/>
                    </w:rPr>
                    <w:t>yyyy</w:t>
                  </w:r>
                  <w:proofErr w:type="spellEnd"/>
                </w:p>
              </w:tc>
            </w:tr>
            <w:tr w:rsidR="00D83FC9" w:rsidRPr="00E7251C" w14:paraId="681BFB27" w14:textId="77777777" w:rsidTr="00DB6E11">
              <w:trPr>
                <w:jc w:val="center"/>
              </w:trPr>
              <w:tc>
                <w:tcPr>
                  <w:tcW w:w="4763" w:type="dxa"/>
                </w:tcPr>
                <w:p w14:paraId="29BFEC08" w14:textId="77777777" w:rsidR="00D83FC9" w:rsidRPr="004E1B17" w:rsidRDefault="00D83FC9" w:rsidP="00DB6E11">
                  <w:pPr>
                    <w:rPr>
                      <w:rFonts w:asciiTheme="minorBidi" w:hAnsiTheme="minorBidi" w:cstheme="minorBidi"/>
                      <w:b/>
                      <w:bCs/>
                      <w:szCs w:val="22"/>
                    </w:rPr>
                  </w:pPr>
                  <w:r w:rsidRPr="004E1B17">
                    <w:rPr>
                      <w:rFonts w:asciiTheme="minorBidi" w:hAnsiTheme="minorBidi" w:cstheme="minorBidi"/>
                      <w:b/>
                      <w:bCs/>
                      <w:szCs w:val="22"/>
                    </w:rPr>
                    <w:t>Name(s) of cooperative approach(es) included in this report</w:t>
                  </w:r>
                </w:p>
                <w:p w14:paraId="3FCEE2D2" w14:textId="42CEAE4C" w:rsidR="00D83FC9" w:rsidRPr="004E1B17" w:rsidRDefault="00D83FC9" w:rsidP="00DB6E11">
                  <w:pPr>
                    <w:pStyle w:val="RegTypePara"/>
                    <w:spacing w:after="120"/>
                    <w:ind w:left="0"/>
                    <w:rPr>
                      <w:rStyle w:val="RegTypeParaChar"/>
                      <w:rFonts w:asciiTheme="minorBidi" w:hAnsiTheme="minorBidi" w:cstheme="minorBidi"/>
                      <w:sz w:val="22"/>
                      <w:szCs w:val="22"/>
                    </w:rPr>
                  </w:pPr>
                  <w:r w:rsidRPr="004E1B17">
                    <w:rPr>
                      <w:rFonts w:asciiTheme="minorBidi" w:hAnsiTheme="minorBidi" w:cstheme="minorBidi"/>
                      <w:i/>
                      <w:iCs/>
                      <w:sz w:val="22"/>
                      <w:szCs w:val="22"/>
                    </w:rPr>
                    <w:t>(Include a line for each additional cooperative approach)</w:t>
                  </w:r>
                </w:p>
              </w:tc>
              <w:tc>
                <w:tcPr>
                  <w:tcW w:w="4763" w:type="dxa"/>
                </w:tcPr>
                <w:p w14:paraId="6F9C3410" w14:textId="1E370304" w:rsidR="00D83FC9" w:rsidRPr="00E7251C" w:rsidRDefault="00D83FC9" w:rsidP="00B75CDB">
                  <w:pPr>
                    <w:pStyle w:val="RegTypePara"/>
                    <w:spacing w:after="120"/>
                    <w:ind w:left="0"/>
                    <w:rPr>
                      <w:rStyle w:val="RegTypeParaChar"/>
                      <w:rFonts w:asciiTheme="minorBidi" w:hAnsiTheme="minorBidi" w:cstheme="minorBidi"/>
                    </w:rPr>
                  </w:pPr>
                  <w:r w:rsidRPr="00E7251C">
                    <w:rPr>
                      <w:rFonts w:asciiTheme="minorBidi" w:hAnsiTheme="minorBidi" w:cstheme="minorBidi"/>
                      <w:color w:val="A6A6A6" w:themeColor="background1" w:themeShade="A6"/>
                    </w:rPr>
                    <w:t>Cooperative approach 1 Cooperative approach 2</w:t>
                  </w:r>
                </w:p>
              </w:tc>
            </w:tr>
          </w:tbl>
          <w:p w14:paraId="2243464D" w14:textId="4191F98F" w:rsidR="00460740" w:rsidRPr="00E7251C" w:rsidRDefault="009D1728" w:rsidP="00460740">
            <w:pPr>
              <w:pStyle w:val="EndnoteText"/>
              <w:ind w:left="1089" w:right="567" w:hanging="1032"/>
              <w:rPr>
                <w:rFonts w:asciiTheme="minorBidi" w:hAnsiTheme="minorBidi" w:cstheme="minorBidi"/>
                <w:i w:val="0"/>
                <w:iCs/>
                <w:szCs w:val="18"/>
              </w:rPr>
            </w:pPr>
            <w:proofErr w:type="spellStart"/>
            <w:r w:rsidRPr="00E7251C">
              <w:rPr>
                <w:rStyle w:val="EndnoteReference"/>
                <w:rFonts w:asciiTheme="minorBidi" w:eastAsia="Times New Roman" w:hAnsiTheme="minorBidi" w:cstheme="minorBidi"/>
                <w:i/>
                <w:szCs w:val="18"/>
                <w:lang w:eastAsia="de-DE"/>
              </w:rPr>
              <w:t>a</w:t>
            </w:r>
            <w:proofErr w:type="spellEnd"/>
            <w:r w:rsidRPr="00E7251C">
              <w:rPr>
                <w:rFonts w:asciiTheme="minorBidi" w:eastAsia="Times New Roman" w:hAnsiTheme="minorBidi" w:cstheme="minorBidi"/>
                <w:szCs w:val="18"/>
                <w:lang w:eastAsia="de-DE"/>
              </w:rPr>
              <w:tab/>
            </w:r>
            <w:r w:rsidR="00376EAC" w:rsidRPr="00E7251C">
              <w:rPr>
                <w:rFonts w:asciiTheme="minorBidi" w:hAnsiTheme="minorBidi" w:cstheme="minorBidi"/>
                <w:i w:val="0"/>
                <w:iCs/>
              </w:rPr>
              <w:t xml:space="preserve"> </w:t>
            </w:r>
            <w:r w:rsidR="00376EAC" w:rsidRPr="00E7251C">
              <w:rPr>
                <w:rFonts w:asciiTheme="minorBidi" w:hAnsiTheme="minorBidi" w:cstheme="minorBidi"/>
                <w:i w:val="0"/>
                <w:iCs/>
                <w:szCs w:val="18"/>
              </w:rPr>
              <w:t>Ascribe sequential number for updated initial reports. The number ‘1’ is reserved for the initial report.</w:t>
            </w:r>
          </w:p>
          <w:p w14:paraId="7F47F169" w14:textId="32773544" w:rsidR="008C38E2" w:rsidRPr="00E7251C" w:rsidRDefault="009832EF" w:rsidP="00460740">
            <w:pPr>
              <w:pStyle w:val="EndnoteText"/>
              <w:ind w:left="1089" w:right="567" w:hanging="1032"/>
              <w:rPr>
                <w:rStyle w:val="RegTypeParaChar"/>
                <w:rFonts w:asciiTheme="minorBidi" w:hAnsiTheme="minorBidi" w:cstheme="minorBidi"/>
              </w:rPr>
            </w:pPr>
            <w:r w:rsidRPr="00E7251C">
              <w:rPr>
                <w:rStyle w:val="EndnoteReference"/>
                <w:rFonts w:asciiTheme="minorBidi" w:hAnsiTheme="minorBidi" w:cstheme="minorBidi"/>
                <w:i/>
                <w:iCs/>
                <w:szCs w:val="18"/>
              </w:rPr>
              <w:t>b</w:t>
            </w:r>
            <w:r w:rsidR="00376EAC" w:rsidRPr="00E7251C">
              <w:rPr>
                <w:rFonts w:asciiTheme="minorBidi" w:hAnsiTheme="minorBidi" w:cstheme="minorBidi"/>
                <w:szCs w:val="18"/>
              </w:rPr>
              <w:t xml:space="preserve"> </w:t>
            </w:r>
            <w:r w:rsidR="00376EAC" w:rsidRPr="00E7251C">
              <w:rPr>
                <w:rFonts w:asciiTheme="minorBidi" w:hAnsiTheme="minorBidi" w:cstheme="minorBidi"/>
                <w:i w:val="0"/>
                <w:szCs w:val="18"/>
              </w:rPr>
              <w:t xml:space="preserve">Ascribe version number as follows: decimal increase for minor revisions (typos, corrections) and digit </w:t>
            </w:r>
            <w:proofErr w:type="gramStart"/>
            <w:r w:rsidR="00376EAC" w:rsidRPr="00E7251C">
              <w:rPr>
                <w:rFonts w:asciiTheme="minorBidi" w:hAnsiTheme="minorBidi" w:cstheme="minorBidi"/>
                <w:i w:val="0"/>
                <w:szCs w:val="18"/>
              </w:rPr>
              <w:t>increase</w:t>
            </w:r>
            <w:proofErr w:type="gramEnd"/>
            <w:r w:rsidR="00376EAC" w:rsidRPr="00E7251C">
              <w:rPr>
                <w:rFonts w:asciiTheme="minorBidi" w:hAnsiTheme="minorBidi" w:cstheme="minorBidi"/>
                <w:i w:val="0"/>
                <w:szCs w:val="18"/>
              </w:rPr>
              <w:t xml:space="preserve"> for</w:t>
            </w:r>
            <w:r w:rsidR="0036562E" w:rsidRPr="00E7251C">
              <w:rPr>
                <w:rFonts w:asciiTheme="minorBidi" w:hAnsiTheme="minorBidi" w:cstheme="minorBidi"/>
                <w:szCs w:val="18"/>
              </w:rPr>
              <w:t xml:space="preserve"> </w:t>
            </w:r>
            <w:r w:rsidR="00376EAC" w:rsidRPr="00E7251C">
              <w:rPr>
                <w:rFonts w:asciiTheme="minorBidi" w:hAnsiTheme="minorBidi" w:cstheme="minorBidi"/>
                <w:i w:val="0"/>
                <w:szCs w:val="18"/>
              </w:rPr>
              <w:t>content changes.</w:t>
            </w:r>
          </w:p>
          <w:p w14:paraId="35FFBF93" w14:textId="77777777" w:rsidR="00C11A38" w:rsidRPr="00E7251C" w:rsidRDefault="00C11A38" w:rsidP="00621495">
            <w:pPr>
              <w:pStyle w:val="RegTypePara"/>
              <w:spacing w:after="120"/>
              <w:rPr>
                <w:rFonts w:asciiTheme="minorBidi" w:hAnsiTheme="minorBidi" w:cstheme="minorBidi"/>
                <w:i/>
                <w:iCs/>
              </w:rPr>
            </w:pPr>
          </w:p>
          <w:p w14:paraId="4A5CACF2" w14:textId="4F8ADDA6" w:rsidR="00AE5C58" w:rsidRPr="00BE1A21" w:rsidRDefault="00901710" w:rsidP="00BE1A21">
            <w:pPr>
              <w:pStyle w:val="RegTypePara"/>
              <w:spacing w:after="120"/>
              <w:rPr>
                <w:rStyle w:val="RegTypeParaChar"/>
                <w:rFonts w:asciiTheme="majorBidi" w:hAnsiTheme="majorBidi" w:cstheme="majorBidi"/>
              </w:rPr>
            </w:pPr>
            <w:r w:rsidRPr="00E7251C">
              <w:rPr>
                <w:rFonts w:asciiTheme="minorBidi" w:hAnsiTheme="minorBidi" w:cstheme="minorBidi"/>
                <w:i/>
                <w:iCs/>
              </w:rPr>
              <w:t>Note: For updated initial report fill in only section IV. Information on each cooperative approach (para. 18(g–</w:t>
            </w:r>
            <w:proofErr w:type="spellStart"/>
            <w:r w:rsidRPr="00E7251C">
              <w:rPr>
                <w:rFonts w:asciiTheme="minorBidi" w:hAnsiTheme="minorBidi" w:cstheme="minorBidi"/>
                <w:i/>
                <w:iCs/>
              </w:rPr>
              <w:t>i</w:t>
            </w:r>
            <w:proofErr w:type="spellEnd"/>
            <w:r w:rsidRPr="00E7251C">
              <w:rPr>
                <w:rFonts w:asciiTheme="minorBidi" w:hAnsiTheme="minorBidi" w:cstheme="minorBidi"/>
                <w:i/>
                <w:iCs/>
              </w:rPr>
              <w:t xml:space="preserve">), para. 19 of the </w:t>
            </w:r>
            <w:proofErr w:type="gramStart"/>
            <w:r w:rsidRPr="00E7251C">
              <w:rPr>
                <w:rFonts w:asciiTheme="minorBidi" w:hAnsiTheme="minorBidi" w:cstheme="minorBidi"/>
                <w:i/>
                <w:iCs/>
              </w:rPr>
              <w:t>annex</w:t>
            </w:r>
            <w:proofErr w:type="gramEnd"/>
            <w:r w:rsidRPr="00E7251C">
              <w:rPr>
                <w:rFonts w:asciiTheme="minorBidi" w:hAnsiTheme="minorBidi" w:cstheme="minorBidi"/>
                <w:i/>
                <w:iCs/>
              </w:rPr>
              <w:t xml:space="preserve"> to decision</w:t>
            </w:r>
            <w:r w:rsidR="004F6605" w:rsidRPr="00E7251C">
              <w:rPr>
                <w:rFonts w:asciiTheme="minorBidi" w:hAnsiTheme="minorBidi" w:cstheme="minorBidi"/>
                <w:i/>
                <w:iCs/>
              </w:rPr>
              <w:t xml:space="preserve"> </w:t>
            </w:r>
            <w:r w:rsidRPr="00E7251C">
              <w:rPr>
                <w:rFonts w:asciiTheme="minorBidi" w:hAnsiTheme="minorBidi" w:cstheme="minorBidi"/>
                <w:i/>
                <w:iCs/>
              </w:rPr>
              <w:t>2/CMA.3)</w:t>
            </w:r>
            <w:r w:rsidR="00BE1A21" w:rsidRPr="00E7251C">
              <w:rPr>
                <w:rFonts w:asciiTheme="minorBidi" w:hAnsiTheme="minorBidi" w:cstheme="minorBidi"/>
                <w:i/>
                <w:iCs/>
              </w:rPr>
              <w:t>.</w:t>
            </w:r>
          </w:p>
        </w:tc>
      </w:tr>
      <w:tr w:rsidR="0064115C" w:rsidRPr="000E3D54" w14:paraId="52A9764B" w14:textId="77777777" w:rsidTr="004C2F07">
        <w:trPr>
          <w:trHeight w:val="454"/>
        </w:trPr>
        <w:tc>
          <w:tcPr>
            <w:tcW w:w="9752" w:type="dxa"/>
            <w:gridSpan w:val="3"/>
            <w:tcBorders>
              <w:top w:val="single" w:sz="4" w:space="0" w:color="auto"/>
              <w:bottom w:val="single" w:sz="4" w:space="0" w:color="auto"/>
            </w:tcBorders>
            <w:shd w:val="clear" w:color="auto" w:fill="808080" w:themeFill="background1" w:themeFillShade="80"/>
            <w:vAlign w:val="center"/>
          </w:tcPr>
          <w:p w14:paraId="44A6EB9B" w14:textId="474BD128" w:rsidR="0064115C" w:rsidRDefault="002B7BD8" w:rsidP="00501A7C">
            <w:pPr>
              <w:pStyle w:val="SectionTitle"/>
              <w:jc w:val="left"/>
            </w:pPr>
            <w:r w:rsidRPr="009D1728">
              <w:rPr>
                <w:caps/>
              </w:rPr>
              <w:lastRenderedPageBreak/>
              <w:t>I.</w:t>
            </w:r>
            <w:r w:rsidRPr="009D1728">
              <w:rPr>
                <w:caps/>
              </w:rPr>
              <w:tab/>
              <w:t>Participation responsibilities (para. 18(a))</w:t>
            </w:r>
          </w:p>
        </w:tc>
      </w:tr>
      <w:tr w:rsidR="00BD2CF5" w:rsidRPr="000E3D54" w14:paraId="7AFB445C" w14:textId="77777777" w:rsidTr="004C2F07">
        <w:trPr>
          <w:trHeight w:val="454"/>
        </w:trPr>
        <w:tc>
          <w:tcPr>
            <w:tcW w:w="9752" w:type="dxa"/>
            <w:gridSpan w:val="3"/>
            <w:tcBorders>
              <w:top w:val="single" w:sz="4" w:space="0" w:color="auto"/>
              <w:bottom w:val="single" w:sz="4" w:space="0" w:color="auto"/>
            </w:tcBorders>
            <w:shd w:val="clear" w:color="auto" w:fill="CCCCCC"/>
            <w:vAlign w:val="center"/>
          </w:tcPr>
          <w:p w14:paraId="1C4E17FF" w14:textId="31020763" w:rsidR="00BD2CF5" w:rsidRPr="000E3D54" w:rsidRDefault="00393D03" w:rsidP="002B7BD8">
            <w:pPr>
              <w:pStyle w:val="SectionTitle"/>
            </w:pPr>
            <w:r>
              <w:t>A</w:t>
            </w:r>
            <w:r w:rsidR="00BD2CF5" w:rsidRPr="000E3D54">
              <w:t>:</w:t>
            </w:r>
            <w:r w:rsidR="00591A5C" w:rsidRPr="000E3D54">
              <w:t xml:space="preserve"> </w:t>
            </w:r>
            <w:r w:rsidR="00372C69" w:rsidRPr="00372C69">
              <w:t>Information on how the Party ensures that it is a Party to the Paris Agreement (para. 21(a), para. 4(a), update to para. 18(a))</w:t>
            </w:r>
          </w:p>
        </w:tc>
      </w:tr>
      <w:tr w:rsidR="002B7BD8" w:rsidRPr="000E3D54" w14:paraId="5AFEA11F" w14:textId="77777777" w:rsidTr="004C2F07">
        <w:trPr>
          <w:trHeight w:val="814"/>
        </w:trPr>
        <w:tc>
          <w:tcPr>
            <w:tcW w:w="9752" w:type="dxa"/>
            <w:gridSpan w:val="3"/>
            <w:tcBorders>
              <w:top w:val="single" w:sz="4" w:space="0" w:color="auto"/>
              <w:bottom w:val="single" w:sz="4" w:space="0" w:color="auto"/>
            </w:tcBorders>
            <w:shd w:val="clear" w:color="auto" w:fill="FFFFFF" w:themeFill="background1"/>
            <w:vAlign w:val="center"/>
          </w:tcPr>
          <w:p w14:paraId="721CEEB6" w14:textId="77777777" w:rsidR="002B7BD8" w:rsidRDefault="002B7BD8" w:rsidP="00482E01">
            <w:pPr>
              <w:pStyle w:val="SectionTitle"/>
            </w:pPr>
          </w:p>
        </w:tc>
      </w:tr>
      <w:tr w:rsidR="002B7BD8" w:rsidRPr="000E3D54" w14:paraId="02A73FC0" w14:textId="77777777" w:rsidTr="004C2F07">
        <w:trPr>
          <w:trHeight w:val="454"/>
        </w:trPr>
        <w:tc>
          <w:tcPr>
            <w:tcW w:w="9752" w:type="dxa"/>
            <w:gridSpan w:val="3"/>
            <w:tcBorders>
              <w:top w:val="single" w:sz="4" w:space="0" w:color="auto"/>
              <w:bottom w:val="single" w:sz="4" w:space="0" w:color="auto"/>
            </w:tcBorders>
            <w:shd w:val="clear" w:color="auto" w:fill="CCCCCC"/>
            <w:vAlign w:val="center"/>
          </w:tcPr>
          <w:p w14:paraId="1634CCF3" w14:textId="205D8099" w:rsidR="002B7BD8" w:rsidRDefault="002B7BD8" w:rsidP="002B7BD8">
            <w:pPr>
              <w:pStyle w:val="SectionTitle"/>
            </w:pPr>
            <w:bookmarkStart w:id="0" w:name="RANGE!I6"/>
            <w:r w:rsidRPr="007F3B5B">
              <w:rPr>
                <w:color w:val="000000"/>
              </w:rPr>
              <w:t xml:space="preserve">B. Information on how the Party ensures that it has prepared, </w:t>
            </w:r>
            <w:proofErr w:type="gramStart"/>
            <w:r w:rsidRPr="007F3B5B">
              <w:rPr>
                <w:color w:val="000000"/>
              </w:rPr>
              <w:t>communicated</w:t>
            </w:r>
            <w:proofErr w:type="gramEnd"/>
            <w:r w:rsidRPr="007F3B5B">
              <w:rPr>
                <w:color w:val="000000"/>
              </w:rPr>
              <w:t xml:space="preserve"> and is maintaining an NDC in accordance with Article 4, paragraph 2 (para. 18(a), para. 4(b), to be updated by para. 21(a))</w:t>
            </w:r>
            <w:bookmarkEnd w:id="0"/>
          </w:p>
        </w:tc>
      </w:tr>
      <w:tr w:rsidR="002B7BD8" w:rsidRPr="000E3D54" w14:paraId="32C479AA" w14:textId="77777777" w:rsidTr="004C2F07">
        <w:trPr>
          <w:trHeight w:val="849"/>
        </w:trPr>
        <w:tc>
          <w:tcPr>
            <w:tcW w:w="9752" w:type="dxa"/>
            <w:gridSpan w:val="3"/>
            <w:tcBorders>
              <w:top w:val="single" w:sz="4" w:space="0" w:color="auto"/>
              <w:bottom w:val="single" w:sz="4" w:space="0" w:color="auto"/>
            </w:tcBorders>
            <w:shd w:val="clear" w:color="auto" w:fill="FFFFFF" w:themeFill="background1"/>
            <w:vAlign w:val="center"/>
          </w:tcPr>
          <w:p w14:paraId="65456870" w14:textId="77777777" w:rsidR="002B7BD8" w:rsidRDefault="002B7BD8" w:rsidP="00482E01">
            <w:pPr>
              <w:pStyle w:val="SectionTitle"/>
            </w:pPr>
          </w:p>
        </w:tc>
      </w:tr>
      <w:tr w:rsidR="002B7BD8" w:rsidRPr="000E3D54" w14:paraId="68005F03" w14:textId="77777777" w:rsidTr="004C2F07">
        <w:trPr>
          <w:trHeight w:val="454"/>
        </w:trPr>
        <w:tc>
          <w:tcPr>
            <w:tcW w:w="9752" w:type="dxa"/>
            <w:gridSpan w:val="3"/>
            <w:tcBorders>
              <w:top w:val="single" w:sz="4" w:space="0" w:color="auto"/>
              <w:bottom w:val="single" w:sz="4" w:space="0" w:color="auto"/>
            </w:tcBorders>
            <w:shd w:val="clear" w:color="auto" w:fill="CCCCCC"/>
            <w:vAlign w:val="center"/>
          </w:tcPr>
          <w:p w14:paraId="6800210A" w14:textId="4A5CA293" w:rsidR="002B7BD8" w:rsidRDefault="002B7BD8" w:rsidP="002B7BD8">
            <w:pPr>
              <w:pStyle w:val="SectionTitle"/>
            </w:pPr>
            <w:r w:rsidRPr="002B7BD8">
              <w:t>C. Information on how the Party ensures it has arrangements in place for authorizing the use of ITMOs towards achievement of</w:t>
            </w:r>
            <w:r w:rsidR="005C12BF">
              <w:t xml:space="preserve"> </w:t>
            </w:r>
            <w:r w:rsidRPr="002B7BD8">
              <w:t>NDCs pursuant to Article 6, paragraph 3 (para. 18(a), para. 4(c), to be updated by para. 21(a))</w:t>
            </w:r>
          </w:p>
        </w:tc>
      </w:tr>
      <w:tr w:rsidR="002B7BD8" w:rsidRPr="000E3D54" w14:paraId="3A91EE6A" w14:textId="77777777" w:rsidTr="004C2F07">
        <w:trPr>
          <w:trHeight w:val="890"/>
        </w:trPr>
        <w:tc>
          <w:tcPr>
            <w:tcW w:w="9752" w:type="dxa"/>
            <w:gridSpan w:val="3"/>
            <w:tcBorders>
              <w:top w:val="single" w:sz="4" w:space="0" w:color="auto"/>
              <w:bottom w:val="single" w:sz="4" w:space="0" w:color="auto"/>
            </w:tcBorders>
            <w:shd w:val="clear" w:color="auto" w:fill="FFFFFF" w:themeFill="background1"/>
            <w:vAlign w:val="center"/>
          </w:tcPr>
          <w:p w14:paraId="7149E2E2" w14:textId="77777777" w:rsidR="002B7BD8" w:rsidRDefault="002B7BD8" w:rsidP="00482E01">
            <w:pPr>
              <w:pStyle w:val="SectionTitle"/>
            </w:pPr>
          </w:p>
        </w:tc>
      </w:tr>
      <w:tr w:rsidR="002B7BD8" w:rsidRPr="000E3D54" w14:paraId="02A85E6C" w14:textId="77777777" w:rsidTr="004C2F07">
        <w:trPr>
          <w:trHeight w:val="454"/>
        </w:trPr>
        <w:tc>
          <w:tcPr>
            <w:tcW w:w="9752" w:type="dxa"/>
            <w:gridSpan w:val="3"/>
            <w:tcBorders>
              <w:top w:val="single" w:sz="4" w:space="0" w:color="auto"/>
              <w:bottom w:val="single" w:sz="4" w:space="0" w:color="auto"/>
            </w:tcBorders>
            <w:shd w:val="clear" w:color="auto" w:fill="CCCCCC"/>
            <w:vAlign w:val="center"/>
          </w:tcPr>
          <w:p w14:paraId="0B742B28" w14:textId="31F5DB7A" w:rsidR="002B7BD8" w:rsidRDefault="002B7BD8" w:rsidP="00482E01">
            <w:pPr>
              <w:pStyle w:val="SectionTitle"/>
            </w:pPr>
            <w:r w:rsidRPr="007F3B5B">
              <w:rPr>
                <w:color w:val="000000"/>
              </w:rPr>
              <w:t>D. Information on how the Party ensures it has arrangements in place that are consistent with the Article 6, paragraph 2, guidance and relevant decisions of the CMA for tracking ITMOs (para. 18(a), para. 4(d), to be updated by para. 21(a))</w:t>
            </w:r>
          </w:p>
        </w:tc>
      </w:tr>
      <w:tr w:rsidR="002B7BD8" w:rsidRPr="000E3D54" w14:paraId="4584ABE0" w14:textId="77777777" w:rsidTr="00DB6E11">
        <w:trPr>
          <w:trHeight w:val="902"/>
        </w:trPr>
        <w:tc>
          <w:tcPr>
            <w:tcW w:w="9752" w:type="dxa"/>
            <w:gridSpan w:val="3"/>
            <w:tcBorders>
              <w:top w:val="single" w:sz="4" w:space="0" w:color="auto"/>
              <w:bottom w:val="single" w:sz="4" w:space="0" w:color="auto"/>
            </w:tcBorders>
            <w:shd w:val="clear" w:color="auto" w:fill="FFFFFF" w:themeFill="background1"/>
            <w:vAlign w:val="center"/>
          </w:tcPr>
          <w:p w14:paraId="103B1441" w14:textId="77777777" w:rsidR="002B7BD8" w:rsidRDefault="002B7BD8" w:rsidP="00482E01">
            <w:pPr>
              <w:pStyle w:val="SectionTitle"/>
            </w:pPr>
          </w:p>
        </w:tc>
      </w:tr>
      <w:tr w:rsidR="002B7BD8" w:rsidRPr="000E3D54" w14:paraId="5DFA308B" w14:textId="77777777" w:rsidTr="004C2F07">
        <w:trPr>
          <w:trHeight w:val="454"/>
        </w:trPr>
        <w:tc>
          <w:tcPr>
            <w:tcW w:w="9752" w:type="dxa"/>
            <w:gridSpan w:val="3"/>
            <w:tcBorders>
              <w:top w:val="single" w:sz="4" w:space="0" w:color="auto"/>
              <w:bottom w:val="single" w:sz="4" w:space="0" w:color="auto"/>
            </w:tcBorders>
            <w:shd w:val="clear" w:color="auto" w:fill="CCCCCC"/>
            <w:vAlign w:val="center"/>
          </w:tcPr>
          <w:p w14:paraId="7B7F4EAD" w14:textId="6D62CB6A" w:rsidR="002B7BD8" w:rsidRDefault="002B7BD8" w:rsidP="00482E01">
            <w:pPr>
              <w:pStyle w:val="SectionTitle"/>
            </w:pPr>
            <w:r w:rsidRPr="007F3B5B">
              <w:rPr>
                <w:color w:val="000000"/>
              </w:rPr>
              <w:t>E. Information on whether the most recent national inventory report required in accordance with decision 18/CMA.1 has been provided (para. 18(a), para. 4(e), to be updated by para. 21(a))</w:t>
            </w:r>
          </w:p>
        </w:tc>
      </w:tr>
      <w:tr w:rsidR="002B7BD8" w:rsidRPr="000E3D54" w14:paraId="4496A016" w14:textId="77777777" w:rsidTr="00DB6E11">
        <w:trPr>
          <w:trHeight w:val="840"/>
        </w:trPr>
        <w:tc>
          <w:tcPr>
            <w:tcW w:w="9752" w:type="dxa"/>
            <w:gridSpan w:val="3"/>
            <w:tcBorders>
              <w:top w:val="single" w:sz="4" w:space="0" w:color="auto"/>
              <w:bottom w:val="single" w:sz="4" w:space="0" w:color="auto"/>
            </w:tcBorders>
            <w:shd w:val="clear" w:color="auto" w:fill="FFFFFF" w:themeFill="background1"/>
            <w:vAlign w:val="center"/>
          </w:tcPr>
          <w:p w14:paraId="62251B56" w14:textId="77777777" w:rsidR="002B7BD8" w:rsidRDefault="002B7BD8" w:rsidP="00482E01">
            <w:pPr>
              <w:pStyle w:val="SectionTitle"/>
            </w:pPr>
          </w:p>
        </w:tc>
      </w:tr>
      <w:tr w:rsidR="002B7BD8" w:rsidRPr="000E3D54" w14:paraId="458F7B2B" w14:textId="77777777" w:rsidTr="004C2F07">
        <w:trPr>
          <w:trHeight w:val="454"/>
        </w:trPr>
        <w:tc>
          <w:tcPr>
            <w:tcW w:w="9752" w:type="dxa"/>
            <w:gridSpan w:val="3"/>
            <w:tcBorders>
              <w:top w:val="single" w:sz="4" w:space="0" w:color="auto"/>
              <w:bottom w:val="single" w:sz="4" w:space="0" w:color="auto"/>
            </w:tcBorders>
            <w:shd w:val="clear" w:color="auto" w:fill="CCCCCC"/>
            <w:vAlign w:val="center"/>
          </w:tcPr>
          <w:p w14:paraId="618850C5" w14:textId="21552B32" w:rsidR="002B7BD8" w:rsidRDefault="002B7BD8" w:rsidP="00482E01">
            <w:pPr>
              <w:pStyle w:val="SectionTitle"/>
            </w:pPr>
            <w:r w:rsidRPr="007F3B5B">
              <w:rPr>
                <w:color w:val="000000"/>
              </w:rPr>
              <w:t>F. Information on how the Party ensures participation contributes to the implementation of its NDC and long-term low-emission development strategy, if it has submitted one, and the long-term goals of the Paris Agreement (para. 18(a), para. 4(f), to be updated by para. 21(a))</w:t>
            </w:r>
          </w:p>
        </w:tc>
      </w:tr>
      <w:tr w:rsidR="002B7BD8" w:rsidRPr="000E3D54" w14:paraId="2079BE5E" w14:textId="77777777" w:rsidTr="00DB6E11">
        <w:trPr>
          <w:trHeight w:val="880"/>
        </w:trPr>
        <w:tc>
          <w:tcPr>
            <w:tcW w:w="9752" w:type="dxa"/>
            <w:gridSpan w:val="3"/>
            <w:tcBorders>
              <w:top w:val="single" w:sz="4" w:space="0" w:color="auto"/>
              <w:bottom w:val="single" w:sz="4" w:space="0" w:color="auto"/>
            </w:tcBorders>
            <w:shd w:val="clear" w:color="auto" w:fill="FFFFFF" w:themeFill="background1"/>
            <w:vAlign w:val="center"/>
          </w:tcPr>
          <w:p w14:paraId="2C750627" w14:textId="77777777" w:rsidR="002B7BD8" w:rsidRDefault="002B7BD8" w:rsidP="00482E01">
            <w:pPr>
              <w:pStyle w:val="SectionTitle"/>
            </w:pPr>
          </w:p>
        </w:tc>
      </w:tr>
      <w:tr w:rsidR="002B7BD8" w:rsidRPr="000E3D54" w14:paraId="39D7090D" w14:textId="77777777" w:rsidTr="004C2F07">
        <w:trPr>
          <w:trHeight w:val="454"/>
        </w:trPr>
        <w:tc>
          <w:tcPr>
            <w:tcW w:w="9752" w:type="dxa"/>
            <w:gridSpan w:val="3"/>
            <w:tcBorders>
              <w:top w:val="single" w:sz="4" w:space="0" w:color="auto"/>
              <w:bottom w:val="single" w:sz="4" w:space="0" w:color="auto"/>
            </w:tcBorders>
            <w:shd w:val="clear" w:color="auto" w:fill="808080" w:themeFill="background1" w:themeFillShade="80"/>
            <w:vAlign w:val="center"/>
          </w:tcPr>
          <w:p w14:paraId="28DCCDFC" w14:textId="3E341FF8" w:rsidR="002B7BD8" w:rsidRDefault="00CF55B3" w:rsidP="00CF55B3">
            <w:pPr>
              <w:pStyle w:val="SectionTitle"/>
              <w:jc w:val="left"/>
            </w:pPr>
            <w:bookmarkStart w:id="1" w:name="_Toc116301834"/>
            <w:bookmarkStart w:id="2" w:name="_Toc117061918"/>
            <w:bookmarkStart w:id="3" w:name="_Toc117495335"/>
            <w:bookmarkStart w:id="4" w:name="_Toc117496115"/>
            <w:r>
              <w:t>II.</w:t>
            </w:r>
            <w:r>
              <w:tab/>
            </w:r>
            <w:r w:rsidRPr="00C11A58">
              <w:t xml:space="preserve">Description of the Party’s </w:t>
            </w:r>
            <w:r>
              <w:t>NDC</w:t>
            </w:r>
            <w:r w:rsidRPr="00C11A58">
              <w:t>, as referred to in decision 18/CMA.1, annex, paragraph 64, where a participating Party has not yet submitted a biennial transparency report (para. 18(b), to be updated by para. 21(b))</w:t>
            </w:r>
            <w:bookmarkEnd w:id="1"/>
            <w:bookmarkEnd w:id="2"/>
            <w:bookmarkEnd w:id="3"/>
            <w:bookmarkEnd w:id="4"/>
          </w:p>
        </w:tc>
      </w:tr>
      <w:tr w:rsidR="002B7BD8" w:rsidRPr="000E3D54" w14:paraId="01239712" w14:textId="77777777" w:rsidTr="004C2F07">
        <w:trPr>
          <w:trHeight w:val="454"/>
        </w:trPr>
        <w:tc>
          <w:tcPr>
            <w:tcW w:w="9752" w:type="dxa"/>
            <w:gridSpan w:val="3"/>
            <w:tcBorders>
              <w:top w:val="single" w:sz="4" w:space="0" w:color="auto"/>
              <w:bottom w:val="single" w:sz="4" w:space="0" w:color="auto"/>
            </w:tcBorders>
            <w:shd w:val="clear" w:color="auto" w:fill="CCCCCC"/>
            <w:vAlign w:val="center"/>
          </w:tcPr>
          <w:p w14:paraId="0982FCA9" w14:textId="6706D63A" w:rsidR="002B7BD8" w:rsidRDefault="00CF55B3" w:rsidP="00482E01">
            <w:pPr>
              <w:pStyle w:val="SectionTitle"/>
            </w:pPr>
            <w:bookmarkStart w:id="5" w:name="RANGE!I17"/>
            <w:r w:rsidRPr="007F3B5B">
              <w:rPr>
                <w:color w:val="000000"/>
              </w:rPr>
              <w:t>A. Target(s) and description, including target type(s) (decision 18/CMA.1, annex, para. 64(a))</w:t>
            </w:r>
            <w:bookmarkEnd w:id="5"/>
          </w:p>
        </w:tc>
      </w:tr>
      <w:tr w:rsidR="002B7BD8" w:rsidRPr="000E3D54" w14:paraId="0CF9AAD8" w14:textId="77777777" w:rsidTr="00DB6E11">
        <w:trPr>
          <w:trHeight w:val="700"/>
        </w:trPr>
        <w:tc>
          <w:tcPr>
            <w:tcW w:w="9752" w:type="dxa"/>
            <w:gridSpan w:val="3"/>
            <w:tcBorders>
              <w:top w:val="single" w:sz="4" w:space="0" w:color="auto"/>
              <w:bottom w:val="single" w:sz="4" w:space="0" w:color="auto"/>
            </w:tcBorders>
            <w:shd w:val="clear" w:color="auto" w:fill="FFFFFF" w:themeFill="background1"/>
            <w:vAlign w:val="center"/>
          </w:tcPr>
          <w:p w14:paraId="4D673F71" w14:textId="77777777" w:rsidR="002B7BD8" w:rsidRDefault="002B7BD8" w:rsidP="00482E01">
            <w:pPr>
              <w:pStyle w:val="SectionTitle"/>
            </w:pPr>
          </w:p>
        </w:tc>
      </w:tr>
      <w:tr w:rsidR="002B7BD8" w:rsidRPr="000E3D54" w14:paraId="06BDD8A3" w14:textId="77777777" w:rsidTr="004C2F07">
        <w:trPr>
          <w:trHeight w:val="454"/>
        </w:trPr>
        <w:tc>
          <w:tcPr>
            <w:tcW w:w="9752" w:type="dxa"/>
            <w:gridSpan w:val="3"/>
            <w:tcBorders>
              <w:top w:val="single" w:sz="4" w:space="0" w:color="auto"/>
              <w:bottom w:val="single" w:sz="4" w:space="0" w:color="auto"/>
            </w:tcBorders>
            <w:shd w:val="clear" w:color="auto" w:fill="CCCCCC"/>
            <w:vAlign w:val="center"/>
          </w:tcPr>
          <w:p w14:paraId="611BE8C6" w14:textId="1F3833E9" w:rsidR="002B7BD8" w:rsidRDefault="00CF55B3" w:rsidP="00482E01">
            <w:pPr>
              <w:pStyle w:val="SectionTitle"/>
            </w:pPr>
            <w:r w:rsidRPr="007F3B5B">
              <w:rPr>
                <w:color w:val="000000"/>
              </w:rPr>
              <w:t>B. Target year(s) or period(s), and whether they are single-year or multi-year target(s) (decision 18/CMA.1, annex, para. 64(b))</w:t>
            </w:r>
          </w:p>
        </w:tc>
      </w:tr>
      <w:tr w:rsidR="002B7BD8" w:rsidRPr="000E3D54" w14:paraId="16A287B3" w14:textId="77777777" w:rsidTr="00DB6E11">
        <w:trPr>
          <w:trHeight w:val="704"/>
        </w:trPr>
        <w:tc>
          <w:tcPr>
            <w:tcW w:w="9752" w:type="dxa"/>
            <w:gridSpan w:val="3"/>
            <w:tcBorders>
              <w:top w:val="single" w:sz="4" w:space="0" w:color="auto"/>
              <w:bottom w:val="single" w:sz="4" w:space="0" w:color="auto"/>
            </w:tcBorders>
            <w:shd w:val="clear" w:color="auto" w:fill="FFFFFF" w:themeFill="background1"/>
            <w:vAlign w:val="center"/>
          </w:tcPr>
          <w:p w14:paraId="3C2C9D7D" w14:textId="77777777" w:rsidR="002B7BD8" w:rsidRDefault="002B7BD8" w:rsidP="00482E01">
            <w:pPr>
              <w:pStyle w:val="SectionTitle"/>
            </w:pPr>
          </w:p>
        </w:tc>
      </w:tr>
      <w:tr w:rsidR="00CF55B3" w:rsidRPr="000E3D54" w14:paraId="70EE86E1" w14:textId="77777777" w:rsidTr="004C2F07">
        <w:trPr>
          <w:trHeight w:val="454"/>
        </w:trPr>
        <w:tc>
          <w:tcPr>
            <w:tcW w:w="9752" w:type="dxa"/>
            <w:gridSpan w:val="3"/>
            <w:tcBorders>
              <w:top w:val="single" w:sz="4" w:space="0" w:color="auto"/>
              <w:bottom w:val="single" w:sz="4" w:space="0" w:color="auto"/>
            </w:tcBorders>
            <w:shd w:val="clear" w:color="auto" w:fill="CCCCCC"/>
            <w:vAlign w:val="center"/>
          </w:tcPr>
          <w:p w14:paraId="163E5924" w14:textId="765B7B43" w:rsidR="00CF55B3" w:rsidRDefault="00CF55B3" w:rsidP="00482E01">
            <w:pPr>
              <w:pStyle w:val="SectionTitle"/>
            </w:pPr>
            <w:bookmarkStart w:id="6" w:name="RANGE!I21"/>
            <w:r w:rsidRPr="007F3B5B">
              <w:rPr>
                <w:color w:val="000000"/>
              </w:rPr>
              <w:lastRenderedPageBreak/>
              <w:t>C. Reference point(s), level(s), baseline(s), base year(s) or starting point(s), and their respective value(s) (decision 18/CMA.1, annex, para. 64(c))</w:t>
            </w:r>
            <w:bookmarkEnd w:id="6"/>
          </w:p>
        </w:tc>
      </w:tr>
      <w:tr w:rsidR="00CF55B3" w:rsidRPr="000E3D54" w14:paraId="364A8BDA" w14:textId="77777777" w:rsidTr="004C2F07">
        <w:trPr>
          <w:trHeight w:val="783"/>
        </w:trPr>
        <w:tc>
          <w:tcPr>
            <w:tcW w:w="9752" w:type="dxa"/>
            <w:gridSpan w:val="3"/>
            <w:tcBorders>
              <w:top w:val="single" w:sz="4" w:space="0" w:color="auto"/>
              <w:bottom w:val="single" w:sz="4" w:space="0" w:color="auto"/>
            </w:tcBorders>
            <w:shd w:val="clear" w:color="auto" w:fill="FFFFFF" w:themeFill="background1"/>
            <w:vAlign w:val="center"/>
          </w:tcPr>
          <w:p w14:paraId="3B653FBA" w14:textId="77777777" w:rsidR="00CF55B3" w:rsidRDefault="00CF55B3" w:rsidP="00482E01">
            <w:pPr>
              <w:pStyle w:val="SectionTitle"/>
            </w:pPr>
          </w:p>
        </w:tc>
      </w:tr>
      <w:tr w:rsidR="00503CA1" w:rsidRPr="000E3D54" w14:paraId="1870767B" w14:textId="77777777" w:rsidTr="004C2F07">
        <w:trPr>
          <w:trHeight w:val="454"/>
        </w:trPr>
        <w:tc>
          <w:tcPr>
            <w:tcW w:w="9752" w:type="dxa"/>
            <w:gridSpan w:val="3"/>
            <w:tcBorders>
              <w:top w:val="single" w:sz="4" w:space="0" w:color="auto"/>
              <w:bottom w:val="single" w:sz="4" w:space="0" w:color="auto"/>
            </w:tcBorders>
            <w:shd w:val="clear" w:color="auto" w:fill="CCCCCC"/>
            <w:vAlign w:val="center"/>
          </w:tcPr>
          <w:p w14:paraId="64E3F665" w14:textId="5C4D26CB" w:rsidR="00503CA1" w:rsidRDefault="00503CA1" w:rsidP="00503CA1">
            <w:pPr>
              <w:pStyle w:val="SectionTitle"/>
            </w:pPr>
            <w:bookmarkStart w:id="7" w:name="RANGE!I23"/>
            <w:r w:rsidRPr="007F3B5B">
              <w:rPr>
                <w:color w:val="000000"/>
              </w:rPr>
              <w:t>D. Time frame(s) and/or periods for implementation (decision 18/CMA.1, annex, para. 64(d))</w:t>
            </w:r>
            <w:bookmarkEnd w:id="7"/>
          </w:p>
        </w:tc>
      </w:tr>
      <w:tr w:rsidR="00503CA1" w:rsidRPr="000E3D54" w14:paraId="58F252DF" w14:textId="77777777" w:rsidTr="004C2F07">
        <w:trPr>
          <w:trHeight w:val="646"/>
        </w:trPr>
        <w:tc>
          <w:tcPr>
            <w:tcW w:w="9752" w:type="dxa"/>
            <w:gridSpan w:val="3"/>
            <w:tcBorders>
              <w:top w:val="single" w:sz="4" w:space="0" w:color="auto"/>
              <w:bottom w:val="single" w:sz="4" w:space="0" w:color="auto"/>
            </w:tcBorders>
            <w:shd w:val="clear" w:color="auto" w:fill="FFFFFF" w:themeFill="background1"/>
            <w:vAlign w:val="center"/>
          </w:tcPr>
          <w:p w14:paraId="2D7E14D7" w14:textId="77777777" w:rsidR="00503CA1" w:rsidRDefault="00503CA1" w:rsidP="00503CA1">
            <w:pPr>
              <w:pStyle w:val="SectionTitle"/>
            </w:pPr>
          </w:p>
        </w:tc>
      </w:tr>
      <w:tr w:rsidR="00503CA1" w:rsidRPr="000E3D54" w14:paraId="45D4BC5D" w14:textId="77777777" w:rsidTr="004C2F07">
        <w:trPr>
          <w:trHeight w:val="454"/>
        </w:trPr>
        <w:tc>
          <w:tcPr>
            <w:tcW w:w="9752" w:type="dxa"/>
            <w:gridSpan w:val="3"/>
            <w:tcBorders>
              <w:top w:val="single" w:sz="4" w:space="0" w:color="auto"/>
              <w:bottom w:val="single" w:sz="4" w:space="0" w:color="auto"/>
            </w:tcBorders>
            <w:shd w:val="clear" w:color="auto" w:fill="CCCCCC"/>
            <w:vAlign w:val="center"/>
          </w:tcPr>
          <w:p w14:paraId="63621BE3" w14:textId="146905F0" w:rsidR="00503CA1" w:rsidRDefault="00503CA1" w:rsidP="00503CA1">
            <w:pPr>
              <w:pStyle w:val="SectionTitle"/>
            </w:pPr>
            <w:r w:rsidRPr="007F3B5B">
              <w:rPr>
                <w:color w:val="000000"/>
              </w:rPr>
              <w:t xml:space="preserve">E. Scope and coverage, including, as relevant, sectors, categories, activities, sources and sinks, </w:t>
            </w:r>
            <w:proofErr w:type="gramStart"/>
            <w:r w:rsidRPr="007F3B5B">
              <w:rPr>
                <w:color w:val="000000"/>
              </w:rPr>
              <w:t>pools</w:t>
            </w:r>
            <w:proofErr w:type="gramEnd"/>
            <w:r w:rsidRPr="007F3B5B">
              <w:rPr>
                <w:color w:val="000000"/>
              </w:rPr>
              <w:t xml:space="preserve"> and gases (decision 18/CMA.1, annex, para. 64(e))</w:t>
            </w:r>
          </w:p>
        </w:tc>
      </w:tr>
      <w:tr w:rsidR="00503CA1" w:rsidRPr="000E3D54" w14:paraId="781CC9ED" w14:textId="77777777" w:rsidTr="004C2F07">
        <w:trPr>
          <w:trHeight w:val="848"/>
        </w:trPr>
        <w:tc>
          <w:tcPr>
            <w:tcW w:w="9752" w:type="dxa"/>
            <w:gridSpan w:val="3"/>
            <w:tcBorders>
              <w:top w:val="single" w:sz="4" w:space="0" w:color="auto"/>
              <w:bottom w:val="single" w:sz="4" w:space="0" w:color="auto"/>
            </w:tcBorders>
            <w:shd w:val="clear" w:color="auto" w:fill="FFFFFF" w:themeFill="background1"/>
            <w:vAlign w:val="center"/>
          </w:tcPr>
          <w:p w14:paraId="2040FC53" w14:textId="77777777" w:rsidR="00503CA1" w:rsidRDefault="00503CA1" w:rsidP="00503CA1">
            <w:pPr>
              <w:pStyle w:val="SectionTitle"/>
            </w:pPr>
          </w:p>
        </w:tc>
      </w:tr>
      <w:tr w:rsidR="00503CA1" w:rsidRPr="000E3D54" w14:paraId="32AE7EFC" w14:textId="77777777" w:rsidTr="004C2F07">
        <w:trPr>
          <w:trHeight w:val="454"/>
        </w:trPr>
        <w:tc>
          <w:tcPr>
            <w:tcW w:w="9752" w:type="dxa"/>
            <w:gridSpan w:val="3"/>
            <w:tcBorders>
              <w:top w:val="single" w:sz="4" w:space="0" w:color="auto"/>
              <w:bottom w:val="single" w:sz="4" w:space="0" w:color="auto"/>
            </w:tcBorders>
            <w:shd w:val="clear" w:color="auto" w:fill="CCCCCC"/>
            <w:vAlign w:val="center"/>
          </w:tcPr>
          <w:p w14:paraId="037B77C5" w14:textId="21308D9B" w:rsidR="00503CA1" w:rsidRDefault="00503CA1" w:rsidP="00503CA1">
            <w:pPr>
              <w:pStyle w:val="SectionTitle"/>
            </w:pPr>
            <w:bookmarkStart w:id="8" w:name="RANGE!I27"/>
            <w:r w:rsidRPr="007F3B5B">
              <w:rPr>
                <w:color w:val="000000"/>
              </w:rPr>
              <w:t>F. Intention to use cooperative approaches that involve the use of internationally transferred mitigation outcomes under Article 6 towards NDCs under Article 4 of the Paris Agreement (decision 18/CMA.1, annex, para. 64(f))</w:t>
            </w:r>
            <w:bookmarkEnd w:id="8"/>
          </w:p>
        </w:tc>
      </w:tr>
      <w:tr w:rsidR="00503CA1" w:rsidRPr="000E3D54" w14:paraId="1BD72C8D" w14:textId="77777777" w:rsidTr="004C2F07">
        <w:trPr>
          <w:trHeight w:val="746"/>
        </w:trPr>
        <w:tc>
          <w:tcPr>
            <w:tcW w:w="9752" w:type="dxa"/>
            <w:gridSpan w:val="3"/>
            <w:tcBorders>
              <w:top w:val="single" w:sz="4" w:space="0" w:color="auto"/>
              <w:bottom w:val="single" w:sz="4" w:space="0" w:color="auto"/>
            </w:tcBorders>
            <w:shd w:val="clear" w:color="auto" w:fill="FFFFFF" w:themeFill="background1"/>
            <w:vAlign w:val="center"/>
          </w:tcPr>
          <w:p w14:paraId="6B4A48C9" w14:textId="77777777" w:rsidR="00503CA1" w:rsidRDefault="00503CA1" w:rsidP="00503CA1">
            <w:pPr>
              <w:pStyle w:val="SectionTitle"/>
            </w:pPr>
          </w:p>
        </w:tc>
      </w:tr>
      <w:tr w:rsidR="00503CA1" w:rsidRPr="000E3D54" w14:paraId="2B20C402" w14:textId="77777777" w:rsidTr="004C2F07">
        <w:trPr>
          <w:trHeight w:val="454"/>
        </w:trPr>
        <w:tc>
          <w:tcPr>
            <w:tcW w:w="9752" w:type="dxa"/>
            <w:gridSpan w:val="3"/>
            <w:tcBorders>
              <w:top w:val="single" w:sz="4" w:space="0" w:color="auto"/>
              <w:bottom w:val="single" w:sz="4" w:space="0" w:color="auto"/>
            </w:tcBorders>
            <w:shd w:val="clear" w:color="auto" w:fill="CCCCCC"/>
            <w:vAlign w:val="center"/>
          </w:tcPr>
          <w:p w14:paraId="711E1BE3" w14:textId="741F9F0A" w:rsidR="00503CA1" w:rsidRDefault="00503CA1" w:rsidP="00503CA1">
            <w:pPr>
              <w:pStyle w:val="SectionTitle"/>
            </w:pPr>
            <w:bookmarkStart w:id="9" w:name="RANGE!I29"/>
            <w:r w:rsidRPr="007F3B5B">
              <w:rPr>
                <w:color w:val="000000"/>
              </w:rPr>
              <w:t>G. Any updates or clarifications of previously reported information (e.g. recalculation of previously reported inventory data, or greater detail on methodologies or use of cooperative approaches) (decision 18/CMA.1, annex, para. 64(g))</w:t>
            </w:r>
            <w:bookmarkEnd w:id="9"/>
          </w:p>
        </w:tc>
      </w:tr>
      <w:tr w:rsidR="00503CA1" w:rsidRPr="000E3D54" w14:paraId="2AFE49BB" w14:textId="77777777" w:rsidTr="004C2F07">
        <w:trPr>
          <w:trHeight w:val="742"/>
        </w:trPr>
        <w:tc>
          <w:tcPr>
            <w:tcW w:w="9752" w:type="dxa"/>
            <w:gridSpan w:val="3"/>
            <w:tcBorders>
              <w:top w:val="single" w:sz="4" w:space="0" w:color="auto"/>
              <w:bottom w:val="single" w:sz="4" w:space="0" w:color="auto"/>
            </w:tcBorders>
            <w:shd w:val="clear" w:color="auto" w:fill="FFFFFF" w:themeFill="background1"/>
            <w:vAlign w:val="center"/>
          </w:tcPr>
          <w:p w14:paraId="230C53F9" w14:textId="77777777" w:rsidR="00503CA1" w:rsidRDefault="00503CA1" w:rsidP="00503CA1">
            <w:pPr>
              <w:pStyle w:val="SectionTitle"/>
            </w:pPr>
          </w:p>
        </w:tc>
      </w:tr>
      <w:tr w:rsidR="00503CA1" w:rsidRPr="000E3D54" w14:paraId="0F9F0E9D" w14:textId="77777777" w:rsidTr="004C2F07">
        <w:trPr>
          <w:trHeight w:val="454"/>
        </w:trPr>
        <w:tc>
          <w:tcPr>
            <w:tcW w:w="9752" w:type="dxa"/>
            <w:gridSpan w:val="3"/>
            <w:tcBorders>
              <w:top w:val="single" w:sz="4" w:space="0" w:color="auto"/>
              <w:bottom w:val="single" w:sz="4" w:space="0" w:color="auto"/>
            </w:tcBorders>
            <w:shd w:val="clear" w:color="auto" w:fill="7F7F7F" w:themeFill="text1" w:themeFillTint="80"/>
            <w:vAlign w:val="center"/>
          </w:tcPr>
          <w:p w14:paraId="158AF9D5" w14:textId="31B71A42" w:rsidR="00503CA1" w:rsidRDefault="00503CA1" w:rsidP="00692709">
            <w:pPr>
              <w:pStyle w:val="SectionTitle"/>
            </w:pPr>
            <w:bookmarkStart w:id="10" w:name="_Toc117061919"/>
            <w:bookmarkStart w:id="11" w:name="_Toc117495336"/>
            <w:bookmarkStart w:id="12" w:name="_Toc117496116"/>
            <w:r>
              <w:t>III</w:t>
            </w:r>
            <w:r w:rsidR="00692709">
              <w:t>.</w:t>
            </w:r>
            <w:r w:rsidR="00692709">
              <w:tab/>
            </w:r>
            <w:r w:rsidRPr="004E0A94">
              <w:t xml:space="preserve">Information on ITMO metrics, method for applying </w:t>
            </w:r>
            <w:r w:rsidRPr="00773E0F">
              <w:t>corresponding</w:t>
            </w:r>
            <w:r w:rsidRPr="004E0A94">
              <w:t xml:space="preserve"> adjustments and method for quantification of </w:t>
            </w:r>
            <w:bookmarkEnd w:id="10"/>
            <w:r w:rsidRPr="004E0A94">
              <w:t>the NDC</w:t>
            </w:r>
            <w:bookmarkEnd w:id="11"/>
            <w:bookmarkEnd w:id="12"/>
            <w:r w:rsidRPr="004E0A94">
              <w:t xml:space="preserve"> (para. 18(c</w:t>
            </w:r>
            <w:r>
              <w:t>–</w:t>
            </w:r>
            <w:r w:rsidRPr="004E0A94">
              <w:t>f))</w:t>
            </w:r>
          </w:p>
        </w:tc>
      </w:tr>
      <w:tr w:rsidR="00503CA1" w:rsidRPr="006B4878" w14:paraId="7B87DE79" w14:textId="77777777" w:rsidTr="004C2F07">
        <w:trPr>
          <w:trHeight w:val="454"/>
        </w:trPr>
        <w:tc>
          <w:tcPr>
            <w:tcW w:w="9752" w:type="dxa"/>
            <w:gridSpan w:val="3"/>
            <w:tcBorders>
              <w:top w:val="single" w:sz="4" w:space="0" w:color="auto"/>
              <w:bottom w:val="single" w:sz="4" w:space="0" w:color="auto"/>
            </w:tcBorders>
            <w:shd w:val="clear" w:color="auto" w:fill="CCCCCC"/>
            <w:vAlign w:val="center"/>
          </w:tcPr>
          <w:p w14:paraId="64005348" w14:textId="781CC7E7" w:rsidR="00503CA1" w:rsidRPr="00780460" w:rsidRDefault="00503CA1" w:rsidP="00503CA1">
            <w:pPr>
              <w:pStyle w:val="SectionTitle"/>
              <w:rPr>
                <w:lang w:val="es-ES"/>
              </w:rPr>
            </w:pPr>
            <w:r w:rsidRPr="008267DA">
              <w:rPr>
                <w:color w:val="000000"/>
                <w:lang w:val="pt-BR"/>
              </w:rPr>
              <w:t xml:space="preserve">A. ITMO </w:t>
            </w:r>
            <w:proofErr w:type="spellStart"/>
            <w:r w:rsidRPr="008267DA">
              <w:rPr>
                <w:color w:val="000000"/>
                <w:lang w:val="pt-BR"/>
              </w:rPr>
              <w:t>metrics</w:t>
            </w:r>
            <w:proofErr w:type="spellEnd"/>
            <w:r w:rsidRPr="008267DA">
              <w:rPr>
                <w:color w:val="000000"/>
                <w:lang w:val="pt-BR"/>
              </w:rPr>
              <w:t xml:space="preserve"> (para. 18(c))</w:t>
            </w:r>
          </w:p>
        </w:tc>
      </w:tr>
      <w:tr w:rsidR="00503CA1" w:rsidRPr="006B4878" w14:paraId="3A89142F" w14:textId="77777777" w:rsidTr="004C2F07">
        <w:trPr>
          <w:trHeight w:val="786"/>
        </w:trPr>
        <w:tc>
          <w:tcPr>
            <w:tcW w:w="9752" w:type="dxa"/>
            <w:gridSpan w:val="3"/>
            <w:tcBorders>
              <w:top w:val="single" w:sz="4" w:space="0" w:color="auto"/>
              <w:bottom w:val="single" w:sz="4" w:space="0" w:color="auto"/>
            </w:tcBorders>
            <w:shd w:val="clear" w:color="auto" w:fill="FFFFFF" w:themeFill="background1"/>
            <w:vAlign w:val="center"/>
          </w:tcPr>
          <w:p w14:paraId="1D6EB100" w14:textId="77777777" w:rsidR="00503CA1" w:rsidRPr="00780460" w:rsidRDefault="00503CA1" w:rsidP="00503CA1">
            <w:pPr>
              <w:pStyle w:val="SectionTitle"/>
              <w:rPr>
                <w:lang w:val="es-ES"/>
              </w:rPr>
            </w:pPr>
          </w:p>
        </w:tc>
      </w:tr>
      <w:tr w:rsidR="00503CA1" w:rsidRPr="000E3D54" w14:paraId="07DAA1B7" w14:textId="77777777" w:rsidTr="004C2F07">
        <w:trPr>
          <w:trHeight w:val="454"/>
        </w:trPr>
        <w:tc>
          <w:tcPr>
            <w:tcW w:w="9752" w:type="dxa"/>
            <w:gridSpan w:val="3"/>
            <w:tcBorders>
              <w:top w:val="single" w:sz="4" w:space="0" w:color="auto"/>
              <w:bottom w:val="single" w:sz="4" w:space="0" w:color="auto"/>
            </w:tcBorders>
            <w:shd w:val="clear" w:color="auto" w:fill="CCCCCC"/>
            <w:vAlign w:val="center"/>
          </w:tcPr>
          <w:p w14:paraId="227544BC" w14:textId="2F15F334" w:rsidR="00503CA1" w:rsidRDefault="00503CA1" w:rsidP="00503CA1">
            <w:pPr>
              <w:pStyle w:val="SectionTitle"/>
            </w:pPr>
            <w:r w:rsidRPr="007F3B5B">
              <w:rPr>
                <w:color w:val="000000"/>
              </w:rPr>
              <w:t>B. Method for applying corresponding adjustments as per chapter III.B (Application of corresponding adjustments) (para. 18(c))</w:t>
            </w:r>
          </w:p>
        </w:tc>
      </w:tr>
      <w:tr w:rsidR="00503CA1" w:rsidRPr="001C0510" w14:paraId="3D001B24" w14:textId="77777777" w:rsidTr="004C2F07">
        <w:trPr>
          <w:trHeight w:val="53"/>
        </w:trPr>
        <w:tc>
          <w:tcPr>
            <w:tcW w:w="4464" w:type="dxa"/>
            <w:gridSpan w:val="2"/>
            <w:tcBorders>
              <w:top w:val="single" w:sz="4" w:space="0" w:color="auto"/>
              <w:bottom w:val="single" w:sz="4" w:space="0" w:color="auto"/>
              <w:right w:val="dotted" w:sz="4" w:space="0" w:color="auto"/>
            </w:tcBorders>
            <w:shd w:val="clear" w:color="auto" w:fill="E6E6E6"/>
            <w:vAlign w:val="center"/>
          </w:tcPr>
          <w:p w14:paraId="147A7C81" w14:textId="13692EA8" w:rsidR="00503CA1" w:rsidRPr="00DE5C5A" w:rsidRDefault="00503CA1" w:rsidP="00503CA1">
            <w:pPr>
              <w:pStyle w:val="RegLeftInstructionCell"/>
              <w:rPr>
                <w:b w:val="0"/>
                <w:bCs/>
                <w:sz w:val="18"/>
              </w:rPr>
            </w:pPr>
            <w:r w:rsidRPr="00DE5C5A">
              <w:rPr>
                <w:b w:val="0"/>
                <w:bCs/>
                <w:color w:val="000000"/>
                <w:sz w:val="18"/>
              </w:rPr>
              <w:t>1. Description of the method for applying corresponding adjustment for multi- or single year NDCs that will be applied consistently throughout the period of NDC implementation, if applicable (para. 18(c))</w:t>
            </w:r>
          </w:p>
        </w:tc>
        <w:tc>
          <w:tcPr>
            <w:tcW w:w="5288" w:type="dxa"/>
            <w:tcBorders>
              <w:top w:val="single" w:sz="4" w:space="0" w:color="auto"/>
              <w:left w:val="dotted" w:sz="4" w:space="0" w:color="auto"/>
              <w:bottom w:val="single" w:sz="4" w:space="0" w:color="auto"/>
            </w:tcBorders>
            <w:shd w:val="clear" w:color="auto" w:fill="auto"/>
            <w:vAlign w:val="center"/>
          </w:tcPr>
          <w:p w14:paraId="3A0716BD" w14:textId="3F140D26" w:rsidR="00503CA1" w:rsidRPr="004575E1" w:rsidRDefault="00503CA1" w:rsidP="00503CA1">
            <w:pPr>
              <w:pStyle w:val="RegTypePara"/>
              <w:spacing w:after="120"/>
            </w:pPr>
          </w:p>
        </w:tc>
      </w:tr>
      <w:tr w:rsidR="00503CA1" w:rsidRPr="001C0510" w14:paraId="2BFECBDC" w14:textId="77777777" w:rsidTr="004C2F07">
        <w:trPr>
          <w:trHeight w:val="1110"/>
        </w:trPr>
        <w:tc>
          <w:tcPr>
            <w:tcW w:w="4464" w:type="dxa"/>
            <w:gridSpan w:val="2"/>
            <w:tcBorders>
              <w:top w:val="single" w:sz="4" w:space="0" w:color="auto"/>
              <w:bottom w:val="single" w:sz="4" w:space="0" w:color="auto"/>
              <w:right w:val="dotted" w:sz="4" w:space="0" w:color="auto"/>
            </w:tcBorders>
            <w:shd w:val="clear" w:color="auto" w:fill="E6E6E6"/>
            <w:vAlign w:val="center"/>
          </w:tcPr>
          <w:p w14:paraId="4FF5D35F" w14:textId="73D4ADDD" w:rsidR="00503CA1" w:rsidRPr="00DE5C5A" w:rsidRDefault="00503CA1" w:rsidP="00503CA1">
            <w:pPr>
              <w:pStyle w:val="RegLeftInstructionCell"/>
              <w:rPr>
                <w:b w:val="0"/>
                <w:sz w:val="18"/>
              </w:rPr>
            </w:pPr>
            <w:r w:rsidRPr="00DE5C5A">
              <w:rPr>
                <w:b w:val="0"/>
                <w:color w:val="000000"/>
                <w:sz w:val="18"/>
              </w:rPr>
              <w:t xml:space="preserve">2. Description of the method for applying corresponding adjustments where the method is a multi-year emissions trajectory, </w:t>
            </w:r>
            <w:proofErr w:type="gramStart"/>
            <w:r w:rsidRPr="00DE5C5A">
              <w:rPr>
                <w:b w:val="0"/>
                <w:color w:val="000000"/>
                <w:sz w:val="18"/>
              </w:rPr>
              <w:t>trajectories</w:t>
            </w:r>
            <w:proofErr w:type="gramEnd"/>
            <w:r w:rsidRPr="00DE5C5A">
              <w:rPr>
                <w:b w:val="0"/>
                <w:color w:val="000000"/>
                <w:sz w:val="18"/>
              </w:rPr>
              <w:t xml:space="preserve"> or budget, if applicable (para. 18(c))</w:t>
            </w:r>
          </w:p>
        </w:tc>
        <w:tc>
          <w:tcPr>
            <w:tcW w:w="5288" w:type="dxa"/>
            <w:tcBorders>
              <w:top w:val="single" w:sz="4" w:space="0" w:color="auto"/>
              <w:left w:val="dotted" w:sz="4" w:space="0" w:color="auto"/>
              <w:bottom w:val="single" w:sz="4" w:space="0" w:color="auto"/>
            </w:tcBorders>
            <w:shd w:val="clear" w:color="auto" w:fill="auto"/>
            <w:vAlign w:val="center"/>
          </w:tcPr>
          <w:p w14:paraId="24BAC405" w14:textId="6B18130E" w:rsidR="00503CA1" w:rsidRPr="004D2C9A" w:rsidRDefault="00503CA1" w:rsidP="00503CA1">
            <w:pPr>
              <w:pStyle w:val="RegTypePara"/>
              <w:spacing w:before="0" w:after="120"/>
              <w:rPr>
                <w:rStyle w:val="RegTypeParaChar"/>
                <w:i/>
                <w:iCs/>
              </w:rPr>
            </w:pPr>
          </w:p>
        </w:tc>
      </w:tr>
      <w:tr w:rsidR="00503CA1" w:rsidRPr="001C0510" w14:paraId="3182F1BA" w14:textId="77777777" w:rsidTr="004C2F07">
        <w:trPr>
          <w:trHeight w:val="53"/>
        </w:trPr>
        <w:tc>
          <w:tcPr>
            <w:tcW w:w="4464" w:type="dxa"/>
            <w:gridSpan w:val="2"/>
            <w:tcBorders>
              <w:top w:val="single" w:sz="4" w:space="0" w:color="auto"/>
              <w:bottom w:val="single" w:sz="4" w:space="0" w:color="auto"/>
              <w:right w:val="dotted" w:sz="4" w:space="0" w:color="auto"/>
            </w:tcBorders>
            <w:shd w:val="clear" w:color="auto" w:fill="E6E6E6"/>
            <w:vAlign w:val="center"/>
          </w:tcPr>
          <w:p w14:paraId="1DC3881E" w14:textId="654E62A0" w:rsidR="00503CA1" w:rsidRPr="00212181" w:rsidRDefault="00503CA1" w:rsidP="00503CA1">
            <w:pPr>
              <w:pStyle w:val="RegLeftInstructionCell"/>
              <w:keepLines/>
              <w:rPr>
                <w:b w:val="0"/>
                <w:bCs/>
                <w:sz w:val="18"/>
              </w:rPr>
            </w:pPr>
            <w:r w:rsidRPr="00212181">
              <w:rPr>
                <w:b w:val="0"/>
                <w:bCs/>
                <w:i/>
                <w:iCs/>
                <w:color w:val="000000"/>
                <w:sz w:val="18"/>
              </w:rPr>
              <w:lastRenderedPageBreak/>
              <w:t>3. Description of how the method for applying corresponding adjustments aligns with decision 2/CMA.3, annex, paragraph 7 (para. 18(c) supplemented by decision 4/CMA.6, annex 1) - Supplementary element of information to be provided by Parties as relevant</w:t>
            </w:r>
            <w:r w:rsidRPr="00212181">
              <w:rPr>
                <w:rStyle w:val="FootnoteReference"/>
                <w:b w:val="0"/>
                <w:bCs/>
                <w:i/>
                <w:iCs/>
                <w:color w:val="000000"/>
                <w:sz w:val="18"/>
              </w:rPr>
              <w:footnoteReference w:id="5"/>
            </w:r>
          </w:p>
        </w:tc>
        <w:tc>
          <w:tcPr>
            <w:tcW w:w="5288" w:type="dxa"/>
            <w:tcBorders>
              <w:top w:val="single" w:sz="4" w:space="0" w:color="auto"/>
              <w:left w:val="dotted" w:sz="4" w:space="0" w:color="auto"/>
              <w:bottom w:val="single" w:sz="4" w:space="0" w:color="auto"/>
            </w:tcBorders>
            <w:shd w:val="clear" w:color="auto" w:fill="auto"/>
            <w:vAlign w:val="center"/>
          </w:tcPr>
          <w:p w14:paraId="7149A66F" w14:textId="5867805C" w:rsidR="00503CA1" w:rsidRPr="00100D83" w:rsidRDefault="00503CA1" w:rsidP="00503CA1">
            <w:pPr>
              <w:pStyle w:val="RegTypePara"/>
              <w:spacing w:after="120"/>
              <w:rPr>
                <w:rStyle w:val="RegTypeParaChar"/>
              </w:rPr>
            </w:pPr>
          </w:p>
        </w:tc>
      </w:tr>
      <w:tr w:rsidR="00503CA1" w:rsidRPr="001C0510" w14:paraId="0155D9E3" w14:textId="77777777" w:rsidTr="004C2F07">
        <w:trPr>
          <w:trHeight w:val="53"/>
        </w:trPr>
        <w:tc>
          <w:tcPr>
            <w:tcW w:w="4464" w:type="dxa"/>
            <w:gridSpan w:val="2"/>
            <w:tcBorders>
              <w:top w:val="single" w:sz="4" w:space="0" w:color="auto"/>
              <w:bottom w:val="single" w:sz="4" w:space="0" w:color="auto"/>
              <w:right w:val="dotted" w:sz="4" w:space="0" w:color="auto"/>
            </w:tcBorders>
            <w:shd w:val="clear" w:color="auto" w:fill="E6E6E6"/>
            <w:vAlign w:val="center"/>
          </w:tcPr>
          <w:p w14:paraId="384E39E7" w14:textId="6CB02316" w:rsidR="00503CA1" w:rsidRPr="00212181" w:rsidRDefault="00503CA1" w:rsidP="00503CA1">
            <w:pPr>
              <w:pStyle w:val="RegLeftInstructionCell"/>
              <w:rPr>
                <w:b w:val="0"/>
                <w:bCs/>
                <w:sz w:val="18"/>
              </w:rPr>
            </w:pPr>
            <w:r w:rsidRPr="00212181">
              <w:rPr>
                <w:b w:val="0"/>
                <w:bCs/>
                <w:i/>
                <w:iCs/>
                <w:color w:val="000000"/>
                <w:sz w:val="18"/>
              </w:rPr>
              <w:t>4. Description of the</w:t>
            </w:r>
            <w:r w:rsidRPr="00212181">
              <w:rPr>
                <w:b w:val="0"/>
                <w:bCs/>
                <w:i/>
                <w:iCs/>
                <w:sz w:val="18"/>
              </w:rPr>
              <w:t xml:space="preserve"> methods used for establishing the indicative trajectory, trajectories or budget and the resulting trajectory, trajectories or budget and their relationship to the indicators referred to in decision 18/CMA.1, annex, paragraph 65, to which corresponding adjustments will be applied </w:t>
            </w:r>
            <w:r w:rsidRPr="00212181">
              <w:rPr>
                <w:b w:val="0"/>
                <w:bCs/>
                <w:i/>
                <w:iCs/>
                <w:color w:val="000000"/>
                <w:sz w:val="18"/>
                <w:lang w:val="en-US"/>
              </w:rPr>
              <w:t>(para. 18(c) supplemented by decision 4/CMA.6, annex 1) - Supplementary element of information to be provided by Parties as relevant</w:t>
            </w:r>
            <w:r w:rsidRPr="00212181">
              <w:rPr>
                <w:rStyle w:val="FootnoteReference"/>
                <w:b w:val="0"/>
                <w:bCs/>
                <w:i/>
                <w:iCs/>
                <w:color w:val="000000"/>
                <w:sz w:val="18"/>
                <w:lang w:val="en-US"/>
              </w:rPr>
              <w:footnoteReference w:id="6"/>
            </w:r>
          </w:p>
        </w:tc>
        <w:tc>
          <w:tcPr>
            <w:tcW w:w="5288" w:type="dxa"/>
            <w:tcBorders>
              <w:top w:val="single" w:sz="4" w:space="0" w:color="auto"/>
              <w:left w:val="dotted" w:sz="4" w:space="0" w:color="auto"/>
              <w:bottom w:val="single" w:sz="4" w:space="0" w:color="auto"/>
            </w:tcBorders>
            <w:shd w:val="clear" w:color="auto" w:fill="auto"/>
            <w:vAlign w:val="center"/>
          </w:tcPr>
          <w:p w14:paraId="2C101DD9" w14:textId="0796543B" w:rsidR="00503CA1" w:rsidRPr="00100D83" w:rsidRDefault="00503CA1" w:rsidP="00503CA1">
            <w:pPr>
              <w:pStyle w:val="RegTypePara"/>
              <w:spacing w:after="120"/>
              <w:rPr>
                <w:rStyle w:val="RegTypeParaChar"/>
              </w:rPr>
            </w:pPr>
          </w:p>
        </w:tc>
      </w:tr>
      <w:tr w:rsidR="00503CA1" w:rsidRPr="001C0510" w14:paraId="038501EF" w14:textId="77777777" w:rsidTr="004C2F07">
        <w:trPr>
          <w:trHeight w:val="53"/>
        </w:trPr>
        <w:tc>
          <w:tcPr>
            <w:tcW w:w="9752" w:type="dxa"/>
            <w:gridSpan w:val="3"/>
            <w:tcBorders>
              <w:top w:val="single" w:sz="4" w:space="0" w:color="auto"/>
              <w:bottom w:val="dotted" w:sz="4" w:space="0" w:color="auto"/>
            </w:tcBorders>
            <w:shd w:val="clear" w:color="auto" w:fill="E6E6E6"/>
            <w:vAlign w:val="center"/>
          </w:tcPr>
          <w:p w14:paraId="1D69EBBA" w14:textId="1F07C9D3" w:rsidR="00503CA1" w:rsidRPr="00C83E12" w:rsidRDefault="00687F8C" w:rsidP="00687F8C">
            <w:pPr>
              <w:pStyle w:val="SectionTitle"/>
            </w:pPr>
            <w:r w:rsidRPr="007F3B5B">
              <w:rPr>
                <w:color w:val="000000"/>
              </w:rPr>
              <w:t xml:space="preserve">C. Quantification of the Party’s mitigation information in its NDC in t CO2 </w:t>
            </w:r>
            <w:proofErr w:type="spellStart"/>
            <w:r w:rsidRPr="007F3B5B">
              <w:rPr>
                <w:color w:val="000000"/>
              </w:rPr>
              <w:t>eq</w:t>
            </w:r>
            <w:proofErr w:type="spellEnd"/>
            <w:r w:rsidRPr="007F3B5B">
              <w:rPr>
                <w:color w:val="000000"/>
              </w:rPr>
              <w:t xml:space="preserve">, including the sectors, sources, GHGs and time periods covered by the NDC, the reference level of emissions and removals for the relevant year or period, and the target level for its NDC or, where this is not possible, the methodology for the quantification of the NDC in t CO2 </w:t>
            </w:r>
            <w:proofErr w:type="spellStart"/>
            <w:r w:rsidRPr="007F3B5B">
              <w:rPr>
                <w:color w:val="000000"/>
              </w:rPr>
              <w:t>eq</w:t>
            </w:r>
            <w:proofErr w:type="spellEnd"/>
            <w:r w:rsidRPr="007F3B5B">
              <w:rPr>
                <w:color w:val="000000"/>
              </w:rPr>
              <w:t xml:space="preserve"> (para. 18(d))</w:t>
            </w:r>
            <w:r w:rsidR="00503CA1" w:rsidRPr="00687F8C">
              <w:rPr>
                <w:color w:val="000000"/>
              </w:rPr>
              <w:t>.</w:t>
            </w:r>
          </w:p>
        </w:tc>
      </w:tr>
      <w:tr w:rsidR="00503CA1" w:rsidRPr="001C0510" w14:paraId="682D069A" w14:textId="77777777" w:rsidTr="004C2F07">
        <w:trPr>
          <w:trHeight w:val="939"/>
        </w:trPr>
        <w:tc>
          <w:tcPr>
            <w:tcW w:w="9752" w:type="dxa"/>
            <w:gridSpan w:val="3"/>
            <w:tcBorders>
              <w:top w:val="dotted" w:sz="4" w:space="0" w:color="auto"/>
              <w:bottom w:val="single" w:sz="4" w:space="0" w:color="auto"/>
            </w:tcBorders>
            <w:shd w:val="clear" w:color="auto" w:fill="auto"/>
            <w:vAlign w:val="center"/>
          </w:tcPr>
          <w:p w14:paraId="674549CC" w14:textId="15679CDB" w:rsidR="00503CA1" w:rsidRPr="00100D83" w:rsidRDefault="00503CA1" w:rsidP="00503CA1">
            <w:pPr>
              <w:pStyle w:val="RegTypePara"/>
              <w:spacing w:after="120"/>
              <w:rPr>
                <w:rStyle w:val="RegTypeParaChar"/>
              </w:rPr>
            </w:pPr>
            <w:bookmarkStart w:id="13" w:name="_Hlk189471244"/>
            <w:r>
              <w:rPr>
                <w:rStyle w:val="RegTypeParaChar"/>
              </w:rPr>
              <w:t>&gt;&gt;</w:t>
            </w:r>
          </w:p>
        </w:tc>
      </w:tr>
      <w:bookmarkEnd w:id="13"/>
      <w:tr w:rsidR="00503CA1" w:rsidRPr="001C0510" w14:paraId="778265A6" w14:textId="77777777" w:rsidTr="004C2F07">
        <w:trPr>
          <w:trHeight w:val="55"/>
        </w:trPr>
        <w:tc>
          <w:tcPr>
            <w:tcW w:w="9752" w:type="dxa"/>
            <w:gridSpan w:val="3"/>
            <w:tcBorders>
              <w:top w:val="single" w:sz="4" w:space="0" w:color="auto"/>
              <w:bottom w:val="dotted" w:sz="4" w:space="0" w:color="auto"/>
            </w:tcBorders>
            <w:shd w:val="clear" w:color="auto" w:fill="E6E6E6"/>
            <w:vAlign w:val="center"/>
          </w:tcPr>
          <w:p w14:paraId="5EB2415D" w14:textId="76738762" w:rsidR="00503CA1" w:rsidRPr="007206FC" w:rsidRDefault="00687F8C" w:rsidP="00687F8C">
            <w:pPr>
              <w:pStyle w:val="SectionTitle"/>
            </w:pPr>
            <w:r w:rsidRPr="007F3B5B">
              <w:rPr>
                <w:color w:val="000000"/>
              </w:rPr>
              <w:t>D. Quantification of the Party’s NDC, or the portion in the relevant non-GHG indicator, in a non-GHG metric determined by each participating Party, if applicable (para. 18(e))</w:t>
            </w:r>
          </w:p>
        </w:tc>
      </w:tr>
      <w:tr w:rsidR="00503CA1" w:rsidRPr="001C0510" w14:paraId="08C7E000" w14:textId="77777777" w:rsidTr="004C2F07">
        <w:trPr>
          <w:trHeight w:val="1119"/>
        </w:trPr>
        <w:tc>
          <w:tcPr>
            <w:tcW w:w="9752" w:type="dxa"/>
            <w:gridSpan w:val="3"/>
            <w:tcBorders>
              <w:top w:val="dotted" w:sz="4" w:space="0" w:color="auto"/>
              <w:bottom w:val="single" w:sz="4" w:space="0" w:color="auto"/>
            </w:tcBorders>
            <w:shd w:val="clear" w:color="auto" w:fill="auto"/>
            <w:vAlign w:val="center"/>
          </w:tcPr>
          <w:p w14:paraId="60827B7A" w14:textId="6E33E86B" w:rsidR="00503CA1" w:rsidRPr="00100D83" w:rsidRDefault="00503CA1" w:rsidP="00503CA1">
            <w:pPr>
              <w:pStyle w:val="RegTypePara"/>
              <w:spacing w:after="120"/>
              <w:rPr>
                <w:rStyle w:val="RegTypeParaChar"/>
              </w:rPr>
            </w:pPr>
            <w:r>
              <w:rPr>
                <w:rStyle w:val="RegTypeParaChar"/>
              </w:rPr>
              <w:t>&gt;&gt;</w:t>
            </w:r>
          </w:p>
        </w:tc>
      </w:tr>
      <w:tr w:rsidR="00503CA1" w:rsidRPr="001C0510" w14:paraId="652FF16A" w14:textId="77777777" w:rsidTr="004C2F07">
        <w:trPr>
          <w:trHeight w:val="552"/>
        </w:trPr>
        <w:tc>
          <w:tcPr>
            <w:tcW w:w="9752" w:type="dxa"/>
            <w:gridSpan w:val="3"/>
            <w:tcBorders>
              <w:top w:val="single" w:sz="4" w:space="0" w:color="auto"/>
              <w:bottom w:val="dotted" w:sz="4" w:space="0" w:color="auto"/>
            </w:tcBorders>
            <w:shd w:val="clear" w:color="auto" w:fill="E6E6E6"/>
            <w:vAlign w:val="center"/>
          </w:tcPr>
          <w:p w14:paraId="76E909F5" w14:textId="6735F29D" w:rsidR="00503CA1" w:rsidRPr="007206FC" w:rsidRDefault="00687F8C" w:rsidP="00687F8C">
            <w:pPr>
              <w:pStyle w:val="SectionTitle"/>
            </w:pPr>
            <w:bookmarkStart w:id="14" w:name="_Hlk189650263"/>
            <w:r w:rsidRPr="007F3B5B">
              <w:rPr>
                <w:color w:val="000000"/>
              </w:rPr>
              <w:t>E. For a first or first updated NDC consisting of policies and measures that is not quantified, information on quantification of the Party’s emission level resulting from the policies and measures that are relevant to the implementation of the cooperative approach and its mitigation activities for the categories of anthropogenic emissions by sources and removals by sinks, as identified by the first transferring Party pursuant to paragraph 10, and the time periods covered by the NDC (para. 18(f))</w:t>
            </w:r>
            <w:bookmarkEnd w:id="14"/>
          </w:p>
        </w:tc>
      </w:tr>
      <w:tr w:rsidR="00503CA1" w:rsidRPr="001C0510" w14:paraId="62A7031A" w14:textId="77777777" w:rsidTr="004C2F07">
        <w:trPr>
          <w:trHeight w:val="851"/>
        </w:trPr>
        <w:tc>
          <w:tcPr>
            <w:tcW w:w="9752" w:type="dxa"/>
            <w:gridSpan w:val="3"/>
            <w:tcBorders>
              <w:top w:val="dotted" w:sz="4" w:space="0" w:color="auto"/>
              <w:bottom w:val="single" w:sz="4" w:space="0" w:color="auto"/>
            </w:tcBorders>
            <w:shd w:val="clear" w:color="auto" w:fill="auto"/>
            <w:vAlign w:val="center"/>
          </w:tcPr>
          <w:p w14:paraId="7B4D619F" w14:textId="358AD12F" w:rsidR="00503CA1" w:rsidRPr="00100D83" w:rsidRDefault="00503CA1" w:rsidP="00503CA1">
            <w:pPr>
              <w:pStyle w:val="RegTypePara"/>
              <w:spacing w:after="120"/>
              <w:rPr>
                <w:rStyle w:val="RegTypeParaChar"/>
              </w:rPr>
            </w:pPr>
            <w:r>
              <w:rPr>
                <w:rStyle w:val="RegTypeParaChar"/>
              </w:rPr>
              <w:t>&gt;&gt;</w:t>
            </w:r>
          </w:p>
        </w:tc>
      </w:tr>
      <w:tr w:rsidR="00503CA1" w:rsidRPr="000E3D54" w14:paraId="5ED5B9AF" w14:textId="77777777" w:rsidTr="004C2F07">
        <w:trPr>
          <w:trHeight w:val="454"/>
        </w:trPr>
        <w:tc>
          <w:tcPr>
            <w:tcW w:w="9752" w:type="dxa"/>
            <w:gridSpan w:val="3"/>
            <w:tcBorders>
              <w:top w:val="single" w:sz="4" w:space="0" w:color="auto"/>
              <w:bottom w:val="nil"/>
            </w:tcBorders>
            <w:shd w:val="clear" w:color="auto" w:fill="CCCCCC"/>
            <w:vAlign w:val="center"/>
          </w:tcPr>
          <w:p w14:paraId="3FC40A8E" w14:textId="3D3F3458" w:rsidR="00692709" w:rsidRPr="000E3D54" w:rsidRDefault="00ED370C" w:rsidP="00692709">
            <w:pPr>
              <w:pStyle w:val="SectionTitle"/>
              <w:jc w:val="left"/>
            </w:pPr>
            <w:r w:rsidRPr="00ED370C">
              <w:lastRenderedPageBreak/>
              <w:t>IV.</w:t>
            </w:r>
            <w:r w:rsidR="00692709">
              <w:tab/>
            </w:r>
            <w:r w:rsidRPr="00ED370C">
              <w:t xml:space="preserve"> </w:t>
            </w:r>
            <w:bookmarkStart w:id="15" w:name="_Toc116301840"/>
            <w:bookmarkStart w:id="16" w:name="_Toc117061925"/>
            <w:bookmarkStart w:id="17" w:name="_Toc117495342"/>
            <w:bookmarkStart w:id="18" w:name="_Toc117496122"/>
            <w:r w:rsidRPr="00ED370C">
              <w:t>Information on each cooperative approach (para. 18(g–</w:t>
            </w:r>
            <w:proofErr w:type="spellStart"/>
            <w:r w:rsidRPr="00ED370C">
              <w:t>i</w:t>
            </w:r>
            <w:proofErr w:type="spellEnd"/>
            <w:r w:rsidRPr="00ED370C">
              <w:t>), para. 19)</w:t>
            </w:r>
            <w:bookmarkEnd w:id="15"/>
            <w:bookmarkEnd w:id="16"/>
            <w:bookmarkEnd w:id="17"/>
            <w:bookmarkEnd w:id="18"/>
          </w:p>
        </w:tc>
      </w:tr>
      <w:tr w:rsidR="00692709" w:rsidRPr="000E3D54" w14:paraId="3E917987" w14:textId="77777777" w:rsidTr="004C2F07">
        <w:trPr>
          <w:trHeight w:val="454"/>
        </w:trPr>
        <w:tc>
          <w:tcPr>
            <w:tcW w:w="9752" w:type="dxa"/>
            <w:gridSpan w:val="3"/>
            <w:tcBorders>
              <w:top w:val="nil"/>
              <w:bottom w:val="single" w:sz="4" w:space="0" w:color="auto"/>
            </w:tcBorders>
            <w:shd w:val="clear" w:color="auto" w:fill="CCCCCC"/>
            <w:vAlign w:val="center"/>
          </w:tcPr>
          <w:p w14:paraId="014E9407" w14:textId="5EFCD2F3" w:rsidR="00692709" w:rsidRPr="00692709" w:rsidRDefault="00692709" w:rsidP="00692709">
            <w:pPr>
              <w:pStyle w:val="SectionTitle"/>
              <w:jc w:val="left"/>
              <w:rPr>
                <w:i/>
                <w:iCs/>
                <w:sz w:val="18"/>
                <w:szCs w:val="18"/>
              </w:rPr>
            </w:pPr>
            <w:r w:rsidRPr="00692709">
              <w:rPr>
                <w:rFonts w:ascii="Times New Roman" w:eastAsia="SimSun" w:hAnsi="Times New Roman" w:cs="Times New Roman"/>
                <w:b w:val="0"/>
                <w:bCs w:val="0"/>
                <w:i/>
                <w:iCs/>
                <w:smallCaps w:val="0"/>
                <w:sz w:val="18"/>
                <w:szCs w:val="18"/>
                <w:lang w:eastAsia="zh-CN"/>
              </w:rPr>
              <w:t>Note: For the initial report and the updated initial report, chapters A–H below should be repeated for each cooperative approach. For each further cooperative approach, each participating Party shall submit the information referred to in para. 18(g–</w:t>
            </w:r>
            <w:proofErr w:type="spellStart"/>
            <w:r w:rsidRPr="00692709">
              <w:rPr>
                <w:rFonts w:ascii="Times New Roman" w:eastAsia="SimSun" w:hAnsi="Times New Roman" w:cs="Times New Roman"/>
                <w:b w:val="0"/>
                <w:bCs w:val="0"/>
                <w:i/>
                <w:iCs/>
                <w:smallCaps w:val="0"/>
                <w:sz w:val="18"/>
                <w:szCs w:val="18"/>
                <w:lang w:eastAsia="zh-CN"/>
              </w:rPr>
              <w:t>i</w:t>
            </w:r>
            <w:proofErr w:type="spellEnd"/>
            <w:r w:rsidRPr="00692709">
              <w:rPr>
                <w:rFonts w:ascii="Times New Roman" w:eastAsia="SimSun" w:hAnsi="Times New Roman" w:cs="Times New Roman"/>
                <w:b w:val="0"/>
                <w:bCs w:val="0"/>
                <w:i/>
                <w:iCs/>
                <w:smallCaps w:val="0"/>
                <w:sz w:val="18"/>
                <w:szCs w:val="18"/>
                <w:lang w:eastAsia="zh-CN"/>
              </w:rPr>
              <w:t>) of the annex to decision 2/CMA.3 in an updated initial report (decision 2/CMA.3, annex, para. 19)</w:t>
            </w:r>
          </w:p>
        </w:tc>
      </w:tr>
      <w:tr w:rsidR="00692709" w:rsidRPr="000E3D54" w14:paraId="57D19ABD" w14:textId="77777777" w:rsidTr="004C2F07">
        <w:trPr>
          <w:trHeight w:val="567"/>
        </w:trPr>
        <w:tc>
          <w:tcPr>
            <w:tcW w:w="9752" w:type="dxa"/>
            <w:gridSpan w:val="3"/>
            <w:tcBorders>
              <w:top w:val="nil"/>
              <w:bottom w:val="single" w:sz="4" w:space="0" w:color="auto"/>
            </w:tcBorders>
            <w:shd w:val="clear" w:color="auto" w:fill="CCCCCC"/>
            <w:vAlign w:val="center"/>
          </w:tcPr>
          <w:p w14:paraId="22F2CDE5" w14:textId="65743611" w:rsidR="00692709" w:rsidRPr="00692709" w:rsidRDefault="00692709" w:rsidP="00692709">
            <w:pPr>
              <w:pStyle w:val="SectionTitle"/>
              <w:rPr>
                <w:rFonts w:ascii="Times New Roman" w:eastAsia="SimSun" w:hAnsi="Times New Roman" w:cs="Times New Roman"/>
                <w:b w:val="0"/>
                <w:bCs w:val="0"/>
                <w:i/>
                <w:iCs/>
                <w:smallCaps w:val="0"/>
                <w:sz w:val="18"/>
                <w:szCs w:val="18"/>
                <w:lang w:eastAsia="zh-CN"/>
              </w:rPr>
            </w:pPr>
            <w:r w:rsidRPr="007F3B5B">
              <w:rPr>
                <w:color w:val="000000"/>
              </w:rPr>
              <w:t>A. Copy of the authorization by the participating Party (para. 18(g))</w:t>
            </w:r>
          </w:p>
        </w:tc>
      </w:tr>
      <w:tr w:rsidR="00ED370C" w:rsidRPr="000E3D54" w14:paraId="1282BF31" w14:textId="77777777" w:rsidTr="005C12BF">
        <w:trPr>
          <w:trHeight w:val="572"/>
        </w:trPr>
        <w:tc>
          <w:tcPr>
            <w:tcW w:w="9752" w:type="dxa"/>
            <w:gridSpan w:val="3"/>
            <w:tcBorders>
              <w:top w:val="single" w:sz="4" w:space="0" w:color="auto"/>
              <w:bottom w:val="single" w:sz="4" w:space="0" w:color="auto"/>
            </w:tcBorders>
            <w:shd w:val="clear" w:color="auto" w:fill="FFFFFF" w:themeFill="background1"/>
          </w:tcPr>
          <w:p w14:paraId="45100453" w14:textId="4EB67F7E" w:rsidR="00ED370C" w:rsidRPr="00ED370C" w:rsidRDefault="00ED370C" w:rsidP="00692709">
            <w:pPr>
              <w:pStyle w:val="SectionTitle"/>
              <w:jc w:val="left"/>
              <w:rPr>
                <w:b w:val="0"/>
                <w:bCs w:val="0"/>
                <w:i/>
                <w:iCs/>
                <w:color w:val="000000"/>
                <w:sz w:val="18"/>
                <w:szCs w:val="18"/>
              </w:rPr>
            </w:pPr>
          </w:p>
        </w:tc>
      </w:tr>
      <w:tr w:rsidR="00692709" w:rsidRPr="000E3D54" w14:paraId="736C3260" w14:textId="77777777" w:rsidTr="004C2F07">
        <w:trPr>
          <w:trHeight w:val="567"/>
        </w:trPr>
        <w:tc>
          <w:tcPr>
            <w:tcW w:w="9752" w:type="dxa"/>
            <w:gridSpan w:val="3"/>
            <w:tcBorders>
              <w:top w:val="single" w:sz="4" w:space="0" w:color="auto"/>
              <w:bottom w:val="single" w:sz="4" w:space="0" w:color="auto"/>
            </w:tcBorders>
            <w:shd w:val="clear" w:color="auto" w:fill="CCCCCC"/>
            <w:vAlign w:val="center"/>
          </w:tcPr>
          <w:p w14:paraId="2497ED02" w14:textId="1E753774" w:rsidR="00692709" w:rsidRPr="00ED370C" w:rsidRDefault="009E75F2" w:rsidP="009E75F2">
            <w:pPr>
              <w:pStyle w:val="SectionTitle"/>
              <w:rPr>
                <w:b w:val="0"/>
                <w:bCs w:val="0"/>
                <w:i/>
                <w:iCs/>
                <w:color w:val="000000"/>
                <w:sz w:val="18"/>
                <w:szCs w:val="18"/>
              </w:rPr>
            </w:pPr>
            <w:r w:rsidRPr="007F3B5B">
              <w:rPr>
                <w:color w:val="000000"/>
              </w:rPr>
              <w:t>B. Description of the cooperative approach (para. 18(g))</w:t>
            </w:r>
          </w:p>
        </w:tc>
      </w:tr>
      <w:tr w:rsidR="00692709" w:rsidRPr="000E3D54" w14:paraId="3079DB0C" w14:textId="77777777" w:rsidTr="004C2F07">
        <w:trPr>
          <w:trHeight w:val="567"/>
        </w:trPr>
        <w:tc>
          <w:tcPr>
            <w:tcW w:w="9752" w:type="dxa"/>
            <w:gridSpan w:val="3"/>
            <w:tcBorders>
              <w:top w:val="single" w:sz="4" w:space="0" w:color="auto"/>
              <w:bottom w:val="single" w:sz="4" w:space="0" w:color="auto"/>
            </w:tcBorders>
            <w:shd w:val="clear" w:color="auto" w:fill="FFFFFF" w:themeFill="background1"/>
            <w:vAlign w:val="center"/>
          </w:tcPr>
          <w:p w14:paraId="4341056C" w14:textId="77777777" w:rsidR="00692709" w:rsidRPr="00ED370C" w:rsidRDefault="00692709" w:rsidP="00692709">
            <w:pPr>
              <w:pStyle w:val="SectionTitle"/>
              <w:jc w:val="left"/>
              <w:rPr>
                <w:b w:val="0"/>
                <w:bCs w:val="0"/>
                <w:i/>
                <w:iCs/>
                <w:color w:val="000000"/>
                <w:sz w:val="18"/>
                <w:szCs w:val="18"/>
              </w:rPr>
            </w:pPr>
          </w:p>
        </w:tc>
      </w:tr>
      <w:tr w:rsidR="00692709" w:rsidRPr="000E3D54" w14:paraId="08412D60" w14:textId="77777777" w:rsidTr="004C2F07">
        <w:trPr>
          <w:trHeight w:val="567"/>
        </w:trPr>
        <w:tc>
          <w:tcPr>
            <w:tcW w:w="9752" w:type="dxa"/>
            <w:gridSpan w:val="3"/>
            <w:tcBorders>
              <w:top w:val="single" w:sz="4" w:space="0" w:color="auto"/>
              <w:bottom w:val="single" w:sz="4" w:space="0" w:color="auto"/>
            </w:tcBorders>
            <w:shd w:val="clear" w:color="auto" w:fill="CCCCCC"/>
            <w:vAlign w:val="center"/>
          </w:tcPr>
          <w:p w14:paraId="4DD53AE4" w14:textId="4BB1317C" w:rsidR="00692709" w:rsidRPr="00ED370C" w:rsidRDefault="009E75F2" w:rsidP="003B4A6A">
            <w:pPr>
              <w:pStyle w:val="SectionTitle"/>
              <w:rPr>
                <w:b w:val="0"/>
                <w:bCs w:val="0"/>
                <w:i/>
                <w:iCs/>
                <w:color w:val="000000"/>
                <w:sz w:val="18"/>
                <w:szCs w:val="18"/>
              </w:rPr>
            </w:pPr>
            <w:r w:rsidRPr="007F3B5B">
              <w:rPr>
                <w:color w:val="000000"/>
              </w:rPr>
              <w:t>C. Duration of the cooperative approach (para. 18(g))</w:t>
            </w:r>
          </w:p>
        </w:tc>
      </w:tr>
      <w:tr w:rsidR="009E75F2" w:rsidRPr="000E3D54" w14:paraId="48B68A87" w14:textId="77777777" w:rsidTr="004C2F07">
        <w:trPr>
          <w:trHeight w:val="567"/>
        </w:trPr>
        <w:tc>
          <w:tcPr>
            <w:tcW w:w="9752" w:type="dxa"/>
            <w:gridSpan w:val="3"/>
            <w:tcBorders>
              <w:top w:val="single" w:sz="4" w:space="0" w:color="auto"/>
              <w:bottom w:val="single" w:sz="4" w:space="0" w:color="auto"/>
            </w:tcBorders>
            <w:shd w:val="clear" w:color="auto" w:fill="FFFFFF" w:themeFill="background1"/>
            <w:vAlign w:val="center"/>
          </w:tcPr>
          <w:p w14:paraId="69B7BC0F" w14:textId="77777777" w:rsidR="009E75F2" w:rsidRPr="007F3B5B" w:rsidRDefault="009E75F2" w:rsidP="00692709">
            <w:pPr>
              <w:pStyle w:val="SectionTitle"/>
              <w:jc w:val="left"/>
              <w:rPr>
                <w:color w:val="000000"/>
              </w:rPr>
            </w:pPr>
          </w:p>
        </w:tc>
      </w:tr>
      <w:tr w:rsidR="00692709" w:rsidRPr="000E3D54" w14:paraId="15055D7D" w14:textId="77777777" w:rsidTr="004C2F07">
        <w:trPr>
          <w:trHeight w:val="567"/>
        </w:trPr>
        <w:tc>
          <w:tcPr>
            <w:tcW w:w="9752" w:type="dxa"/>
            <w:gridSpan w:val="3"/>
            <w:tcBorders>
              <w:top w:val="single" w:sz="4" w:space="0" w:color="auto"/>
              <w:bottom w:val="single" w:sz="4" w:space="0" w:color="auto"/>
            </w:tcBorders>
            <w:shd w:val="clear" w:color="auto" w:fill="CCCCCC"/>
            <w:vAlign w:val="center"/>
          </w:tcPr>
          <w:p w14:paraId="5286B61D" w14:textId="3B18481C" w:rsidR="00692709" w:rsidRPr="00ED370C" w:rsidRDefault="009E75F2" w:rsidP="003B4A6A">
            <w:pPr>
              <w:pStyle w:val="SectionTitle"/>
              <w:rPr>
                <w:b w:val="0"/>
                <w:bCs w:val="0"/>
                <w:i/>
                <w:iCs/>
                <w:color w:val="000000"/>
                <w:sz w:val="18"/>
                <w:szCs w:val="18"/>
              </w:rPr>
            </w:pPr>
            <w:r w:rsidRPr="007F3B5B">
              <w:rPr>
                <w:color w:val="000000"/>
              </w:rPr>
              <w:t>D. Expected mitigation for each year of the duration of the cooperative approach (para. 18(g))</w:t>
            </w:r>
          </w:p>
        </w:tc>
      </w:tr>
      <w:tr w:rsidR="00692709" w:rsidRPr="000E3D54" w14:paraId="7D19EB1D" w14:textId="77777777" w:rsidTr="004C2F07">
        <w:trPr>
          <w:trHeight w:val="567"/>
        </w:trPr>
        <w:tc>
          <w:tcPr>
            <w:tcW w:w="9752" w:type="dxa"/>
            <w:gridSpan w:val="3"/>
            <w:tcBorders>
              <w:top w:val="single" w:sz="4" w:space="0" w:color="auto"/>
              <w:bottom w:val="single" w:sz="4" w:space="0" w:color="auto"/>
            </w:tcBorders>
            <w:shd w:val="clear" w:color="auto" w:fill="FFFFFF" w:themeFill="background1"/>
            <w:vAlign w:val="center"/>
          </w:tcPr>
          <w:p w14:paraId="09E04DEB" w14:textId="77777777" w:rsidR="00692709" w:rsidRPr="00ED370C" w:rsidRDefault="00692709" w:rsidP="00692709">
            <w:pPr>
              <w:pStyle w:val="SectionTitle"/>
              <w:jc w:val="left"/>
              <w:rPr>
                <w:b w:val="0"/>
                <w:bCs w:val="0"/>
                <w:i/>
                <w:iCs/>
                <w:color w:val="000000"/>
                <w:sz w:val="18"/>
                <w:szCs w:val="18"/>
              </w:rPr>
            </w:pPr>
          </w:p>
        </w:tc>
      </w:tr>
      <w:tr w:rsidR="00692709" w:rsidRPr="000E3D54" w14:paraId="30F4C6B9" w14:textId="77777777" w:rsidTr="004C2F07">
        <w:trPr>
          <w:trHeight w:val="567"/>
        </w:trPr>
        <w:tc>
          <w:tcPr>
            <w:tcW w:w="9752" w:type="dxa"/>
            <w:gridSpan w:val="3"/>
            <w:tcBorders>
              <w:top w:val="single" w:sz="4" w:space="0" w:color="auto"/>
              <w:bottom w:val="single" w:sz="4" w:space="0" w:color="auto"/>
            </w:tcBorders>
            <w:shd w:val="clear" w:color="auto" w:fill="CCCCCC"/>
            <w:vAlign w:val="center"/>
          </w:tcPr>
          <w:p w14:paraId="665DA0F5" w14:textId="59F7B6F7" w:rsidR="00692709" w:rsidRPr="00ED370C" w:rsidRDefault="009E75F2" w:rsidP="003B4A6A">
            <w:pPr>
              <w:pStyle w:val="SectionTitle"/>
              <w:rPr>
                <w:b w:val="0"/>
                <w:bCs w:val="0"/>
                <w:i/>
                <w:iCs/>
                <w:color w:val="000000"/>
                <w:sz w:val="18"/>
                <w:szCs w:val="18"/>
              </w:rPr>
            </w:pPr>
            <w:r w:rsidRPr="007F3B5B">
              <w:rPr>
                <w:color w:val="000000"/>
              </w:rPr>
              <w:t>E. Participating Parties involved in the cooperative approach (para. 18(g))</w:t>
            </w:r>
          </w:p>
        </w:tc>
      </w:tr>
      <w:tr w:rsidR="00692709" w:rsidRPr="000E3D54" w14:paraId="5DFBA68A" w14:textId="77777777" w:rsidTr="004C2F07">
        <w:trPr>
          <w:trHeight w:val="567"/>
        </w:trPr>
        <w:tc>
          <w:tcPr>
            <w:tcW w:w="9752" w:type="dxa"/>
            <w:gridSpan w:val="3"/>
            <w:tcBorders>
              <w:top w:val="single" w:sz="4" w:space="0" w:color="auto"/>
              <w:bottom w:val="single" w:sz="4" w:space="0" w:color="auto"/>
            </w:tcBorders>
            <w:shd w:val="clear" w:color="auto" w:fill="FFFFFF" w:themeFill="background1"/>
            <w:vAlign w:val="center"/>
          </w:tcPr>
          <w:p w14:paraId="39787A61" w14:textId="6BC9F871" w:rsidR="00692709" w:rsidRPr="00ED370C" w:rsidRDefault="00692709" w:rsidP="00692709">
            <w:pPr>
              <w:pStyle w:val="SectionTitle"/>
              <w:jc w:val="left"/>
              <w:rPr>
                <w:b w:val="0"/>
                <w:bCs w:val="0"/>
                <w:i/>
                <w:iCs/>
                <w:color w:val="000000"/>
                <w:sz w:val="18"/>
                <w:szCs w:val="18"/>
              </w:rPr>
            </w:pPr>
          </w:p>
        </w:tc>
      </w:tr>
      <w:tr w:rsidR="00692709" w:rsidRPr="000E3D54" w14:paraId="61B53EC9" w14:textId="77777777" w:rsidTr="004C2F07">
        <w:trPr>
          <w:trHeight w:val="567"/>
        </w:trPr>
        <w:tc>
          <w:tcPr>
            <w:tcW w:w="9752" w:type="dxa"/>
            <w:gridSpan w:val="3"/>
            <w:tcBorders>
              <w:top w:val="single" w:sz="4" w:space="0" w:color="auto"/>
              <w:bottom w:val="single" w:sz="4" w:space="0" w:color="auto"/>
            </w:tcBorders>
            <w:shd w:val="clear" w:color="auto" w:fill="CCCCCC"/>
            <w:vAlign w:val="center"/>
          </w:tcPr>
          <w:p w14:paraId="1A30EB08" w14:textId="3E4D054E" w:rsidR="00692709" w:rsidRPr="00ED370C" w:rsidRDefault="009E75F2" w:rsidP="003B4A6A">
            <w:pPr>
              <w:pStyle w:val="SectionTitle"/>
              <w:rPr>
                <w:b w:val="0"/>
                <w:bCs w:val="0"/>
                <w:i/>
                <w:iCs/>
                <w:color w:val="000000"/>
                <w:sz w:val="18"/>
                <w:szCs w:val="18"/>
              </w:rPr>
            </w:pPr>
            <w:r w:rsidRPr="007F3B5B">
              <w:rPr>
                <w:color w:val="000000"/>
              </w:rPr>
              <w:t>F. Authorized entities (para. 18(g))</w:t>
            </w:r>
          </w:p>
        </w:tc>
      </w:tr>
      <w:tr w:rsidR="009E75F2" w:rsidRPr="000E3D54" w14:paraId="4E2E4F5D" w14:textId="77777777" w:rsidTr="004C2F07">
        <w:trPr>
          <w:trHeight w:val="567"/>
        </w:trPr>
        <w:tc>
          <w:tcPr>
            <w:tcW w:w="9752" w:type="dxa"/>
            <w:gridSpan w:val="3"/>
            <w:tcBorders>
              <w:top w:val="single" w:sz="4" w:space="0" w:color="auto"/>
              <w:bottom w:val="single" w:sz="4" w:space="0" w:color="auto"/>
            </w:tcBorders>
            <w:shd w:val="clear" w:color="auto" w:fill="FFFFFF" w:themeFill="background1"/>
            <w:vAlign w:val="center"/>
          </w:tcPr>
          <w:p w14:paraId="1239CB06" w14:textId="77777777" w:rsidR="009E75F2" w:rsidRPr="00ED370C" w:rsidRDefault="009E75F2" w:rsidP="00692709">
            <w:pPr>
              <w:pStyle w:val="SectionTitle"/>
              <w:jc w:val="left"/>
              <w:rPr>
                <w:b w:val="0"/>
                <w:bCs w:val="0"/>
                <w:i/>
                <w:iCs/>
                <w:color w:val="000000"/>
                <w:sz w:val="18"/>
                <w:szCs w:val="18"/>
              </w:rPr>
            </w:pPr>
          </w:p>
        </w:tc>
      </w:tr>
      <w:tr w:rsidR="009E75F2" w:rsidRPr="000E3D54" w14:paraId="02CE7B87" w14:textId="77777777" w:rsidTr="004C2F07">
        <w:trPr>
          <w:trHeight w:val="567"/>
        </w:trPr>
        <w:tc>
          <w:tcPr>
            <w:tcW w:w="9752" w:type="dxa"/>
            <w:gridSpan w:val="3"/>
            <w:tcBorders>
              <w:top w:val="single" w:sz="4" w:space="0" w:color="auto"/>
              <w:bottom w:val="single" w:sz="4" w:space="0" w:color="auto"/>
            </w:tcBorders>
            <w:shd w:val="clear" w:color="auto" w:fill="CCCCCC"/>
            <w:vAlign w:val="center"/>
          </w:tcPr>
          <w:p w14:paraId="798873C6" w14:textId="193F5262" w:rsidR="009E75F2" w:rsidRPr="00212181" w:rsidRDefault="009E75F2" w:rsidP="00A34229">
            <w:pPr>
              <w:pStyle w:val="SectionTitle"/>
              <w:rPr>
                <w:b w:val="0"/>
                <w:bCs w:val="0"/>
                <w:i/>
                <w:iCs/>
                <w:color w:val="000000"/>
                <w:sz w:val="18"/>
                <w:szCs w:val="18"/>
              </w:rPr>
            </w:pPr>
            <w:r w:rsidRPr="00212181">
              <w:rPr>
                <w:i/>
                <w:iCs/>
                <w:color w:val="000000"/>
              </w:rPr>
              <w:t xml:space="preserve">G. Description of any arrangements for authorizing using participating Parties and authorized entities, if applicable </w:t>
            </w:r>
            <w:r w:rsidRPr="00212181">
              <w:rPr>
                <w:i/>
                <w:iCs/>
                <w:color w:val="000000"/>
                <w:lang w:val="en-US"/>
              </w:rPr>
              <w:t xml:space="preserve">(para. 18(g) supplemented by decision 4/CMA.6, annex 1) </w:t>
            </w:r>
            <w:r w:rsidR="00A34229" w:rsidRPr="00212181">
              <w:rPr>
                <w:i/>
                <w:iCs/>
                <w:color w:val="000000"/>
                <w:lang w:val="en-US"/>
              </w:rPr>
              <w:br/>
            </w:r>
            <w:r w:rsidRPr="00212181">
              <w:rPr>
                <w:i/>
                <w:iCs/>
                <w:color w:val="000000"/>
                <w:lang w:val="en-US"/>
              </w:rPr>
              <w:t>- Supplementary element of information to be provided by Parties as relevant</w:t>
            </w:r>
            <w:r w:rsidRPr="00212181">
              <w:rPr>
                <w:rStyle w:val="FootnoteReference"/>
                <w:i/>
                <w:iCs/>
                <w:color w:val="000000"/>
                <w:lang w:val="en-US"/>
              </w:rPr>
              <w:footnoteReference w:id="7"/>
            </w:r>
          </w:p>
        </w:tc>
      </w:tr>
      <w:tr w:rsidR="009E75F2" w:rsidRPr="000E3D54" w14:paraId="0AD7A2DF" w14:textId="77777777" w:rsidTr="004C2F07">
        <w:trPr>
          <w:trHeight w:val="794"/>
        </w:trPr>
        <w:tc>
          <w:tcPr>
            <w:tcW w:w="9752" w:type="dxa"/>
            <w:gridSpan w:val="3"/>
            <w:tcBorders>
              <w:top w:val="single" w:sz="4" w:space="0" w:color="auto"/>
              <w:bottom w:val="single" w:sz="4" w:space="0" w:color="auto"/>
            </w:tcBorders>
            <w:shd w:val="clear" w:color="auto" w:fill="FFFFFF" w:themeFill="background1"/>
            <w:vAlign w:val="center"/>
          </w:tcPr>
          <w:p w14:paraId="441C4032" w14:textId="77777777" w:rsidR="009E75F2" w:rsidRPr="00212181" w:rsidRDefault="009E75F2" w:rsidP="00692709">
            <w:pPr>
              <w:pStyle w:val="SectionTitle"/>
              <w:jc w:val="left"/>
              <w:rPr>
                <w:b w:val="0"/>
                <w:bCs w:val="0"/>
                <w:i/>
                <w:iCs/>
                <w:color w:val="000000"/>
                <w:sz w:val="18"/>
                <w:szCs w:val="18"/>
              </w:rPr>
            </w:pPr>
          </w:p>
        </w:tc>
      </w:tr>
      <w:tr w:rsidR="009E75F2" w:rsidRPr="000E3D54" w14:paraId="67F49CCE" w14:textId="77777777" w:rsidTr="004C2F07">
        <w:trPr>
          <w:trHeight w:val="567"/>
        </w:trPr>
        <w:tc>
          <w:tcPr>
            <w:tcW w:w="9752" w:type="dxa"/>
            <w:gridSpan w:val="3"/>
            <w:tcBorders>
              <w:top w:val="single" w:sz="4" w:space="0" w:color="auto"/>
              <w:bottom w:val="single" w:sz="4" w:space="0" w:color="auto"/>
            </w:tcBorders>
            <w:shd w:val="clear" w:color="auto" w:fill="CCCCCC"/>
            <w:vAlign w:val="center"/>
          </w:tcPr>
          <w:p w14:paraId="0D8FFD49" w14:textId="67296B6F" w:rsidR="009E75F2" w:rsidRPr="00212181" w:rsidRDefault="003B4A6A" w:rsidP="003B4A6A">
            <w:pPr>
              <w:pStyle w:val="SectionTitle"/>
              <w:rPr>
                <w:b w:val="0"/>
                <w:bCs w:val="0"/>
                <w:i/>
                <w:iCs/>
                <w:color w:val="000000"/>
                <w:sz w:val="18"/>
                <w:szCs w:val="18"/>
              </w:rPr>
            </w:pPr>
            <w:r w:rsidRPr="00212181">
              <w:rPr>
                <w:i/>
                <w:iCs/>
                <w:color w:val="000000"/>
              </w:rPr>
              <w:t>H. T</w:t>
            </w:r>
            <w:r w:rsidRPr="00212181">
              <w:rPr>
                <w:i/>
                <w:iCs/>
              </w:rPr>
              <w:t xml:space="preserve">ype of cooperative approach, if applicable </w:t>
            </w:r>
            <w:r w:rsidRPr="00212181">
              <w:rPr>
                <w:i/>
                <w:iCs/>
                <w:color w:val="000000"/>
                <w:lang w:val="en-US"/>
              </w:rPr>
              <w:t>(para. 18(g) supplemented by</w:t>
            </w:r>
            <w:r w:rsidR="005C12BF" w:rsidRPr="00212181">
              <w:rPr>
                <w:i/>
                <w:iCs/>
                <w:color w:val="000000"/>
                <w:lang w:val="en-US"/>
              </w:rPr>
              <w:t xml:space="preserve"> </w:t>
            </w:r>
            <w:r w:rsidRPr="00212181">
              <w:rPr>
                <w:i/>
                <w:iCs/>
                <w:color w:val="000000"/>
                <w:lang w:val="en-US"/>
              </w:rPr>
              <w:t>decision 4/CMA.6, annex 1)</w:t>
            </w:r>
            <w:r w:rsidRPr="00212181">
              <w:rPr>
                <w:i/>
                <w:iCs/>
              </w:rPr>
              <w:t xml:space="preserve"> </w:t>
            </w:r>
            <w:r w:rsidR="00A34229" w:rsidRPr="00212181">
              <w:rPr>
                <w:i/>
                <w:iCs/>
              </w:rPr>
              <w:br/>
            </w:r>
            <w:r w:rsidRPr="00212181">
              <w:rPr>
                <w:i/>
                <w:iCs/>
                <w:color w:val="000000"/>
                <w:lang w:val="en-US"/>
              </w:rPr>
              <w:t>- Supplementary element of information to be provided by Parties as relevant</w:t>
            </w:r>
            <w:r w:rsidRPr="00212181">
              <w:rPr>
                <w:rStyle w:val="FootnoteReference"/>
                <w:i/>
                <w:iCs/>
                <w:color w:val="000000"/>
                <w:lang w:val="en-US"/>
              </w:rPr>
              <w:footnoteReference w:id="8"/>
            </w:r>
          </w:p>
        </w:tc>
      </w:tr>
      <w:tr w:rsidR="003B4A6A" w:rsidRPr="000E3D54" w14:paraId="3E07F89D" w14:textId="77777777" w:rsidTr="004C2F07">
        <w:trPr>
          <w:trHeight w:val="738"/>
        </w:trPr>
        <w:tc>
          <w:tcPr>
            <w:tcW w:w="9752" w:type="dxa"/>
            <w:gridSpan w:val="3"/>
            <w:tcBorders>
              <w:top w:val="single" w:sz="4" w:space="0" w:color="auto"/>
              <w:bottom w:val="single" w:sz="4" w:space="0" w:color="auto"/>
            </w:tcBorders>
            <w:shd w:val="clear" w:color="auto" w:fill="FFFFFF" w:themeFill="background1"/>
            <w:vAlign w:val="center"/>
          </w:tcPr>
          <w:p w14:paraId="31A5BB1C" w14:textId="77777777" w:rsidR="003B4A6A" w:rsidRPr="00212181" w:rsidRDefault="003B4A6A" w:rsidP="006E2961">
            <w:pPr>
              <w:pStyle w:val="SectionTitle"/>
              <w:keepNext w:val="0"/>
              <w:jc w:val="left"/>
              <w:rPr>
                <w:b w:val="0"/>
                <w:bCs w:val="0"/>
                <w:i/>
                <w:iCs/>
                <w:color w:val="000000"/>
                <w:sz w:val="18"/>
                <w:szCs w:val="18"/>
              </w:rPr>
            </w:pPr>
          </w:p>
        </w:tc>
      </w:tr>
      <w:tr w:rsidR="003B4A6A" w:rsidRPr="000E3D54" w14:paraId="0D4079E4" w14:textId="77777777" w:rsidTr="004C2F07">
        <w:trPr>
          <w:trHeight w:val="567"/>
        </w:trPr>
        <w:tc>
          <w:tcPr>
            <w:tcW w:w="9752" w:type="dxa"/>
            <w:gridSpan w:val="3"/>
            <w:tcBorders>
              <w:top w:val="single" w:sz="4" w:space="0" w:color="auto"/>
              <w:bottom w:val="single" w:sz="4" w:space="0" w:color="auto"/>
            </w:tcBorders>
            <w:shd w:val="clear" w:color="auto" w:fill="CCCCCC"/>
            <w:vAlign w:val="center"/>
          </w:tcPr>
          <w:p w14:paraId="736F3B3D" w14:textId="6A23A984" w:rsidR="003B4A6A" w:rsidRPr="00ED370C" w:rsidRDefault="003B4A6A" w:rsidP="003B4A6A">
            <w:pPr>
              <w:pStyle w:val="SectionTitle"/>
              <w:rPr>
                <w:b w:val="0"/>
                <w:bCs w:val="0"/>
                <w:i/>
                <w:iCs/>
                <w:color w:val="000000"/>
                <w:sz w:val="18"/>
                <w:szCs w:val="18"/>
              </w:rPr>
            </w:pPr>
            <w:r>
              <w:rPr>
                <w:color w:val="000000"/>
              </w:rPr>
              <w:lastRenderedPageBreak/>
              <w:t>I</w:t>
            </w:r>
            <w:r w:rsidRPr="007F3B5B">
              <w:rPr>
                <w:color w:val="000000"/>
              </w:rPr>
              <w:t>. Description of how the cooperative approach ensures environmental integrity (para. 18(h), to be updated by para. 22(b))</w:t>
            </w:r>
          </w:p>
        </w:tc>
      </w:tr>
      <w:tr w:rsidR="00503CA1" w:rsidRPr="001C0510" w14:paraId="191DC53F" w14:textId="77777777" w:rsidTr="004C2F07">
        <w:trPr>
          <w:trHeight w:val="53"/>
        </w:trPr>
        <w:tc>
          <w:tcPr>
            <w:tcW w:w="4464" w:type="dxa"/>
            <w:gridSpan w:val="2"/>
            <w:tcBorders>
              <w:top w:val="single" w:sz="4" w:space="0" w:color="auto"/>
              <w:bottom w:val="single" w:sz="4" w:space="0" w:color="auto"/>
              <w:right w:val="dotted" w:sz="4" w:space="0" w:color="auto"/>
            </w:tcBorders>
            <w:shd w:val="clear" w:color="auto" w:fill="E6E6E6"/>
            <w:vAlign w:val="center"/>
          </w:tcPr>
          <w:p w14:paraId="023A2F43" w14:textId="50F992E4" w:rsidR="00503CA1" w:rsidRPr="00DE5C5A" w:rsidRDefault="00A34229" w:rsidP="00A34229">
            <w:pPr>
              <w:pStyle w:val="RegLeftInstructionCell"/>
              <w:keepLines/>
              <w:rPr>
                <w:b w:val="0"/>
                <w:bCs/>
                <w:sz w:val="18"/>
              </w:rPr>
            </w:pPr>
            <w:r w:rsidRPr="00DE5C5A">
              <w:rPr>
                <w:b w:val="0"/>
                <w:bCs/>
                <w:color w:val="000000"/>
                <w:sz w:val="18"/>
              </w:rPr>
              <w:t>1. Description of how the cooperative approach ensures that there is no net increase in global emissions within and between NDC implementation periods (para. 18(h)(</w:t>
            </w:r>
            <w:proofErr w:type="spellStart"/>
            <w:r w:rsidRPr="00DE5C5A">
              <w:rPr>
                <w:b w:val="0"/>
                <w:bCs/>
                <w:color w:val="000000"/>
                <w:sz w:val="18"/>
              </w:rPr>
              <w:t>i</w:t>
            </w:r>
            <w:proofErr w:type="spellEnd"/>
            <w:r w:rsidRPr="00DE5C5A">
              <w:rPr>
                <w:b w:val="0"/>
                <w:bCs/>
                <w:color w:val="000000"/>
                <w:sz w:val="18"/>
              </w:rPr>
              <w:t>), to be updated by para. 22(b)(</w:t>
            </w:r>
            <w:proofErr w:type="spellStart"/>
            <w:r w:rsidRPr="00DE5C5A">
              <w:rPr>
                <w:b w:val="0"/>
                <w:bCs/>
                <w:color w:val="000000"/>
                <w:sz w:val="18"/>
              </w:rPr>
              <w:t>i</w:t>
            </w:r>
            <w:proofErr w:type="spellEnd"/>
            <w:r w:rsidRPr="00DE5C5A">
              <w:rPr>
                <w:b w:val="0"/>
                <w:bCs/>
                <w:color w:val="000000"/>
                <w:sz w:val="18"/>
              </w:rPr>
              <w:t>))</w:t>
            </w:r>
          </w:p>
        </w:tc>
        <w:tc>
          <w:tcPr>
            <w:tcW w:w="5288" w:type="dxa"/>
            <w:tcBorders>
              <w:top w:val="single" w:sz="4" w:space="0" w:color="auto"/>
              <w:left w:val="dotted" w:sz="4" w:space="0" w:color="auto"/>
              <w:bottom w:val="single" w:sz="4" w:space="0" w:color="auto"/>
            </w:tcBorders>
            <w:shd w:val="clear" w:color="auto" w:fill="auto"/>
            <w:vAlign w:val="center"/>
          </w:tcPr>
          <w:p w14:paraId="0D33D923" w14:textId="09315C92" w:rsidR="00503CA1" w:rsidRPr="00A34229" w:rsidRDefault="00503CA1" w:rsidP="00503CA1">
            <w:pPr>
              <w:pStyle w:val="RegTypePara"/>
              <w:spacing w:before="0" w:after="120"/>
              <w:rPr>
                <w:bCs/>
              </w:rPr>
            </w:pPr>
          </w:p>
        </w:tc>
      </w:tr>
      <w:tr w:rsidR="00503CA1" w:rsidRPr="001C0510" w14:paraId="6BABCD77" w14:textId="77777777" w:rsidTr="004C2F07">
        <w:trPr>
          <w:trHeight w:val="53"/>
        </w:trPr>
        <w:tc>
          <w:tcPr>
            <w:tcW w:w="4464" w:type="dxa"/>
            <w:gridSpan w:val="2"/>
            <w:tcBorders>
              <w:top w:val="single" w:sz="4" w:space="0" w:color="auto"/>
              <w:bottom w:val="single" w:sz="4" w:space="0" w:color="auto"/>
              <w:right w:val="dotted" w:sz="4" w:space="0" w:color="auto"/>
            </w:tcBorders>
            <w:shd w:val="clear" w:color="auto" w:fill="E6E6E6"/>
            <w:vAlign w:val="center"/>
          </w:tcPr>
          <w:p w14:paraId="2624CED5" w14:textId="0D8CE969" w:rsidR="00503CA1" w:rsidRPr="00212181" w:rsidRDefault="00A34229" w:rsidP="007D272F">
            <w:pPr>
              <w:pStyle w:val="RegLeftInstructionCell"/>
              <w:keepLines/>
              <w:rPr>
                <w:b w:val="0"/>
                <w:bCs/>
                <w:sz w:val="18"/>
              </w:rPr>
            </w:pPr>
            <w:r w:rsidRPr="00212181">
              <w:rPr>
                <w:b w:val="0"/>
                <w:bCs/>
                <w:i/>
                <w:iCs/>
                <w:color w:val="000000"/>
                <w:sz w:val="18"/>
              </w:rPr>
              <w:t xml:space="preserve">2. Description of how the cooperative approach avoids locking in emission levels, technologies or practices that are inconsistent with achieving the long-term goals of the Paris Agreement </w:t>
            </w:r>
            <w:r w:rsidRPr="00212181">
              <w:rPr>
                <w:b w:val="0"/>
                <w:bCs/>
                <w:i/>
                <w:iCs/>
                <w:color w:val="000000"/>
                <w:sz w:val="18"/>
                <w:lang w:val="en-US"/>
              </w:rPr>
              <w:t>(para. 18(h)(</w:t>
            </w:r>
            <w:proofErr w:type="spellStart"/>
            <w:r w:rsidRPr="00212181">
              <w:rPr>
                <w:b w:val="0"/>
                <w:bCs/>
                <w:i/>
                <w:iCs/>
                <w:color w:val="000000"/>
                <w:sz w:val="18"/>
                <w:lang w:val="en-US"/>
              </w:rPr>
              <w:t>i</w:t>
            </w:r>
            <w:proofErr w:type="spellEnd"/>
            <w:r w:rsidRPr="00212181">
              <w:rPr>
                <w:b w:val="0"/>
                <w:bCs/>
                <w:i/>
                <w:iCs/>
                <w:color w:val="000000"/>
                <w:sz w:val="18"/>
                <w:lang w:val="en-US"/>
              </w:rPr>
              <w:t>) supplemented by decision 4/CMA.6, annex 1) - Supplementary element of information to be provided by Parties as relevant</w:t>
            </w:r>
            <w:r w:rsidRPr="00212181">
              <w:rPr>
                <w:rStyle w:val="FootnoteReference"/>
                <w:b w:val="0"/>
                <w:bCs/>
                <w:i/>
                <w:iCs/>
                <w:color w:val="000000"/>
                <w:sz w:val="18"/>
                <w:lang w:val="en-US"/>
              </w:rPr>
              <w:footnoteReference w:id="9"/>
            </w:r>
          </w:p>
        </w:tc>
        <w:tc>
          <w:tcPr>
            <w:tcW w:w="5288" w:type="dxa"/>
            <w:tcBorders>
              <w:top w:val="single" w:sz="4" w:space="0" w:color="auto"/>
              <w:left w:val="dotted" w:sz="4" w:space="0" w:color="auto"/>
              <w:bottom w:val="single" w:sz="4" w:space="0" w:color="auto"/>
            </w:tcBorders>
            <w:shd w:val="clear" w:color="auto" w:fill="auto"/>
            <w:vAlign w:val="center"/>
          </w:tcPr>
          <w:p w14:paraId="6D1F7A82" w14:textId="55EDD58E" w:rsidR="00503CA1" w:rsidRPr="00100D83" w:rsidRDefault="00503CA1" w:rsidP="00503CA1">
            <w:pPr>
              <w:pStyle w:val="RegTypePara"/>
              <w:spacing w:before="0" w:after="120"/>
              <w:rPr>
                <w:rStyle w:val="RegTypeParaChar"/>
              </w:rPr>
            </w:pPr>
          </w:p>
        </w:tc>
      </w:tr>
      <w:tr w:rsidR="00F74EF3" w:rsidRPr="001C0510" w14:paraId="30FA156A" w14:textId="77777777" w:rsidTr="004C2F07">
        <w:trPr>
          <w:trHeight w:val="53"/>
        </w:trPr>
        <w:tc>
          <w:tcPr>
            <w:tcW w:w="4464" w:type="dxa"/>
            <w:gridSpan w:val="2"/>
            <w:tcBorders>
              <w:top w:val="single" w:sz="4" w:space="0" w:color="auto"/>
              <w:bottom w:val="single" w:sz="4" w:space="0" w:color="auto"/>
              <w:right w:val="dotted" w:sz="4" w:space="0" w:color="auto"/>
            </w:tcBorders>
            <w:shd w:val="clear" w:color="auto" w:fill="E6E6E6"/>
            <w:vAlign w:val="center"/>
          </w:tcPr>
          <w:p w14:paraId="4BBD7F0A" w14:textId="28D0DF3E" w:rsidR="00F74EF3" w:rsidRPr="00212181" w:rsidRDefault="00D3297F" w:rsidP="007D272F">
            <w:pPr>
              <w:pStyle w:val="RegLeftInstructionCell"/>
              <w:keepLines/>
              <w:rPr>
                <w:b w:val="0"/>
                <w:bCs/>
                <w:i/>
                <w:iCs/>
                <w:color w:val="000000"/>
                <w:sz w:val="18"/>
              </w:rPr>
            </w:pPr>
            <w:r w:rsidRPr="00212181">
              <w:rPr>
                <w:b w:val="0"/>
                <w:bCs/>
                <w:i/>
                <w:iCs/>
                <w:sz w:val="18"/>
              </w:rPr>
              <w:t xml:space="preserve">3. Description of how the mitigation outcomes from the cooperative approach are shared </w:t>
            </w:r>
            <w:r w:rsidRPr="00212181">
              <w:rPr>
                <w:b w:val="0"/>
                <w:bCs/>
                <w:i/>
                <w:iCs/>
                <w:color w:val="000000"/>
                <w:sz w:val="18"/>
              </w:rPr>
              <w:t>between</w:t>
            </w:r>
            <w:r w:rsidRPr="00212181">
              <w:rPr>
                <w:b w:val="0"/>
                <w:bCs/>
                <w:i/>
                <w:iCs/>
                <w:sz w:val="18"/>
              </w:rPr>
              <w:t xml:space="preserve"> the participating Parties (para. 18(h)(</w:t>
            </w:r>
            <w:proofErr w:type="spellStart"/>
            <w:r w:rsidRPr="00212181">
              <w:rPr>
                <w:b w:val="0"/>
                <w:bCs/>
                <w:i/>
                <w:iCs/>
                <w:sz w:val="18"/>
              </w:rPr>
              <w:t>i</w:t>
            </w:r>
            <w:proofErr w:type="spellEnd"/>
            <w:r w:rsidRPr="00212181">
              <w:rPr>
                <w:b w:val="0"/>
                <w:bCs/>
                <w:i/>
                <w:iCs/>
                <w:sz w:val="18"/>
              </w:rPr>
              <w:t>) supplemented by decision 4/CMA.6, annex 1) - Supplementary element of information to be provided by Parties as relevant</w:t>
            </w:r>
          </w:p>
        </w:tc>
        <w:tc>
          <w:tcPr>
            <w:tcW w:w="5288" w:type="dxa"/>
            <w:tcBorders>
              <w:top w:val="single" w:sz="4" w:space="0" w:color="auto"/>
              <w:left w:val="dotted" w:sz="4" w:space="0" w:color="auto"/>
              <w:bottom w:val="single" w:sz="4" w:space="0" w:color="auto"/>
            </w:tcBorders>
            <w:shd w:val="clear" w:color="auto" w:fill="auto"/>
            <w:vAlign w:val="center"/>
          </w:tcPr>
          <w:p w14:paraId="3FBF8264" w14:textId="77777777" w:rsidR="00F74EF3" w:rsidRPr="00100D83" w:rsidRDefault="00F74EF3" w:rsidP="00503CA1">
            <w:pPr>
              <w:pStyle w:val="RegTypePara"/>
              <w:spacing w:before="0" w:after="120"/>
              <w:rPr>
                <w:rStyle w:val="RegTypeParaChar"/>
              </w:rPr>
            </w:pPr>
          </w:p>
        </w:tc>
      </w:tr>
      <w:tr w:rsidR="00D3297F" w:rsidRPr="001C0510" w14:paraId="04F22AEF" w14:textId="77777777" w:rsidTr="004C2F07">
        <w:trPr>
          <w:trHeight w:val="53"/>
        </w:trPr>
        <w:tc>
          <w:tcPr>
            <w:tcW w:w="4464" w:type="dxa"/>
            <w:gridSpan w:val="2"/>
            <w:tcBorders>
              <w:top w:val="single" w:sz="4" w:space="0" w:color="auto"/>
              <w:bottom w:val="single" w:sz="4" w:space="0" w:color="auto"/>
              <w:right w:val="dotted" w:sz="4" w:space="0" w:color="auto"/>
            </w:tcBorders>
            <w:shd w:val="clear" w:color="auto" w:fill="E6E6E6"/>
            <w:vAlign w:val="center"/>
          </w:tcPr>
          <w:p w14:paraId="2067CC12" w14:textId="32F82D86" w:rsidR="00D3297F" w:rsidRPr="00212181" w:rsidRDefault="00D3297F" w:rsidP="007D272F">
            <w:pPr>
              <w:pStyle w:val="RegLeftInstructionCell"/>
              <w:keepLines/>
              <w:rPr>
                <w:b w:val="0"/>
                <w:bCs/>
                <w:i/>
                <w:iCs/>
                <w:color w:val="000000"/>
                <w:sz w:val="18"/>
              </w:rPr>
            </w:pPr>
            <w:r w:rsidRPr="00212181">
              <w:rPr>
                <w:b w:val="0"/>
                <w:bCs/>
                <w:i/>
                <w:iCs/>
                <w:sz w:val="18"/>
              </w:rPr>
              <w:t xml:space="preserve">4. Description of how it is ensured that decision-making processes in an underlying policy or regulatory framework, and relevant activities, are transparent and inclusive, and whether they include opportunities for public participation and scrutiny, including the standards and procedures for conducting stakeholder consultation, including with civil society organizations, Indigenous </w:t>
            </w:r>
            <w:proofErr w:type="gramStart"/>
            <w:r w:rsidRPr="00212181">
              <w:rPr>
                <w:b w:val="0"/>
                <w:bCs/>
                <w:i/>
                <w:iCs/>
                <w:sz w:val="18"/>
              </w:rPr>
              <w:t>Peoples</w:t>
            </w:r>
            <w:proofErr w:type="gramEnd"/>
            <w:r w:rsidRPr="00212181">
              <w:rPr>
                <w:b w:val="0"/>
                <w:bCs/>
                <w:i/>
                <w:iCs/>
                <w:sz w:val="18"/>
              </w:rPr>
              <w:t xml:space="preserve"> and local communities (para. 18(h)(</w:t>
            </w:r>
            <w:proofErr w:type="spellStart"/>
            <w:r w:rsidRPr="00212181">
              <w:rPr>
                <w:b w:val="0"/>
                <w:bCs/>
                <w:i/>
                <w:iCs/>
                <w:sz w:val="18"/>
              </w:rPr>
              <w:t>i</w:t>
            </w:r>
            <w:proofErr w:type="spellEnd"/>
            <w:r w:rsidRPr="00212181">
              <w:rPr>
                <w:b w:val="0"/>
                <w:bCs/>
                <w:i/>
                <w:iCs/>
                <w:sz w:val="18"/>
              </w:rPr>
              <w:t>) supplemented by decision 4/CMA.6, annex 1) - Supplementary element of information to be provided by Parties as relevant</w:t>
            </w:r>
          </w:p>
        </w:tc>
        <w:tc>
          <w:tcPr>
            <w:tcW w:w="5288" w:type="dxa"/>
            <w:tcBorders>
              <w:top w:val="single" w:sz="4" w:space="0" w:color="auto"/>
              <w:left w:val="dotted" w:sz="4" w:space="0" w:color="auto"/>
              <w:bottom w:val="single" w:sz="4" w:space="0" w:color="auto"/>
            </w:tcBorders>
            <w:shd w:val="clear" w:color="auto" w:fill="auto"/>
            <w:vAlign w:val="center"/>
          </w:tcPr>
          <w:p w14:paraId="490CA3BB" w14:textId="77777777" w:rsidR="00D3297F" w:rsidRPr="00100D83" w:rsidRDefault="00D3297F" w:rsidP="00503CA1">
            <w:pPr>
              <w:pStyle w:val="RegTypePara"/>
              <w:spacing w:before="0" w:after="120"/>
              <w:rPr>
                <w:rStyle w:val="RegTypeParaChar"/>
              </w:rPr>
            </w:pPr>
          </w:p>
        </w:tc>
      </w:tr>
      <w:tr w:rsidR="00D3297F" w:rsidRPr="001C0510" w14:paraId="0E3CC025" w14:textId="77777777" w:rsidTr="004C2F07">
        <w:trPr>
          <w:trHeight w:val="53"/>
        </w:trPr>
        <w:tc>
          <w:tcPr>
            <w:tcW w:w="4464" w:type="dxa"/>
            <w:gridSpan w:val="2"/>
            <w:tcBorders>
              <w:top w:val="single" w:sz="4" w:space="0" w:color="auto"/>
              <w:bottom w:val="single" w:sz="4" w:space="0" w:color="auto"/>
              <w:right w:val="dotted" w:sz="4" w:space="0" w:color="auto"/>
            </w:tcBorders>
            <w:shd w:val="clear" w:color="auto" w:fill="E6E6E6"/>
            <w:vAlign w:val="center"/>
          </w:tcPr>
          <w:p w14:paraId="1514A404" w14:textId="28AD747E" w:rsidR="00D3297F" w:rsidRPr="00212181" w:rsidRDefault="00DE5C5A" w:rsidP="007D272F">
            <w:pPr>
              <w:pStyle w:val="RegLeftInstructionCell"/>
              <w:keepLines/>
              <w:rPr>
                <w:b w:val="0"/>
                <w:bCs/>
                <w:i/>
                <w:iCs/>
                <w:color w:val="000000"/>
                <w:sz w:val="18"/>
              </w:rPr>
            </w:pPr>
            <w:r w:rsidRPr="00212181">
              <w:rPr>
                <w:b w:val="0"/>
                <w:bCs/>
                <w:i/>
                <w:iCs/>
                <w:sz w:val="18"/>
              </w:rPr>
              <w:t>5. Description of how participation in the cooperative approach and the combination of all cooperative approaches in which the Party participates contributes to the implementation of the Party’s nationally determined contribution and long-term low-emission development strategy, if it has submitted one, and the long-term goals of the Paris Agreement (para. 18(h)(</w:t>
            </w:r>
            <w:proofErr w:type="spellStart"/>
            <w:r w:rsidRPr="00212181">
              <w:rPr>
                <w:b w:val="0"/>
                <w:bCs/>
                <w:i/>
                <w:iCs/>
                <w:sz w:val="18"/>
              </w:rPr>
              <w:t>i</w:t>
            </w:r>
            <w:proofErr w:type="spellEnd"/>
            <w:r w:rsidRPr="00212181">
              <w:rPr>
                <w:b w:val="0"/>
                <w:bCs/>
                <w:i/>
                <w:iCs/>
                <w:sz w:val="18"/>
              </w:rPr>
              <w:t>) supplemented by decision 4/CMA.6, annex 1) - Supplementary element of information to be provided by Parties as relevant</w:t>
            </w:r>
          </w:p>
        </w:tc>
        <w:tc>
          <w:tcPr>
            <w:tcW w:w="5288" w:type="dxa"/>
            <w:tcBorders>
              <w:top w:val="single" w:sz="4" w:space="0" w:color="auto"/>
              <w:left w:val="dotted" w:sz="4" w:space="0" w:color="auto"/>
              <w:bottom w:val="single" w:sz="4" w:space="0" w:color="auto"/>
            </w:tcBorders>
            <w:shd w:val="clear" w:color="auto" w:fill="auto"/>
            <w:vAlign w:val="center"/>
          </w:tcPr>
          <w:p w14:paraId="53E4DE9B" w14:textId="77777777" w:rsidR="00D3297F" w:rsidRPr="00100D83" w:rsidRDefault="00D3297F" w:rsidP="00503CA1">
            <w:pPr>
              <w:pStyle w:val="RegTypePara"/>
              <w:spacing w:before="0" w:after="120"/>
              <w:rPr>
                <w:rStyle w:val="RegTypeParaChar"/>
              </w:rPr>
            </w:pPr>
          </w:p>
        </w:tc>
      </w:tr>
      <w:tr w:rsidR="0051673B" w:rsidRPr="001C0510" w14:paraId="359A50B7" w14:textId="77777777" w:rsidTr="004C2F07">
        <w:trPr>
          <w:trHeight w:val="53"/>
        </w:trPr>
        <w:tc>
          <w:tcPr>
            <w:tcW w:w="4464" w:type="dxa"/>
            <w:gridSpan w:val="2"/>
            <w:tcBorders>
              <w:top w:val="single" w:sz="4" w:space="0" w:color="auto"/>
              <w:bottom w:val="single" w:sz="4" w:space="0" w:color="auto"/>
              <w:right w:val="dotted" w:sz="4" w:space="0" w:color="auto"/>
            </w:tcBorders>
            <w:shd w:val="clear" w:color="auto" w:fill="E6E6E6"/>
            <w:vAlign w:val="center"/>
          </w:tcPr>
          <w:p w14:paraId="4A4BAA25" w14:textId="0C931DEC" w:rsidR="0051673B" w:rsidRPr="0051673B" w:rsidRDefault="0051673B" w:rsidP="007D272F">
            <w:pPr>
              <w:pStyle w:val="RegLeftInstructionCell"/>
              <w:keepLines/>
              <w:rPr>
                <w:b w:val="0"/>
                <w:bCs/>
                <w:i/>
                <w:iCs/>
                <w:color w:val="000000"/>
                <w:sz w:val="18"/>
                <w:highlight w:val="yellow"/>
              </w:rPr>
            </w:pPr>
            <w:r w:rsidRPr="0051673B">
              <w:rPr>
                <w:b w:val="0"/>
                <w:bCs/>
                <w:color w:val="000000"/>
                <w:sz w:val="18"/>
              </w:rPr>
              <w:t xml:space="preserve">6. Description of how the cooperative approach ensures environmental integrity through robust, transparent governance and the quality of mitigation outcomes, including through conservative reference levels and baselines set in a conservative way and below ‘business as usual’ emission projections (including by </w:t>
            </w:r>
            <w:proofErr w:type="gramStart"/>
            <w:r w:rsidRPr="0051673B">
              <w:rPr>
                <w:b w:val="0"/>
                <w:bCs/>
                <w:color w:val="000000"/>
                <w:sz w:val="18"/>
              </w:rPr>
              <w:t>taking into account</w:t>
            </w:r>
            <w:proofErr w:type="gramEnd"/>
            <w:r w:rsidRPr="0051673B">
              <w:rPr>
                <w:b w:val="0"/>
                <w:bCs/>
                <w:color w:val="000000"/>
                <w:sz w:val="18"/>
              </w:rPr>
              <w:t xml:space="preserve"> all existing policies and addressing uncertainties in quantification and potential leakage) (para. 18 (h)(ii), to be updated by para. 22(b)(ii))</w:t>
            </w:r>
          </w:p>
        </w:tc>
        <w:tc>
          <w:tcPr>
            <w:tcW w:w="5288" w:type="dxa"/>
            <w:tcBorders>
              <w:top w:val="single" w:sz="4" w:space="0" w:color="auto"/>
              <w:left w:val="dotted" w:sz="4" w:space="0" w:color="auto"/>
              <w:bottom w:val="single" w:sz="4" w:space="0" w:color="auto"/>
            </w:tcBorders>
            <w:shd w:val="clear" w:color="auto" w:fill="auto"/>
            <w:vAlign w:val="center"/>
          </w:tcPr>
          <w:p w14:paraId="53CB3418" w14:textId="77777777" w:rsidR="0051673B" w:rsidRPr="00100D83" w:rsidRDefault="0051673B" w:rsidP="00503CA1">
            <w:pPr>
              <w:pStyle w:val="RegTypePara"/>
              <w:spacing w:before="0" w:after="120"/>
              <w:rPr>
                <w:rStyle w:val="RegTypeParaChar"/>
              </w:rPr>
            </w:pPr>
          </w:p>
        </w:tc>
      </w:tr>
      <w:tr w:rsidR="00E7251C" w:rsidRPr="001C0510" w14:paraId="603A6EFF" w14:textId="77777777" w:rsidTr="004C2F07">
        <w:trPr>
          <w:trHeight w:val="53"/>
        </w:trPr>
        <w:tc>
          <w:tcPr>
            <w:tcW w:w="4464" w:type="dxa"/>
            <w:gridSpan w:val="2"/>
            <w:tcBorders>
              <w:top w:val="single" w:sz="4" w:space="0" w:color="auto"/>
              <w:bottom w:val="single" w:sz="4" w:space="0" w:color="auto"/>
              <w:right w:val="dotted" w:sz="4" w:space="0" w:color="auto"/>
            </w:tcBorders>
            <w:shd w:val="clear" w:color="auto" w:fill="E6E6E6"/>
            <w:vAlign w:val="center"/>
          </w:tcPr>
          <w:p w14:paraId="2779EF0A" w14:textId="5DE2D393" w:rsidR="00E7251C" w:rsidRPr="00212181" w:rsidRDefault="0051673B" w:rsidP="007D272F">
            <w:pPr>
              <w:pStyle w:val="RegLeftInstructionCell"/>
              <w:keepLines/>
              <w:rPr>
                <w:b w:val="0"/>
                <w:bCs/>
                <w:color w:val="000000"/>
                <w:sz w:val="18"/>
              </w:rPr>
            </w:pPr>
            <w:r w:rsidRPr="00212181">
              <w:rPr>
                <w:b w:val="0"/>
                <w:bCs/>
                <w:i/>
                <w:iCs/>
                <w:color w:val="000000"/>
                <w:sz w:val="18"/>
              </w:rPr>
              <w:lastRenderedPageBreak/>
              <w:t xml:space="preserve">7. Description of how any baseline or reference levels have been established, including how the participating Party has </w:t>
            </w:r>
            <w:proofErr w:type="gramStart"/>
            <w:r w:rsidRPr="00212181">
              <w:rPr>
                <w:b w:val="0"/>
                <w:bCs/>
                <w:i/>
                <w:iCs/>
                <w:color w:val="000000"/>
                <w:sz w:val="18"/>
              </w:rPr>
              <w:t>taken into account</w:t>
            </w:r>
            <w:proofErr w:type="gramEnd"/>
            <w:r w:rsidRPr="00212181">
              <w:rPr>
                <w:b w:val="0"/>
                <w:bCs/>
                <w:i/>
                <w:iCs/>
                <w:color w:val="000000"/>
                <w:sz w:val="18"/>
              </w:rPr>
              <w:t xml:space="preserve"> its nationally determined contribution and long-term low-emission development strategy, if it has submitted one, as well as any </w:t>
            </w:r>
            <w:r w:rsidRPr="00212181">
              <w:rPr>
                <w:b w:val="0"/>
                <w:bCs/>
                <w:i/>
                <w:iCs/>
                <w:sz w:val="18"/>
              </w:rPr>
              <w:t>relevant</w:t>
            </w:r>
            <w:r w:rsidRPr="00212181">
              <w:rPr>
                <w:b w:val="0"/>
                <w:bCs/>
                <w:i/>
                <w:iCs/>
                <w:color w:val="000000"/>
                <w:sz w:val="18"/>
              </w:rPr>
              <w:t xml:space="preserve"> climate policies, laws, regulations or targets </w:t>
            </w:r>
            <w:r w:rsidRPr="00212181">
              <w:rPr>
                <w:b w:val="0"/>
                <w:bCs/>
                <w:i/>
                <w:iCs/>
                <w:color w:val="000000"/>
                <w:sz w:val="18"/>
                <w:lang w:val="en-US"/>
              </w:rPr>
              <w:t>(para. 18(h)(ii) supplemented by decision 4/CMA.6, annex 1)</w:t>
            </w:r>
            <w:r w:rsidRPr="00212181">
              <w:rPr>
                <w:b w:val="0"/>
                <w:bCs/>
                <w:i/>
                <w:iCs/>
                <w:sz w:val="18"/>
              </w:rPr>
              <w:t xml:space="preserve"> </w:t>
            </w:r>
            <w:r w:rsidRPr="00212181">
              <w:rPr>
                <w:b w:val="0"/>
                <w:bCs/>
                <w:i/>
                <w:iCs/>
                <w:color w:val="000000"/>
                <w:sz w:val="18"/>
                <w:lang w:val="en-US"/>
              </w:rPr>
              <w:t>- Supplementary element of information to be provided by Parties as relevant</w:t>
            </w:r>
          </w:p>
        </w:tc>
        <w:tc>
          <w:tcPr>
            <w:tcW w:w="5288" w:type="dxa"/>
            <w:tcBorders>
              <w:top w:val="single" w:sz="4" w:space="0" w:color="auto"/>
              <w:left w:val="dotted" w:sz="4" w:space="0" w:color="auto"/>
              <w:bottom w:val="single" w:sz="4" w:space="0" w:color="auto"/>
            </w:tcBorders>
            <w:shd w:val="clear" w:color="auto" w:fill="auto"/>
            <w:vAlign w:val="center"/>
          </w:tcPr>
          <w:p w14:paraId="0BD407C3" w14:textId="77777777" w:rsidR="00E7251C" w:rsidRPr="00100D83" w:rsidRDefault="00E7251C" w:rsidP="00503CA1">
            <w:pPr>
              <w:pStyle w:val="RegTypePara"/>
              <w:spacing w:before="0" w:after="120"/>
              <w:rPr>
                <w:rStyle w:val="RegTypeParaChar"/>
              </w:rPr>
            </w:pPr>
          </w:p>
        </w:tc>
      </w:tr>
      <w:tr w:rsidR="0051673B" w:rsidRPr="001C0510" w14:paraId="581F2294" w14:textId="77777777" w:rsidTr="004C2F07">
        <w:trPr>
          <w:trHeight w:val="53"/>
        </w:trPr>
        <w:tc>
          <w:tcPr>
            <w:tcW w:w="4464" w:type="dxa"/>
            <w:gridSpan w:val="2"/>
            <w:tcBorders>
              <w:top w:val="single" w:sz="4" w:space="0" w:color="auto"/>
              <w:bottom w:val="single" w:sz="4" w:space="0" w:color="auto"/>
              <w:right w:val="dotted" w:sz="4" w:space="0" w:color="auto"/>
            </w:tcBorders>
            <w:shd w:val="clear" w:color="auto" w:fill="E6E6E6"/>
            <w:vAlign w:val="center"/>
          </w:tcPr>
          <w:p w14:paraId="006D34A8" w14:textId="44104CC1" w:rsidR="0051673B" w:rsidRPr="00212181" w:rsidRDefault="0051673B" w:rsidP="007D272F">
            <w:pPr>
              <w:pStyle w:val="RegLeftInstructionCell"/>
              <w:keepLines/>
              <w:rPr>
                <w:b w:val="0"/>
                <w:bCs/>
                <w:color w:val="000000"/>
                <w:sz w:val="18"/>
              </w:rPr>
            </w:pPr>
            <w:r w:rsidRPr="00212181">
              <w:rPr>
                <w:b w:val="0"/>
                <w:bCs/>
                <w:i/>
                <w:iCs/>
                <w:sz w:val="18"/>
              </w:rPr>
              <w:t>8. Description of how baseline and reference levels are established ensure they are conservative and below ‘business as usual’ emission projections, and information on what assumptions have been made (para. 18(h)(ii) supplemented by decision 4/CMA.6, annex 1) - Supplementary element of information to be provided by Parties as relevant</w:t>
            </w:r>
          </w:p>
        </w:tc>
        <w:tc>
          <w:tcPr>
            <w:tcW w:w="5288" w:type="dxa"/>
            <w:tcBorders>
              <w:top w:val="single" w:sz="4" w:space="0" w:color="auto"/>
              <w:left w:val="dotted" w:sz="4" w:space="0" w:color="auto"/>
              <w:bottom w:val="single" w:sz="4" w:space="0" w:color="auto"/>
            </w:tcBorders>
            <w:shd w:val="clear" w:color="auto" w:fill="auto"/>
            <w:vAlign w:val="center"/>
          </w:tcPr>
          <w:p w14:paraId="7889C388" w14:textId="77777777" w:rsidR="0051673B" w:rsidRPr="00100D83" w:rsidRDefault="0051673B" w:rsidP="00503CA1">
            <w:pPr>
              <w:pStyle w:val="RegTypePara"/>
              <w:spacing w:before="0" w:after="120"/>
              <w:rPr>
                <w:rStyle w:val="RegTypeParaChar"/>
              </w:rPr>
            </w:pPr>
          </w:p>
        </w:tc>
      </w:tr>
      <w:tr w:rsidR="0051673B" w:rsidRPr="001C0510" w14:paraId="53CF7D20" w14:textId="77777777" w:rsidTr="004C2F07">
        <w:trPr>
          <w:trHeight w:val="53"/>
        </w:trPr>
        <w:tc>
          <w:tcPr>
            <w:tcW w:w="4464" w:type="dxa"/>
            <w:gridSpan w:val="2"/>
            <w:tcBorders>
              <w:top w:val="single" w:sz="4" w:space="0" w:color="auto"/>
              <w:bottom w:val="single" w:sz="4" w:space="0" w:color="auto"/>
              <w:right w:val="dotted" w:sz="4" w:space="0" w:color="auto"/>
            </w:tcBorders>
            <w:shd w:val="clear" w:color="auto" w:fill="E6E6E6"/>
            <w:vAlign w:val="center"/>
          </w:tcPr>
          <w:p w14:paraId="66953816" w14:textId="710D83BB" w:rsidR="0051673B" w:rsidRPr="00212181" w:rsidRDefault="0051673B" w:rsidP="007D272F">
            <w:pPr>
              <w:pStyle w:val="RegLeftInstructionCell"/>
              <w:keepLines/>
              <w:rPr>
                <w:b w:val="0"/>
                <w:bCs/>
                <w:color w:val="000000"/>
                <w:sz w:val="18"/>
              </w:rPr>
            </w:pPr>
            <w:r w:rsidRPr="00212181">
              <w:rPr>
                <w:b w:val="0"/>
                <w:bCs/>
                <w:i/>
                <w:iCs/>
                <w:color w:val="000000"/>
                <w:sz w:val="18"/>
                <w:lang w:val="en-US"/>
              </w:rPr>
              <w:t>9. Description of t</w:t>
            </w:r>
            <w:r w:rsidRPr="00212181">
              <w:rPr>
                <w:b w:val="0"/>
                <w:bCs/>
                <w:i/>
                <w:iCs/>
                <w:sz w:val="18"/>
              </w:rPr>
              <w:t xml:space="preserve">he methodological approaches used for quantifying the mitigation outcomes derived from the cooperative approach </w:t>
            </w:r>
            <w:r w:rsidRPr="00212181">
              <w:rPr>
                <w:b w:val="0"/>
                <w:bCs/>
                <w:i/>
                <w:iCs/>
                <w:color w:val="000000"/>
                <w:sz w:val="18"/>
                <w:lang w:val="en-US"/>
              </w:rPr>
              <w:t>(para. 18(h)(ii) supplemented by decision 4/</w:t>
            </w:r>
            <w:r w:rsidRPr="00212181">
              <w:rPr>
                <w:b w:val="0"/>
                <w:bCs/>
                <w:i/>
                <w:iCs/>
                <w:sz w:val="18"/>
              </w:rPr>
              <w:t>CMA</w:t>
            </w:r>
            <w:r w:rsidRPr="00212181">
              <w:rPr>
                <w:b w:val="0"/>
                <w:bCs/>
                <w:i/>
                <w:iCs/>
                <w:color w:val="000000"/>
                <w:sz w:val="18"/>
                <w:lang w:val="en-US"/>
              </w:rPr>
              <w:t>.6, annex 1)</w:t>
            </w:r>
            <w:r w:rsidRPr="00212181">
              <w:rPr>
                <w:b w:val="0"/>
                <w:bCs/>
                <w:i/>
                <w:iCs/>
                <w:sz w:val="18"/>
              </w:rPr>
              <w:t xml:space="preserve"> </w:t>
            </w:r>
            <w:r w:rsidRPr="00212181">
              <w:rPr>
                <w:b w:val="0"/>
                <w:bCs/>
                <w:i/>
                <w:iCs/>
                <w:color w:val="000000"/>
                <w:sz w:val="18"/>
                <w:lang w:val="en-US"/>
              </w:rPr>
              <w:t>- Supplementary element of information to be provided by Parties as relevant</w:t>
            </w:r>
          </w:p>
        </w:tc>
        <w:tc>
          <w:tcPr>
            <w:tcW w:w="5288" w:type="dxa"/>
            <w:tcBorders>
              <w:top w:val="single" w:sz="4" w:space="0" w:color="auto"/>
              <w:left w:val="dotted" w:sz="4" w:space="0" w:color="auto"/>
              <w:bottom w:val="single" w:sz="4" w:space="0" w:color="auto"/>
            </w:tcBorders>
            <w:shd w:val="clear" w:color="auto" w:fill="auto"/>
            <w:vAlign w:val="center"/>
          </w:tcPr>
          <w:p w14:paraId="05958301" w14:textId="77777777" w:rsidR="0051673B" w:rsidRPr="00100D83" w:rsidRDefault="0051673B" w:rsidP="00503CA1">
            <w:pPr>
              <w:pStyle w:val="RegTypePara"/>
              <w:spacing w:before="0" w:after="120"/>
              <w:rPr>
                <w:rStyle w:val="RegTypeParaChar"/>
              </w:rPr>
            </w:pPr>
          </w:p>
        </w:tc>
      </w:tr>
      <w:tr w:rsidR="0051673B" w:rsidRPr="001C0510" w14:paraId="3B7AC90E" w14:textId="77777777" w:rsidTr="004C2F07">
        <w:trPr>
          <w:trHeight w:val="53"/>
        </w:trPr>
        <w:tc>
          <w:tcPr>
            <w:tcW w:w="4464" w:type="dxa"/>
            <w:gridSpan w:val="2"/>
            <w:tcBorders>
              <w:top w:val="single" w:sz="4" w:space="0" w:color="auto"/>
              <w:bottom w:val="single" w:sz="4" w:space="0" w:color="auto"/>
              <w:right w:val="dotted" w:sz="4" w:space="0" w:color="auto"/>
            </w:tcBorders>
            <w:shd w:val="clear" w:color="auto" w:fill="E6E6E6"/>
            <w:vAlign w:val="center"/>
          </w:tcPr>
          <w:p w14:paraId="5A002491" w14:textId="172F0F2B" w:rsidR="0051673B" w:rsidRPr="00212181" w:rsidRDefault="00DB35A1" w:rsidP="007D272F">
            <w:pPr>
              <w:pStyle w:val="RegLeftInstructionCell"/>
              <w:keepLines/>
              <w:rPr>
                <w:b w:val="0"/>
                <w:bCs/>
                <w:color w:val="000000"/>
                <w:sz w:val="18"/>
              </w:rPr>
            </w:pPr>
            <w:r w:rsidRPr="00212181">
              <w:rPr>
                <w:b w:val="0"/>
                <w:bCs/>
                <w:i/>
                <w:iCs/>
                <w:sz w:val="18"/>
              </w:rPr>
              <w:t xml:space="preserve">10. Description of how uncertainties in the quantification of emission reductions and removals are assessed and how such uncertainties are </w:t>
            </w:r>
            <w:proofErr w:type="gramStart"/>
            <w:r w:rsidRPr="00212181">
              <w:rPr>
                <w:b w:val="0"/>
                <w:bCs/>
                <w:i/>
                <w:iCs/>
                <w:sz w:val="18"/>
              </w:rPr>
              <w:t>taken into account</w:t>
            </w:r>
            <w:proofErr w:type="gramEnd"/>
            <w:r w:rsidRPr="00212181">
              <w:rPr>
                <w:b w:val="0"/>
                <w:bCs/>
                <w:i/>
                <w:iCs/>
                <w:sz w:val="18"/>
              </w:rPr>
              <w:t xml:space="preserve"> (para. 18(h)(ii) supplemented by decision 4/CMA.6, annex 1) - Supplementary element of information to be provided by Parties as relevant</w:t>
            </w:r>
          </w:p>
        </w:tc>
        <w:tc>
          <w:tcPr>
            <w:tcW w:w="5288" w:type="dxa"/>
            <w:tcBorders>
              <w:top w:val="single" w:sz="4" w:space="0" w:color="auto"/>
              <w:left w:val="dotted" w:sz="4" w:space="0" w:color="auto"/>
              <w:bottom w:val="single" w:sz="4" w:space="0" w:color="auto"/>
            </w:tcBorders>
            <w:shd w:val="clear" w:color="auto" w:fill="auto"/>
            <w:vAlign w:val="center"/>
          </w:tcPr>
          <w:p w14:paraId="5287B6C0" w14:textId="77777777" w:rsidR="0051673B" w:rsidRPr="00100D83" w:rsidRDefault="0051673B" w:rsidP="00503CA1">
            <w:pPr>
              <w:pStyle w:val="RegTypePara"/>
              <w:spacing w:before="0" w:after="120"/>
              <w:rPr>
                <w:rStyle w:val="RegTypeParaChar"/>
              </w:rPr>
            </w:pPr>
          </w:p>
        </w:tc>
      </w:tr>
      <w:tr w:rsidR="0051673B" w:rsidRPr="001C0510" w14:paraId="33C1D6B9" w14:textId="77777777" w:rsidTr="004C2F07">
        <w:trPr>
          <w:trHeight w:val="53"/>
        </w:trPr>
        <w:tc>
          <w:tcPr>
            <w:tcW w:w="4464" w:type="dxa"/>
            <w:gridSpan w:val="2"/>
            <w:tcBorders>
              <w:top w:val="single" w:sz="4" w:space="0" w:color="auto"/>
              <w:bottom w:val="single" w:sz="4" w:space="0" w:color="auto"/>
              <w:right w:val="dotted" w:sz="4" w:space="0" w:color="auto"/>
            </w:tcBorders>
            <w:shd w:val="clear" w:color="auto" w:fill="E6E6E6"/>
            <w:vAlign w:val="center"/>
          </w:tcPr>
          <w:p w14:paraId="707FE7BD" w14:textId="5A7083B0" w:rsidR="0051673B" w:rsidRPr="00212181" w:rsidRDefault="00DB35A1" w:rsidP="007D272F">
            <w:pPr>
              <w:pStyle w:val="RegLeftInstructionCell"/>
              <w:keepLines/>
              <w:rPr>
                <w:b w:val="0"/>
                <w:bCs/>
                <w:color w:val="000000"/>
                <w:sz w:val="18"/>
              </w:rPr>
            </w:pPr>
            <w:r w:rsidRPr="00212181">
              <w:rPr>
                <w:b w:val="0"/>
                <w:bCs/>
                <w:i/>
                <w:iCs/>
                <w:sz w:val="18"/>
              </w:rPr>
              <w:t>11. Description of how the risk of leakage is assessed, and prevented or minimized, and how any remaining leakage will be quantified and deducted in the quantification of mitigation outcomes (para. 18(h)(ii) supplemented by decision 4/CMA.6, annex 1) - Supplementary element</w:t>
            </w:r>
            <w:r w:rsidRPr="00212181">
              <w:rPr>
                <w:b w:val="0"/>
                <w:bCs/>
                <w:sz w:val="18"/>
              </w:rPr>
              <w:t xml:space="preserve"> </w:t>
            </w:r>
            <w:r w:rsidRPr="00212181">
              <w:rPr>
                <w:b w:val="0"/>
                <w:bCs/>
                <w:i/>
                <w:iCs/>
                <w:sz w:val="18"/>
              </w:rPr>
              <w:t>of information to be provided by Parties as relevant</w:t>
            </w:r>
          </w:p>
        </w:tc>
        <w:tc>
          <w:tcPr>
            <w:tcW w:w="5288" w:type="dxa"/>
            <w:tcBorders>
              <w:top w:val="single" w:sz="4" w:space="0" w:color="auto"/>
              <w:left w:val="dotted" w:sz="4" w:space="0" w:color="auto"/>
              <w:bottom w:val="single" w:sz="4" w:space="0" w:color="auto"/>
            </w:tcBorders>
            <w:shd w:val="clear" w:color="auto" w:fill="auto"/>
            <w:vAlign w:val="center"/>
          </w:tcPr>
          <w:p w14:paraId="75EA2CB3" w14:textId="77777777" w:rsidR="0051673B" w:rsidRPr="00100D83" w:rsidRDefault="0051673B" w:rsidP="00503CA1">
            <w:pPr>
              <w:pStyle w:val="RegTypePara"/>
              <w:spacing w:before="0" w:after="120"/>
              <w:rPr>
                <w:rStyle w:val="RegTypeParaChar"/>
              </w:rPr>
            </w:pPr>
          </w:p>
        </w:tc>
      </w:tr>
      <w:tr w:rsidR="00DB35A1" w:rsidRPr="001C0510" w14:paraId="4D76CCB5" w14:textId="77777777" w:rsidTr="004C2F07">
        <w:trPr>
          <w:trHeight w:val="53"/>
        </w:trPr>
        <w:tc>
          <w:tcPr>
            <w:tcW w:w="4464" w:type="dxa"/>
            <w:gridSpan w:val="2"/>
            <w:tcBorders>
              <w:top w:val="single" w:sz="4" w:space="0" w:color="auto"/>
              <w:bottom w:val="single" w:sz="4" w:space="0" w:color="auto"/>
              <w:right w:val="dotted" w:sz="4" w:space="0" w:color="auto"/>
            </w:tcBorders>
            <w:shd w:val="clear" w:color="auto" w:fill="E6E6E6"/>
            <w:vAlign w:val="center"/>
          </w:tcPr>
          <w:p w14:paraId="46E2EABB" w14:textId="40776D64" w:rsidR="00DB35A1" w:rsidRPr="0051673B" w:rsidRDefault="00DB35A1" w:rsidP="007D272F">
            <w:pPr>
              <w:pStyle w:val="RegLeftInstructionCell"/>
              <w:keepLines/>
              <w:rPr>
                <w:b w:val="0"/>
                <w:bCs/>
                <w:color w:val="000000"/>
                <w:sz w:val="18"/>
              </w:rPr>
            </w:pPr>
            <w:r w:rsidRPr="00DB35A1">
              <w:rPr>
                <w:b w:val="0"/>
                <w:bCs/>
                <w:color w:val="000000"/>
                <w:sz w:val="18"/>
              </w:rPr>
              <w:t>12. Description of how the cooperative approach is minimizing the risk of non-permanence of mitigation across several NDC periods and how, when reversals of emission reductions or removals occur, the cooperative approach will ensure that these are addressed in full (para. 18(h)(iii), to be updated by para. 22(b)(iii))</w:t>
            </w:r>
          </w:p>
        </w:tc>
        <w:tc>
          <w:tcPr>
            <w:tcW w:w="5288" w:type="dxa"/>
            <w:tcBorders>
              <w:top w:val="single" w:sz="4" w:space="0" w:color="auto"/>
              <w:left w:val="dotted" w:sz="4" w:space="0" w:color="auto"/>
              <w:bottom w:val="single" w:sz="4" w:space="0" w:color="auto"/>
            </w:tcBorders>
            <w:shd w:val="clear" w:color="auto" w:fill="auto"/>
            <w:vAlign w:val="center"/>
          </w:tcPr>
          <w:p w14:paraId="0A53D749" w14:textId="77777777" w:rsidR="00DB35A1" w:rsidRPr="00100D83" w:rsidRDefault="00DB35A1" w:rsidP="00503CA1">
            <w:pPr>
              <w:pStyle w:val="RegTypePara"/>
              <w:spacing w:before="0" w:after="120"/>
              <w:rPr>
                <w:rStyle w:val="RegTypeParaChar"/>
              </w:rPr>
            </w:pPr>
          </w:p>
        </w:tc>
      </w:tr>
      <w:tr w:rsidR="00DB35A1" w:rsidRPr="001C0510" w14:paraId="1078683A" w14:textId="77777777" w:rsidTr="004C2F07">
        <w:trPr>
          <w:trHeight w:val="53"/>
        </w:trPr>
        <w:tc>
          <w:tcPr>
            <w:tcW w:w="4464" w:type="dxa"/>
            <w:gridSpan w:val="2"/>
            <w:tcBorders>
              <w:top w:val="single" w:sz="4" w:space="0" w:color="auto"/>
              <w:bottom w:val="single" w:sz="4" w:space="0" w:color="auto"/>
              <w:right w:val="dotted" w:sz="4" w:space="0" w:color="auto"/>
            </w:tcBorders>
            <w:shd w:val="clear" w:color="auto" w:fill="E6E6E6"/>
            <w:vAlign w:val="center"/>
          </w:tcPr>
          <w:p w14:paraId="1FBFFF67" w14:textId="275AAAB8" w:rsidR="00DB35A1" w:rsidRPr="00212181" w:rsidRDefault="00DB35A1" w:rsidP="007D272F">
            <w:pPr>
              <w:pStyle w:val="RegLeftInstructionCell"/>
              <w:keepLines/>
              <w:rPr>
                <w:b w:val="0"/>
                <w:bCs/>
                <w:color w:val="000000"/>
                <w:sz w:val="18"/>
              </w:rPr>
            </w:pPr>
            <w:r w:rsidRPr="00212181">
              <w:rPr>
                <w:b w:val="0"/>
                <w:bCs/>
                <w:i/>
                <w:iCs/>
                <w:color w:val="000000"/>
                <w:sz w:val="18"/>
              </w:rPr>
              <w:t xml:space="preserve">13. Description of how the risk of non-permanence is assessed under the cooperative </w:t>
            </w:r>
            <w:r w:rsidRPr="00212181">
              <w:rPr>
                <w:b w:val="0"/>
                <w:bCs/>
                <w:i/>
                <w:iCs/>
                <w:sz w:val="18"/>
              </w:rPr>
              <w:t>approach</w:t>
            </w:r>
            <w:r w:rsidRPr="00212181">
              <w:rPr>
                <w:b w:val="0"/>
                <w:bCs/>
                <w:i/>
                <w:iCs/>
                <w:color w:val="000000"/>
                <w:sz w:val="18"/>
              </w:rPr>
              <w:t xml:space="preserve"> and minimized across several nationally determined contribution periods, including the frequency and timing of risk assessments, the methodological approaches used for those assessments, the types of risk identified, the likelihood, scale and potential impacts of such risks, and the time-horizons considered (para. 18(h)(iii) supplemented by decision 4/CMA.6, annex 1) - Supplementary element of information to be provided by Parties as relevant</w:t>
            </w:r>
          </w:p>
        </w:tc>
        <w:tc>
          <w:tcPr>
            <w:tcW w:w="5288" w:type="dxa"/>
            <w:tcBorders>
              <w:top w:val="single" w:sz="4" w:space="0" w:color="auto"/>
              <w:left w:val="dotted" w:sz="4" w:space="0" w:color="auto"/>
              <w:bottom w:val="single" w:sz="4" w:space="0" w:color="auto"/>
            </w:tcBorders>
            <w:shd w:val="clear" w:color="auto" w:fill="auto"/>
            <w:vAlign w:val="center"/>
          </w:tcPr>
          <w:p w14:paraId="23B5CCA4" w14:textId="77777777" w:rsidR="00DB35A1" w:rsidRPr="00100D83" w:rsidRDefault="00DB35A1" w:rsidP="00503CA1">
            <w:pPr>
              <w:pStyle w:val="RegTypePara"/>
              <w:spacing w:before="0" w:after="120"/>
              <w:rPr>
                <w:rStyle w:val="RegTypeParaChar"/>
              </w:rPr>
            </w:pPr>
          </w:p>
        </w:tc>
      </w:tr>
      <w:tr w:rsidR="00DB35A1" w:rsidRPr="001C0510" w14:paraId="6CA8BF48" w14:textId="77777777" w:rsidTr="004C2F07">
        <w:trPr>
          <w:trHeight w:val="53"/>
        </w:trPr>
        <w:tc>
          <w:tcPr>
            <w:tcW w:w="4464" w:type="dxa"/>
            <w:gridSpan w:val="2"/>
            <w:tcBorders>
              <w:top w:val="single" w:sz="4" w:space="0" w:color="auto"/>
              <w:bottom w:val="single" w:sz="4" w:space="0" w:color="auto"/>
              <w:right w:val="dotted" w:sz="4" w:space="0" w:color="auto"/>
            </w:tcBorders>
            <w:shd w:val="clear" w:color="auto" w:fill="E6E6E6"/>
            <w:vAlign w:val="center"/>
          </w:tcPr>
          <w:p w14:paraId="5AEF8174" w14:textId="254BB497" w:rsidR="00DB35A1" w:rsidRPr="00DB35A1" w:rsidRDefault="00DB35A1" w:rsidP="007D272F">
            <w:pPr>
              <w:pStyle w:val="RegLeftInstructionCell"/>
              <w:keepLines/>
              <w:rPr>
                <w:b w:val="0"/>
                <w:bCs/>
                <w:color w:val="000000"/>
                <w:sz w:val="18"/>
              </w:rPr>
            </w:pPr>
            <w:r w:rsidRPr="00212181">
              <w:rPr>
                <w:b w:val="0"/>
                <w:bCs/>
                <w:i/>
                <w:iCs/>
                <w:sz w:val="18"/>
                <w:lang w:val="en-US"/>
              </w:rPr>
              <w:lastRenderedPageBreak/>
              <w:t xml:space="preserve">14. Description of how reversals are monitored and quantified, and when they occur, how they are addressed in full, including which methodological </w:t>
            </w:r>
            <w:r w:rsidRPr="00212181">
              <w:rPr>
                <w:b w:val="0"/>
                <w:bCs/>
                <w:i/>
                <w:iCs/>
                <w:color w:val="000000"/>
                <w:sz w:val="18"/>
              </w:rPr>
              <w:t>approaches</w:t>
            </w:r>
            <w:r w:rsidRPr="00212181">
              <w:rPr>
                <w:b w:val="0"/>
                <w:bCs/>
                <w:i/>
                <w:iCs/>
                <w:sz w:val="18"/>
                <w:lang w:val="en-US"/>
              </w:rPr>
              <w:t xml:space="preserve"> are used to address reversals, how the responsibility for addressing reversals is assigned, the duration and frequency of monitoring for reversals, and the measures envisaged in case of failures in monitoring </w:t>
            </w:r>
            <w:r w:rsidRPr="00212181">
              <w:rPr>
                <w:b w:val="0"/>
                <w:bCs/>
                <w:i/>
                <w:iCs/>
                <w:sz w:val="18"/>
              </w:rPr>
              <w:t>(para. 18(h)(iii) supplemented by decision 4/CMA.6, annex 1) - Supplementary element of information to be provided by Parties as relevant</w:t>
            </w:r>
          </w:p>
        </w:tc>
        <w:tc>
          <w:tcPr>
            <w:tcW w:w="5288" w:type="dxa"/>
            <w:tcBorders>
              <w:top w:val="single" w:sz="4" w:space="0" w:color="auto"/>
              <w:left w:val="dotted" w:sz="4" w:space="0" w:color="auto"/>
              <w:bottom w:val="single" w:sz="4" w:space="0" w:color="auto"/>
            </w:tcBorders>
            <w:shd w:val="clear" w:color="auto" w:fill="auto"/>
            <w:vAlign w:val="center"/>
          </w:tcPr>
          <w:p w14:paraId="31462FE9" w14:textId="77777777" w:rsidR="00DB35A1" w:rsidRPr="00100D83" w:rsidRDefault="00DB35A1" w:rsidP="00503CA1">
            <w:pPr>
              <w:pStyle w:val="RegTypePara"/>
              <w:spacing w:before="0" w:after="120"/>
              <w:rPr>
                <w:rStyle w:val="RegTypeParaChar"/>
              </w:rPr>
            </w:pPr>
          </w:p>
        </w:tc>
      </w:tr>
      <w:tr w:rsidR="004623A3" w:rsidRPr="001C0510" w14:paraId="6BC7E485" w14:textId="77777777" w:rsidTr="004C2F07">
        <w:trPr>
          <w:trHeight w:val="53"/>
        </w:trPr>
        <w:tc>
          <w:tcPr>
            <w:tcW w:w="9752" w:type="dxa"/>
            <w:gridSpan w:val="3"/>
            <w:tcBorders>
              <w:top w:val="single" w:sz="4" w:space="0" w:color="auto"/>
              <w:bottom w:val="single" w:sz="4" w:space="0" w:color="auto"/>
            </w:tcBorders>
            <w:shd w:val="clear" w:color="auto" w:fill="E6E6E6"/>
            <w:vAlign w:val="center"/>
          </w:tcPr>
          <w:p w14:paraId="552AF362" w14:textId="5B90605E" w:rsidR="004623A3" w:rsidRPr="00100D83" w:rsidRDefault="004623A3" w:rsidP="004623A3">
            <w:pPr>
              <w:pStyle w:val="SectionTitle"/>
              <w:rPr>
                <w:rStyle w:val="RegTypeParaChar"/>
              </w:rPr>
            </w:pPr>
            <w:r>
              <w:rPr>
                <w:color w:val="000000"/>
              </w:rPr>
              <w:t>J</w:t>
            </w:r>
            <w:r w:rsidRPr="007F3B5B">
              <w:rPr>
                <w:color w:val="000000"/>
              </w:rPr>
              <w:t>. Additional description of the cooperative approach (para. 18(</w:t>
            </w:r>
            <w:proofErr w:type="spellStart"/>
            <w:r w:rsidRPr="007F3B5B">
              <w:rPr>
                <w:color w:val="000000"/>
              </w:rPr>
              <w:t>i</w:t>
            </w:r>
            <w:proofErr w:type="spellEnd"/>
            <w:r w:rsidRPr="007F3B5B">
              <w:rPr>
                <w:color w:val="000000"/>
              </w:rPr>
              <w:t>))</w:t>
            </w:r>
          </w:p>
        </w:tc>
      </w:tr>
      <w:tr w:rsidR="004623A3" w:rsidRPr="001C0510" w14:paraId="4CA62C79" w14:textId="77777777" w:rsidTr="004C2F07">
        <w:trPr>
          <w:trHeight w:val="53"/>
        </w:trPr>
        <w:tc>
          <w:tcPr>
            <w:tcW w:w="4464" w:type="dxa"/>
            <w:gridSpan w:val="2"/>
            <w:tcBorders>
              <w:top w:val="single" w:sz="4" w:space="0" w:color="auto"/>
              <w:bottom w:val="single" w:sz="4" w:space="0" w:color="auto"/>
              <w:right w:val="dotted" w:sz="4" w:space="0" w:color="auto"/>
            </w:tcBorders>
            <w:shd w:val="clear" w:color="auto" w:fill="E6E6E6"/>
            <w:vAlign w:val="center"/>
          </w:tcPr>
          <w:p w14:paraId="254DA37A" w14:textId="0F2DFCCC" w:rsidR="004623A3" w:rsidRPr="004623A3" w:rsidRDefault="004623A3" w:rsidP="004623A3">
            <w:pPr>
              <w:pStyle w:val="RegLeftInstructionCell"/>
              <w:keepLines/>
              <w:rPr>
                <w:b w:val="0"/>
                <w:bCs/>
                <w:color w:val="000000"/>
                <w:sz w:val="18"/>
              </w:rPr>
            </w:pPr>
            <w:r w:rsidRPr="004623A3">
              <w:rPr>
                <w:b w:val="0"/>
                <w:bCs/>
                <w:color w:val="000000"/>
                <w:sz w:val="18"/>
              </w:rPr>
              <w:t xml:space="preserve">1. Description of how the cooperative approach minimizes and, where possible, avoids negative environmental, </w:t>
            </w:r>
            <w:proofErr w:type="gramStart"/>
            <w:r w:rsidRPr="004623A3">
              <w:rPr>
                <w:b w:val="0"/>
                <w:bCs/>
                <w:color w:val="000000"/>
                <w:sz w:val="18"/>
              </w:rPr>
              <w:t>economic</w:t>
            </w:r>
            <w:proofErr w:type="gramEnd"/>
            <w:r w:rsidRPr="004623A3">
              <w:rPr>
                <w:b w:val="0"/>
                <w:bCs/>
                <w:color w:val="000000"/>
                <w:sz w:val="18"/>
              </w:rPr>
              <w:t xml:space="preserve"> and social impacts (para. 18(</w:t>
            </w:r>
            <w:proofErr w:type="spellStart"/>
            <w:r w:rsidRPr="004623A3">
              <w:rPr>
                <w:b w:val="0"/>
                <w:bCs/>
                <w:color w:val="000000"/>
                <w:sz w:val="18"/>
              </w:rPr>
              <w:t>i</w:t>
            </w:r>
            <w:proofErr w:type="spellEnd"/>
            <w:r w:rsidRPr="004623A3">
              <w:rPr>
                <w:b w:val="0"/>
                <w:bCs/>
                <w:color w:val="000000"/>
                <w:sz w:val="18"/>
              </w:rPr>
              <w:t>)(</w:t>
            </w:r>
            <w:proofErr w:type="spellStart"/>
            <w:r w:rsidRPr="004623A3">
              <w:rPr>
                <w:b w:val="0"/>
                <w:bCs/>
                <w:color w:val="000000"/>
                <w:sz w:val="18"/>
              </w:rPr>
              <w:t>i</w:t>
            </w:r>
            <w:proofErr w:type="spellEnd"/>
            <w:r w:rsidRPr="004623A3">
              <w:rPr>
                <w:b w:val="0"/>
                <w:bCs/>
                <w:color w:val="000000"/>
                <w:sz w:val="18"/>
              </w:rPr>
              <w:t>), to be updated by para. 22(f))</w:t>
            </w:r>
          </w:p>
        </w:tc>
        <w:tc>
          <w:tcPr>
            <w:tcW w:w="5288" w:type="dxa"/>
            <w:tcBorders>
              <w:top w:val="single" w:sz="4" w:space="0" w:color="auto"/>
              <w:left w:val="dotted" w:sz="4" w:space="0" w:color="auto"/>
              <w:bottom w:val="single" w:sz="4" w:space="0" w:color="auto"/>
            </w:tcBorders>
            <w:shd w:val="clear" w:color="auto" w:fill="auto"/>
            <w:vAlign w:val="center"/>
          </w:tcPr>
          <w:p w14:paraId="2E8558A3" w14:textId="77777777" w:rsidR="004623A3" w:rsidRPr="00100D83" w:rsidRDefault="004623A3" w:rsidP="004623A3">
            <w:pPr>
              <w:pStyle w:val="RegTypePara"/>
              <w:spacing w:before="0" w:after="120"/>
              <w:rPr>
                <w:rStyle w:val="RegTypeParaChar"/>
              </w:rPr>
            </w:pPr>
          </w:p>
        </w:tc>
      </w:tr>
      <w:tr w:rsidR="004623A3" w:rsidRPr="001C0510" w14:paraId="0614445F" w14:textId="77777777" w:rsidTr="004C2F07">
        <w:trPr>
          <w:trHeight w:val="53"/>
        </w:trPr>
        <w:tc>
          <w:tcPr>
            <w:tcW w:w="4464" w:type="dxa"/>
            <w:gridSpan w:val="2"/>
            <w:tcBorders>
              <w:top w:val="single" w:sz="4" w:space="0" w:color="auto"/>
              <w:bottom w:val="single" w:sz="4" w:space="0" w:color="auto"/>
              <w:right w:val="dotted" w:sz="4" w:space="0" w:color="auto"/>
            </w:tcBorders>
            <w:shd w:val="clear" w:color="auto" w:fill="E6E6E6"/>
            <w:vAlign w:val="center"/>
          </w:tcPr>
          <w:p w14:paraId="1AD8AB5C" w14:textId="69FC2BD9" w:rsidR="004623A3" w:rsidRPr="0051673B" w:rsidRDefault="004623A3" w:rsidP="004623A3">
            <w:pPr>
              <w:pStyle w:val="RegLeftInstructionCell"/>
              <w:keepLines/>
              <w:rPr>
                <w:b w:val="0"/>
                <w:bCs/>
                <w:color w:val="000000"/>
                <w:sz w:val="18"/>
              </w:rPr>
            </w:pPr>
            <w:r w:rsidRPr="004623A3">
              <w:rPr>
                <w:b w:val="0"/>
                <w:bCs/>
                <w:color w:val="000000"/>
                <w:sz w:val="18"/>
              </w:rPr>
              <w:t>2. Description of how the cooperative approach reflects the eleventh preambular paragraph of the Paris Agreement, acknowledging that climate change is a common concern of humankind, Parties should, when taking action to address climate change, respect, promote and consider their respective obligations on human rights, the right to health, the rights of indigenous peoples, local communities, migrants, children, persons with disabilities and people in vulnerable situations and the right to development, as well as gender equality, empowerment of women and intergenerational equity (para. 18(</w:t>
            </w:r>
            <w:proofErr w:type="spellStart"/>
            <w:r w:rsidRPr="004623A3">
              <w:rPr>
                <w:b w:val="0"/>
                <w:bCs/>
                <w:color w:val="000000"/>
                <w:sz w:val="18"/>
              </w:rPr>
              <w:t>i</w:t>
            </w:r>
            <w:proofErr w:type="spellEnd"/>
            <w:r w:rsidRPr="004623A3">
              <w:rPr>
                <w:b w:val="0"/>
                <w:bCs/>
                <w:color w:val="000000"/>
                <w:sz w:val="18"/>
              </w:rPr>
              <w:t>)(ii), to be updated by para. 22(g))</w:t>
            </w:r>
          </w:p>
        </w:tc>
        <w:tc>
          <w:tcPr>
            <w:tcW w:w="5288" w:type="dxa"/>
            <w:tcBorders>
              <w:top w:val="single" w:sz="4" w:space="0" w:color="auto"/>
              <w:left w:val="dotted" w:sz="4" w:space="0" w:color="auto"/>
              <w:bottom w:val="single" w:sz="4" w:space="0" w:color="auto"/>
            </w:tcBorders>
            <w:shd w:val="clear" w:color="auto" w:fill="auto"/>
            <w:vAlign w:val="center"/>
          </w:tcPr>
          <w:p w14:paraId="0532B9F3" w14:textId="77777777" w:rsidR="004623A3" w:rsidRPr="00100D83" w:rsidRDefault="004623A3" w:rsidP="004623A3">
            <w:pPr>
              <w:pStyle w:val="RegTypePara"/>
              <w:spacing w:before="0" w:after="120"/>
              <w:rPr>
                <w:rStyle w:val="RegTypeParaChar"/>
              </w:rPr>
            </w:pPr>
          </w:p>
        </w:tc>
      </w:tr>
      <w:tr w:rsidR="004623A3" w:rsidRPr="001C0510" w14:paraId="5E6E1FA4" w14:textId="77777777" w:rsidTr="004C2F07">
        <w:trPr>
          <w:trHeight w:val="53"/>
        </w:trPr>
        <w:tc>
          <w:tcPr>
            <w:tcW w:w="4464" w:type="dxa"/>
            <w:gridSpan w:val="2"/>
            <w:tcBorders>
              <w:top w:val="single" w:sz="4" w:space="0" w:color="auto"/>
              <w:bottom w:val="single" w:sz="4" w:space="0" w:color="auto"/>
              <w:right w:val="dotted" w:sz="4" w:space="0" w:color="auto"/>
            </w:tcBorders>
            <w:shd w:val="clear" w:color="auto" w:fill="E6E6E6"/>
            <w:vAlign w:val="center"/>
          </w:tcPr>
          <w:p w14:paraId="1D107A71" w14:textId="74707238" w:rsidR="004623A3" w:rsidRPr="0051673B" w:rsidRDefault="004C2F07" w:rsidP="004623A3">
            <w:pPr>
              <w:pStyle w:val="RegLeftInstructionCell"/>
              <w:keepLines/>
              <w:rPr>
                <w:b w:val="0"/>
                <w:bCs/>
                <w:color w:val="000000"/>
                <w:sz w:val="18"/>
              </w:rPr>
            </w:pPr>
            <w:r w:rsidRPr="004C2F07">
              <w:rPr>
                <w:b w:val="0"/>
                <w:bCs/>
                <w:color w:val="000000"/>
                <w:sz w:val="18"/>
              </w:rPr>
              <w:t>3. Description of how the cooperative approach is consistent with the sustainable development objectives of the Party, noting national prerogatives (para. 18(</w:t>
            </w:r>
            <w:proofErr w:type="spellStart"/>
            <w:r w:rsidRPr="004C2F07">
              <w:rPr>
                <w:b w:val="0"/>
                <w:bCs/>
                <w:color w:val="000000"/>
                <w:sz w:val="18"/>
              </w:rPr>
              <w:t>i</w:t>
            </w:r>
            <w:proofErr w:type="spellEnd"/>
            <w:r w:rsidRPr="004C2F07">
              <w:rPr>
                <w:b w:val="0"/>
                <w:bCs/>
                <w:color w:val="000000"/>
                <w:sz w:val="18"/>
              </w:rPr>
              <w:t>)(iii), to be updated by para. 22(h))</w:t>
            </w:r>
          </w:p>
        </w:tc>
        <w:tc>
          <w:tcPr>
            <w:tcW w:w="5288" w:type="dxa"/>
            <w:tcBorders>
              <w:top w:val="single" w:sz="4" w:space="0" w:color="auto"/>
              <w:left w:val="dotted" w:sz="4" w:space="0" w:color="auto"/>
              <w:bottom w:val="single" w:sz="4" w:space="0" w:color="auto"/>
            </w:tcBorders>
            <w:shd w:val="clear" w:color="auto" w:fill="auto"/>
            <w:vAlign w:val="center"/>
          </w:tcPr>
          <w:p w14:paraId="1C35FE6B" w14:textId="77777777" w:rsidR="004623A3" w:rsidRPr="00100D83" w:rsidRDefault="004623A3" w:rsidP="004623A3">
            <w:pPr>
              <w:pStyle w:val="RegTypePara"/>
              <w:spacing w:before="0" w:after="120"/>
              <w:rPr>
                <w:rStyle w:val="RegTypeParaChar"/>
              </w:rPr>
            </w:pPr>
          </w:p>
        </w:tc>
      </w:tr>
      <w:tr w:rsidR="004623A3" w:rsidRPr="001C0510" w14:paraId="45124E9F" w14:textId="77777777" w:rsidTr="004C2F07">
        <w:trPr>
          <w:trHeight w:val="53"/>
        </w:trPr>
        <w:tc>
          <w:tcPr>
            <w:tcW w:w="4464" w:type="dxa"/>
            <w:gridSpan w:val="2"/>
            <w:tcBorders>
              <w:top w:val="single" w:sz="4" w:space="0" w:color="auto"/>
              <w:bottom w:val="single" w:sz="4" w:space="0" w:color="auto"/>
              <w:right w:val="dotted" w:sz="4" w:space="0" w:color="auto"/>
            </w:tcBorders>
            <w:shd w:val="clear" w:color="auto" w:fill="E6E6E6"/>
            <w:vAlign w:val="center"/>
          </w:tcPr>
          <w:p w14:paraId="41C0CF70" w14:textId="5D5CB681" w:rsidR="004623A3" w:rsidRPr="0051673B" w:rsidRDefault="004C2F07" w:rsidP="004623A3">
            <w:pPr>
              <w:pStyle w:val="RegLeftInstructionCell"/>
              <w:keepLines/>
              <w:rPr>
                <w:b w:val="0"/>
                <w:bCs/>
                <w:color w:val="000000"/>
                <w:sz w:val="18"/>
              </w:rPr>
            </w:pPr>
            <w:r w:rsidRPr="004C2F07">
              <w:rPr>
                <w:b w:val="0"/>
                <w:bCs/>
                <w:color w:val="000000"/>
                <w:sz w:val="18"/>
              </w:rPr>
              <w:t>4. Description of how the cooperative approach applies any safeguards and limits set out in further guidance from the CMA pursuant to chapter III.D (para. 18(</w:t>
            </w:r>
            <w:proofErr w:type="spellStart"/>
            <w:r w:rsidRPr="004C2F07">
              <w:rPr>
                <w:b w:val="0"/>
                <w:bCs/>
                <w:color w:val="000000"/>
                <w:sz w:val="18"/>
              </w:rPr>
              <w:t>i</w:t>
            </w:r>
            <w:proofErr w:type="spellEnd"/>
            <w:r w:rsidRPr="004C2F07">
              <w:rPr>
                <w:b w:val="0"/>
                <w:bCs/>
                <w:color w:val="000000"/>
                <w:sz w:val="18"/>
              </w:rPr>
              <w:t>)(iv), to be updated by para. 22(</w:t>
            </w:r>
            <w:proofErr w:type="spellStart"/>
            <w:r w:rsidRPr="004C2F07">
              <w:rPr>
                <w:b w:val="0"/>
                <w:bCs/>
                <w:color w:val="000000"/>
                <w:sz w:val="18"/>
              </w:rPr>
              <w:t>i</w:t>
            </w:r>
            <w:proofErr w:type="spellEnd"/>
            <w:r w:rsidRPr="004C2F07">
              <w:rPr>
                <w:b w:val="0"/>
                <w:bCs/>
                <w:color w:val="000000"/>
                <w:sz w:val="18"/>
              </w:rPr>
              <w:t>))</w:t>
            </w:r>
          </w:p>
        </w:tc>
        <w:tc>
          <w:tcPr>
            <w:tcW w:w="5288" w:type="dxa"/>
            <w:tcBorders>
              <w:top w:val="single" w:sz="4" w:space="0" w:color="auto"/>
              <w:left w:val="dotted" w:sz="4" w:space="0" w:color="auto"/>
              <w:bottom w:val="single" w:sz="4" w:space="0" w:color="auto"/>
            </w:tcBorders>
            <w:shd w:val="clear" w:color="auto" w:fill="auto"/>
            <w:vAlign w:val="center"/>
          </w:tcPr>
          <w:p w14:paraId="1CE2D501" w14:textId="77777777" w:rsidR="004623A3" w:rsidRPr="00100D83" w:rsidRDefault="004623A3" w:rsidP="004623A3">
            <w:pPr>
              <w:pStyle w:val="RegTypePara"/>
              <w:spacing w:before="0" w:after="120"/>
              <w:rPr>
                <w:rStyle w:val="RegTypeParaChar"/>
              </w:rPr>
            </w:pPr>
          </w:p>
        </w:tc>
      </w:tr>
      <w:tr w:rsidR="004623A3" w:rsidRPr="001C0510" w14:paraId="71095158" w14:textId="77777777" w:rsidTr="004C2F07">
        <w:trPr>
          <w:trHeight w:val="53"/>
        </w:trPr>
        <w:tc>
          <w:tcPr>
            <w:tcW w:w="4464" w:type="dxa"/>
            <w:gridSpan w:val="2"/>
            <w:tcBorders>
              <w:top w:val="single" w:sz="4" w:space="0" w:color="auto"/>
              <w:bottom w:val="single" w:sz="4" w:space="0" w:color="auto"/>
              <w:right w:val="dotted" w:sz="4" w:space="0" w:color="auto"/>
            </w:tcBorders>
            <w:shd w:val="clear" w:color="auto" w:fill="E6E6E6"/>
            <w:vAlign w:val="center"/>
          </w:tcPr>
          <w:p w14:paraId="67680F54" w14:textId="72A46ABE" w:rsidR="004623A3" w:rsidRPr="0051673B" w:rsidRDefault="004C2F07" w:rsidP="004623A3">
            <w:pPr>
              <w:pStyle w:val="RegLeftInstructionCell"/>
              <w:keepLines/>
              <w:rPr>
                <w:b w:val="0"/>
                <w:bCs/>
                <w:color w:val="000000"/>
                <w:sz w:val="18"/>
              </w:rPr>
            </w:pPr>
            <w:r w:rsidRPr="004C2F07">
              <w:rPr>
                <w:b w:val="0"/>
                <w:bCs/>
                <w:color w:val="000000"/>
                <w:sz w:val="18"/>
              </w:rPr>
              <w:t>5. Description of how the cooperative approach contributes resources for adaptation pursuant to chapter VII (Ambition in mitigation and adaptation actions), if applicable (para. 18(</w:t>
            </w:r>
            <w:proofErr w:type="spellStart"/>
            <w:r w:rsidRPr="004C2F07">
              <w:rPr>
                <w:b w:val="0"/>
                <w:bCs/>
                <w:color w:val="000000"/>
                <w:sz w:val="18"/>
              </w:rPr>
              <w:t>i</w:t>
            </w:r>
            <w:proofErr w:type="spellEnd"/>
            <w:r w:rsidRPr="004C2F07">
              <w:rPr>
                <w:b w:val="0"/>
                <w:bCs/>
                <w:color w:val="000000"/>
                <w:sz w:val="18"/>
              </w:rPr>
              <w:t>)(v), to be updated by para. 22(j))</w:t>
            </w:r>
          </w:p>
        </w:tc>
        <w:tc>
          <w:tcPr>
            <w:tcW w:w="5288" w:type="dxa"/>
            <w:tcBorders>
              <w:top w:val="single" w:sz="4" w:space="0" w:color="auto"/>
              <w:left w:val="dotted" w:sz="4" w:space="0" w:color="auto"/>
              <w:bottom w:val="single" w:sz="4" w:space="0" w:color="auto"/>
            </w:tcBorders>
            <w:shd w:val="clear" w:color="auto" w:fill="auto"/>
            <w:vAlign w:val="center"/>
          </w:tcPr>
          <w:p w14:paraId="1E20F2A4" w14:textId="77777777" w:rsidR="004623A3" w:rsidRPr="00100D83" w:rsidRDefault="004623A3" w:rsidP="004623A3">
            <w:pPr>
              <w:pStyle w:val="RegTypePara"/>
              <w:spacing w:before="0" w:after="120"/>
              <w:rPr>
                <w:rStyle w:val="RegTypeParaChar"/>
              </w:rPr>
            </w:pPr>
          </w:p>
        </w:tc>
      </w:tr>
      <w:tr w:rsidR="004C2F07" w:rsidRPr="001C0510" w14:paraId="2A15B1AB" w14:textId="77777777" w:rsidTr="004C2F07">
        <w:trPr>
          <w:trHeight w:val="53"/>
        </w:trPr>
        <w:tc>
          <w:tcPr>
            <w:tcW w:w="4464" w:type="dxa"/>
            <w:gridSpan w:val="2"/>
            <w:tcBorders>
              <w:top w:val="single" w:sz="4" w:space="0" w:color="auto"/>
              <w:bottom w:val="single" w:sz="4" w:space="0" w:color="auto"/>
              <w:right w:val="dotted" w:sz="4" w:space="0" w:color="auto"/>
            </w:tcBorders>
            <w:shd w:val="clear" w:color="auto" w:fill="E6E6E6"/>
            <w:vAlign w:val="center"/>
          </w:tcPr>
          <w:p w14:paraId="0FA8944A" w14:textId="1A3F9E98" w:rsidR="004C2F07" w:rsidRPr="0051673B" w:rsidRDefault="004C2F07" w:rsidP="004623A3">
            <w:pPr>
              <w:pStyle w:val="RegLeftInstructionCell"/>
              <w:keepLines/>
              <w:rPr>
                <w:b w:val="0"/>
                <w:bCs/>
                <w:color w:val="000000"/>
                <w:sz w:val="18"/>
              </w:rPr>
            </w:pPr>
            <w:r w:rsidRPr="004C2F07">
              <w:rPr>
                <w:b w:val="0"/>
                <w:bCs/>
                <w:color w:val="000000"/>
                <w:sz w:val="18"/>
              </w:rPr>
              <w:t>6. Description of how the cooperative approach delivers overall mitigation in global emissions pursuant to chapter VII (Ambition in mitigation and adaptation actions), if applicable (para. 18(</w:t>
            </w:r>
            <w:proofErr w:type="spellStart"/>
            <w:r w:rsidRPr="004C2F07">
              <w:rPr>
                <w:b w:val="0"/>
                <w:bCs/>
                <w:color w:val="000000"/>
                <w:sz w:val="18"/>
              </w:rPr>
              <w:t>i</w:t>
            </w:r>
            <w:proofErr w:type="spellEnd"/>
            <w:r w:rsidRPr="004C2F07">
              <w:rPr>
                <w:b w:val="0"/>
                <w:bCs/>
                <w:color w:val="000000"/>
                <w:sz w:val="18"/>
              </w:rPr>
              <w:t>)(vi), to be updated by para. 22(k))</w:t>
            </w:r>
          </w:p>
        </w:tc>
        <w:tc>
          <w:tcPr>
            <w:tcW w:w="5288" w:type="dxa"/>
            <w:tcBorders>
              <w:top w:val="single" w:sz="4" w:space="0" w:color="auto"/>
              <w:left w:val="dotted" w:sz="4" w:space="0" w:color="auto"/>
              <w:bottom w:val="single" w:sz="4" w:space="0" w:color="auto"/>
            </w:tcBorders>
            <w:shd w:val="clear" w:color="auto" w:fill="auto"/>
            <w:vAlign w:val="center"/>
          </w:tcPr>
          <w:p w14:paraId="514DA091" w14:textId="77777777" w:rsidR="004C2F07" w:rsidRPr="00100D83" w:rsidRDefault="004C2F07" w:rsidP="004623A3">
            <w:pPr>
              <w:pStyle w:val="RegTypePara"/>
              <w:spacing w:before="0" w:after="120"/>
              <w:rPr>
                <w:rStyle w:val="RegTypeParaChar"/>
              </w:rPr>
            </w:pPr>
          </w:p>
        </w:tc>
      </w:tr>
    </w:tbl>
    <w:p w14:paraId="6B6D0538" w14:textId="77777777" w:rsidR="004E59EA" w:rsidRPr="004E59EA" w:rsidRDefault="004E59EA" w:rsidP="0088682F">
      <w:pPr>
        <w:spacing w:before="480" w:after="240"/>
        <w:jc w:val="center"/>
        <w:rPr>
          <w:rFonts w:ascii="Arial" w:hAnsi="Arial" w:cs="Arial"/>
          <w:bCs/>
          <w:szCs w:val="22"/>
        </w:rPr>
      </w:pPr>
      <w:r w:rsidRPr="004E59EA">
        <w:rPr>
          <w:rFonts w:ascii="Arial" w:hAnsi="Arial" w:cs="Arial"/>
          <w:bCs/>
          <w:sz w:val="27"/>
          <w:szCs w:val="27"/>
        </w:rPr>
        <w:t>- - - - -</w:t>
      </w:r>
    </w:p>
    <w:p w14:paraId="506E2F1A" w14:textId="7F4E820B" w:rsidR="004E59EA" w:rsidRPr="004E59EA" w:rsidRDefault="00B72576" w:rsidP="004E59EA">
      <w:pPr>
        <w:keepNext/>
        <w:keepLines/>
        <w:spacing w:before="480" w:after="240"/>
        <w:jc w:val="center"/>
        <w:rPr>
          <w:rFonts w:ascii="Arial" w:hAnsi="Arial" w:cs="Arial"/>
          <w:b/>
          <w:szCs w:val="22"/>
        </w:rPr>
      </w:pPr>
      <w:r>
        <w:rPr>
          <w:rFonts w:ascii="Arial" w:hAnsi="Arial" w:cs="Arial"/>
          <w:b/>
          <w:szCs w:val="22"/>
        </w:rPr>
        <w:lastRenderedPageBreak/>
        <w:t xml:space="preserve">Template </w:t>
      </w:r>
      <w:r w:rsidR="00D6634A">
        <w:rPr>
          <w:rFonts w:ascii="Arial" w:hAnsi="Arial" w:cs="Arial"/>
          <w:b/>
          <w:szCs w:val="22"/>
        </w:rPr>
        <w:t>version history</w:t>
      </w:r>
    </w:p>
    <w:tbl>
      <w:tblPr>
        <w:tblW w:w="5000" w:type="pct"/>
        <w:jc w:val="center"/>
        <w:tblLayout w:type="fixed"/>
        <w:tblLook w:val="0000" w:firstRow="0" w:lastRow="0" w:firstColumn="0" w:lastColumn="0" w:noHBand="0" w:noVBand="0"/>
      </w:tblPr>
      <w:tblGrid>
        <w:gridCol w:w="1138"/>
        <w:gridCol w:w="2271"/>
        <w:gridCol w:w="6230"/>
      </w:tblGrid>
      <w:tr w:rsidR="004E59EA" w:rsidRPr="004E59EA" w14:paraId="7E858FC3" w14:textId="77777777" w:rsidTr="1D8EA433">
        <w:trPr>
          <w:trHeight w:val="113"/>
          <w:tblHeader/>
          <w:jc w:val="center"/>
        </w:trPr>
        <w:tc>
          <w:tcPr>
            <w:tcW w:w="1138" w:type="dxa"/>
            <w:tcBorders>
              <w:top w:val="single" w:sz="4" w:space="0" w:color="auto"/>
              <w:bottom w:val="single" w:sz="12" w:space="0" w:color="auto"/>
            </w:tcBorders>
            <w:shd w:val="clear" w:color="auto" w:fill="auto"/>
            <w:tcMar>
              <w:top w:w="80" w:type="dxa"/>
              <w:bottom w:w="80" w:type="dxa"/>
            </w:tcMar>
            <w:vAlign w:val="center"/>
          </w:tcPr>
          <w:p w14:paraId="2E11E445" w14:textId="77777777" w:rsidR="004E59EA" w:rsidRPr="004E59EA" w:rsidRDefault="004E59EA" w:rsidP="004E59EA">
            <w:pPr>
              <w:keepNext/>
              <w:keepLines/>
              <w:jc w:val="both"/>
              <w:rPr>
                <w:rFonts w:ascii="Arial" w:hAnsi="Arial" w:cs="Arial"/>
                <w:i/>
                <w:sz w:val="16"/>
                <w:szCs w:val="16"/>
              </w:rPr>
            </w:pPr>
            <w:r w:rsidRPr="004E59EA">
              <w:rPr>
                <w:rFonts w:ascii="Arial" w:hAnsi="Arial" w:cs="Arial"/>
                <w:i/>
                <w:sz w:val="16"/>
                <w:szCs w:val="16"/>
              </w:rPr>
              <w:t>Version</w:t>
            </w:r>
          </w:p>
        </w:tc>
        <w:tc>
          <w:tcPr>
            <w:tcW w:w="2271" w:type="dxa"/>
            <w:tcBorders>
              <w:top w:val="single" w:sz="4" w:space="0" w:color="auto"/>
              <w:bottom w:val="single" w:sz="12" w:space="0" w:color="auto"/>
            </w:tcBorders>
            <w:shd w:val="clear" w:color="auto" w:fill="auto"/>
            <w:tcMar>
              <w:top w:w="80" w:type="dxa"/>
              <w:bottom w:w="80" w:type="dxa"/>
            </w:tcMar>
            <w:vAlign w:val="center"/>
          </w:tcPr>
          <w:p w14:paraId="7F6EED26" w14:textId="77777777" w:rsidR="004E59EA" w:rsidRPr="004E59EA" w:rsidRDefault="004E59EA" w:rsidP="004E59EA">
            <w:pPr>
              <w:keepNext/>
              <w:keepLines/>
              <w:jc w:val="both"/>
              <w:rPr>
                <w:rFonts w:ascii="Arial" w:hAnsi="Arial" w:cs="Arial"/>
                <w:i/>
                <w:sz w:val="16"/>
                <w:szCs w:val="16"/>
              </w:rPr>
            </w:pPr>
            <w:r w:rsidRPr="004E59EA">
              <w:rPr>
                <w:rFonts w:ascii="Arial" w:hAnsi="Arial" w:cs="Arial"/>
                <w:i/>
                <w:sz w:val="16"/>
                <w:szCs w:val="16"/>
              </w:rPr>
              <w:t>Date of issuance</w:t>
            </w:r>
          </w:p>
        </w:tc>
        <w:tc>
          <w:tcPr>
            <w:tcW w:w="6229" w:type="dxa"/>
            <w:tcBorders>
              <w:top w:val="single" w:sz="4" w:space="0" w:color="auto"/>
              <w:bottom w:val="single" w:sz="12" w:space="0" w:color="auto"/>
            </w:tcBorders>
            <w:shd w:val="clear" w:color="auto" w:fill="auto"/>
            <w:tcMar>
              <w:top w:w="80" w:type="dxa"/>
              <w:bottom w:w="80" w:type="dxa"/>
            </w:tcMar>
            <w:vAlign w:val="center"/>
          </w:tcPr>
          <w:p w14:paraId="5D8CD2F3" w14:textId="77777777" w:rsidR="004E59EA" w:rsidRPr="004E59EA" w:rsidRDefault="004E59EA" w:rsidP="004E59EA">
            <w:pPr>
              <w:keepNext/>
              <w:keepLines/>
              <w:jc w:val="both"/>
              <w:rPr>
                <w:rFonts w:ascii="Arial" w:hAnsi="Arial" w:cs="Arial"/>
                <w:i/>
                <w:sz w:val="16"/>
                <w:szCs w:val="16"/>
              </w:rPr>
            </w:pPr>
            <w:r w:rsidRPr="004E59EA">
              <w:rPr>
                <w:rFonts w:ascii="Arial" w:hAnsi="Arial" w:cs="Arial"/>
                <w:i/>
                <w:sz w:val="16"/>
                <w:szCs w:val="16"/>
              </w:rPr>
              <w:t>Description</w:t>
            </w:r>
          </w:p>
        </w:tc>
      </w:tr>
      <w:tr w:rsidR="00572491" w:rsidRPr="004E59EA" w14:paraId="6277FD29" w14:textId="77777777" w:rsidTr="1D8EA433">
        <w:trPr>
          <w:trHeight w:val="113"/>
          <w:jc w:val="center"/>
        </w:trPr>
        <w:tc>
          <w:tcPr>
            <w:tcW w:w="1138" w:type="dxa"/>
          </w:tcPr>
          <w:p w14:paraId="45386415" w14:textId="70D1339B" w:rsidR="00572491" w:rsidRPr="004E59EA" w:rsidRDefault="00572491" w:rsidP="004E59EA">
            <w:pPr>
              <w:suppressAutoHyphens/>
              <w:autoSpaceDE w:val="0"/>
              <w:autoSpaceDN w:val="0"/>
              <w:adjustRightInd w:val="0"/>
              <w:spacing w:line="240" w:lineRule="atLeast"/>
              <w:rPr>
                <w:rFonts w:ascii="Arial" w:eastAsia="SimSun" w:hAnsi="Arial" w:cs="Arial"/>
                <w:sz w:val="20"/>
                <w:lang w:val="en-US" w:eastAsia="zh-CN"/>
              </w:rPr>
            </w:pPr>
            <w:r>
              <w:rPr>
                <w:rFonts w:ascii="Arial" w:eastAsia="SimSun" w:hAnsi="Arial" w:cs="Arial"/>
                <w:sz w:val="20"/>
                <w:lang w:val="en-US" w:eastAsia="zh-CN"/>
              </w:rPr>
              <w:t xml:space="preserve">02.0 </w:t>
            </w:r>
          </w:p>
        </w:tc>
        <w:tc>
          <w:tcPr>
            <w:tcW w:w="2271" w:type="dxa"/>
          </w:tcPr>
          <w:p w14:paraId="1F64648E" w14:textId="6E1C8EA7" w:rsidR="00572491" w:rsidRPr="004E59EA" w:rsidRDefault="00212181" w:rsidP="004E59EA">
            <w:pPr>
              <w:suppressAutoHyphens/>
              <w:autoSpaceDE w:val="0"/>
              <w:autoSpaceDN w:val="0"/>
              <w:adjustRightInd w:val="0"/>
              <w:spacing w:line="240" w:lineRule="atLeast"/>
              <w:rPr>
                <w:rFonts w:ascii="Arial" w:eastAsia="SimSun" w:hAnsi="Arial" w:cs="Arial"/>
                <w:sz w:val="20"/>
                <w:lang w:val="en-US" w:eastAsia="zh-CN"/>
              </w:rPr>
            </w:pPr>
            <w:r>
              <w:rPr>
                <w:rFonts w:ascii="Arial" w:eastAsia="SimSun" w:hAnsi="Arial" w:cs="Arial"/>
                <w:sz w:val="20"/>
                <w:lang w:val="en-US" w:eastAsia="zh-CN"/>
              </w:rPr>
              <w:t>1</w:t>
            </w:r>
            <w:r w:rsidR="006B4878">
              <w:rPr>
                <w:rFonts w:ascii="Arial" w:eastAsia="SimSun" w:hAnsi="Arial" w:cs="Arial"/>
                <w:sz w:val="20"/>
                <w:lang w:val="en-US" w:eastAsia="zh-CN"/>
              </w:rPr>
              <w:t>5</w:t>
            </w:r>
            <w:r>
              <w:rPr>
                <w:rFonts w:ascii="Arial" w:eastAsia="SimSun" w:hAnsi="Arial" w:cs="Arial"/>
                <w:sz w:val="20"/>
                <w:lang w:val="en-US" w:eastAsia="zh-CN"/>
              </w:rPr>
              <w:t xml:space="preserve"> </w:t>
            </w:r>
            <w:r w:rsidR="00572491">
              <w:rPr>
                <w:rFonts w:ascii="Arial" w:eastAsia="SimSun" w:hAnsi="Arial" w:cs="Arial"/>
                <w:sz w:val="20"/>
                <w:lang w:val="en-US" w:eastAsia="zh-CN"/>
              </w:rPr>
              <w:t>April 2025</w:t>
            </w:r>
          </w:p>
        </w:tc>
        <w:tc>
          <w:tcPr>
            <w:tcW w:w="6229" w:type="dxa"/>
          </w:tcPr>
          <w:p w14:paraId="697256C7" w14:textId="08269813" w:rsidR="00572491" w:rsidRPr="0030545B" w:rsidRDefault="00572491" w:rsidP="004E59EA">
            <w:pPr>
              <w:suppressAutoHyphens/>
              <w:spacing w:after="120" w:line="240" w:lineRule="atLeast"/>
              <w:rPr>
                <w:rFonts w:asciiTheme="minorBidi" w:eastAsia="SimSun" w:hAnsiTheme="minorBidi" w:cstheme="minorBidi"/>
                <w:sz w:val="20"/>
                <w:lang w:val="en-US" w:eastAsia="zh-CN"/>
              </w:rPr>
            </w:pPr>
            <w:r w:rsidRPr="0030545B">
              <w:rPr>
                <w:rFonts w:asciiTheme="minorBidi" w:eastAsia="SimSun" w:hAnsiTheme="minorBidi" w:cstheme="minorBidi"/>
                <w:sz w:val="20"/>
                <w:lang w:val="en-US" w:eastAsia="zh-CN"/>
              </w:rPr>
              <w:t>Revision to</w:t>
            </w:r>
            <w:r w:rsidR="00780460" w:rsidRPr="0026367B">
              <w:rPr>
                <w:rFonts w:asciiTheme="minorBidi" w:hAnsiTheme="minorBidi" w:cstheme="minorBidi"/>
                <w:sz w:val="20"/>
                <w:lang w:val="en-US"/>
              </w:rPr>
              <w:t xml:space="preserve"> include the supplementary elements of information in initial report and any updated initial report as per decision 4/CMA.6, annex I.</w:t>
            </w:r>
          </w:p>
        </w:tc>
      </w:tr>
      <w:tr w:rsidR="00572491" w:rsidRPr="004E59EA" w14:paraId="722D1311" w14:textId="77777777" w:rsidTr="1D8EA433">
        <w:trPr>
          <w:trHeight w:val="113"/>
          <w:jc w:val="center"/>
        </w:trPr>
        <w:tc>
          <w:tcPr>
            <w:tcW w:w="1138" w:type="dxa"/>
          </w:tcPr>
          <w:p w14:paraId="5C43D254" w14:textId="7DC2AF0D" w:rsidR="00572491" w:rsidRPr="004E59EA" w:rsidRDefault="00572491" w:rsidP="004E59EA">
            <w:pPr>
              <w:suppressAutoHyphens/>
              <w:autoSpaceDE w:val="0"/>
              <w:autoSpaceDN w:val="0"/>
              <w:adjustRightInd w:val="0"/>
              <w:spacing w:line="240" w:lineRule="atLeast"/>
              <w:rPr>
                <w:rFonts w:ascii="Arial" w:eastAsia="SimSun" w:hAnsi="Arial" w:cs="Arial"/>
                <w:sz w:val="20"/>
                <w:lang w:val="en-US" w:eastAsia="zh-CN"/>
              </w:rPr>
            </w:pPr>
            <w:r>
              <w:rPr>
                <w:rFonts w:ascii="Arial" w:eastAsia="SimSun" w:hAnsi="Arial" w:cs="Arial"/>
                <w:sz w:val="20"/>
                <w:lang w:val="en-US" w:eastAsia="zh-CN"/>
              </w:rPr>
              <w:t>01.1</w:t>
            </w:r>
          </w:p>
        </w:tc>
        <w:tc>
          <w:tcPr>
            <w:tcW w:w="2271" w:type="dxa"/>
          </w:tcPr>
          <w:p w14:paraId="30E8D076" w14:textId="76E56473" w:rsidR="00572491" w:rsidRPr="004E59EA" w:rsidRDefault="00572491" w:rsidP="004E59EA">
            <w:pPr>
              <w:suppressAutoHyphens/>
              <w:autoSpaceDE w:val="0"/>
              <w:autoSpaceDN w:val="0"/>
              <w:adjustRightInd w:val="0"/>
              <w:spacing w:line="240" w:lineRule="atLeast"/>
              <w:rPr>
                <w:rFonts w:ascii="Arial" w:eastAsia="SimSun" w:hAnsi="Arial" w:cs="Arial"/>
                <w:sz w:val="20"/>
                <w:lang w:val="en-US" w:eastAsia="zh-CN"/>
              </w:rPr>
            </w:pPr>
            <w:r>
              <w:rPr>
                <w:rFonts w:ascii="Arial" w:eastAsia="SimSun" w:hAnsi="Arial" w:cs="Arial"/>
                <w:sz w:val="20"/>
                <w:lang w:val="en-US" w:eastAsia="zh-CN"/>
              </w:rPr>
              <w:t xml:space="preserve">10 May 2023 </w:t>
            </w:r>
          </w:p>
        </w:tc>
        <w:tc>
          <w:tcPr>
            <w:tcW w:w="6229" w:type="dxa"/>
          </w:tcPr>
          <w:p w14:paraId="6E920094" w14:textId="109152C9" w:rsidR="00572491" w:rsidRPr="004E59EA" w:rsidRDefault="00572491" w:rsidP="004E59EA">
            <w:pPr>
              <w:suppressAutoHyphens/>
              <w:spacing w:after="120" w:line="240" w:lineRule="atLeast"/>
              <w:rPr>
                <w:rFonts w:ascii="Arial" w:eastAsia="SimSun" w:hAnsi="Arial" w:cs="Arial"/>
                <w:sz w:val="20"/>
                <w:lang w:val="en-US" w:eastAsia="zh-CN"/>
              </w:rPr>
            </w:pPr>
            <w:r>
              <w:rPr>
                <w:rFonts w:ascii="Arial" w:eastAsia="SimSun" w:hAnsi="Arial" w:cs="Arial"/>
                <w:sz w:val="20"/>
                <w:lang w:val="en-US" w:eastAsia="zh-CN"/>
              </w:rPr>
              <w:t xml:space="preserve">Extension of the head table containing the details of the submission. </w:t>
            </w:r>
          </w:p>
        </w:tc>
      </w:tr>
      <w:tr w:rsidR="004E59EA" w:rsidRPr="004E59EA" w14:paraId="5C1DE94E" w14:textId="77777777" w:rsidTr="1D8EA433">
        <w:trPr>
          <w:trHeight w:val="113"/>
          <w:jc w:val="center"/>
        </w:trPr>
        <w:tc>
          <w:tcPr>
            <w:tcW w:w="1138" w:type="dxa"/>
            <w:tcBorders>
              <w:bottom w:val="single" w:sz="4" w:space="0" w:color="auto"/>
            </w:tcBorders>
          </w:tcPr>
          <w:p w14:paraId="64E923B9" w14:textId="322E201F" w:rsidR="004E59EA" w:rsidRPr="004E59EA" w:rsidRDefault="004E59EA" w:rsidP="004E59EA">
            <w:pPr>
              <w:suppressAutoHyphens/>
              <w:autoSpaceDE w:val="0"/>
              <w:autoSpaceDN w:val="0"/>
              <w:adjustRightInd w:val="0"/>
              <w:spacing w:line="240" w:lineRule="atLeast"/>
              <w:rPr>
                <w:rFonts w:ascii="Arial" w:eastAsia="SimSun" w:hAnsi="Arial" w:cs="Arial"/>
                <w:sz w:val="20"/>
                <w:lang w:val="en-US" w:eastAsia="zh-CN"/>
              </w:rPr>
            </w:pPr>
            <w:r w:rsidRPr="004E59EA">
              <w:rPr>
                <w:rFonts w:ascii="Arial" w:eastAsia="SimSun" w:hAnsi="Arial" w:cs="Arial"/>
                <w:sz w:val="20"/>
                <w:lang w:val="en-US" w:eastAsia="zh-CN"/>
              </w:rPr>
              <w:t>01</w:t>
            </w:r>
            <w:r w:rsidR="00572491">
              <w:rPr>
                <w:rFonts w:ascii="Arial" w:eastAsia="SimSun" w:hAnsi="Arial" w:cs="Arial"/>
                <w:sz w:val="20"/>
                <w:lang w:val="en-US" w:eastAsia="zh-CN"/>
              </w:rPr>
              <w:t>.0</w:t>
            </w:r>
          </w:p>
        </w:tc>
        <w:tc>
          <w:tcPr>
            <w:tcW w:w="2271" w:type="dxa"/>
            <w:tcBorders>
              <w:bottom w:val="single" w:sz="4" w:space="0" w:color="auto"/>
            </w:tcBorders>
          </w:tcPr>
          <w:p w14:paraId="5F0C6206" w14:textId="323F1682" w:rsidR="004E59EA" w:rsidRPr="004E59EA" w:rsidRDefault="00572491" w:rsidP="004E59EA">
            <w:pPr>
              <w:suppressAutoHyphens/>
              <w:autoSpaceDE w:val="0"/>
              <w:autoSpaceDN w:val="0"/>
              <w:adjustRightInd w:val="0"/>
              <w:spacing w:line="240" w:lineRule="atLeast"/>
              <w:rPr>
                <w:rFonts w:ascii="Arial" w:eastAsia="SimSun" w:hAnsi="Arial" w:cs="Arial"/>
                <w:sz w:val="20"/>
                <w:lang w:val="en-US" w:eastAsia="zh-CN"/>
              </w:rPr>
            </w:pPr>
            <w:r>
              <w:rPr>
                <w:rFonts w:ascii="Arial" w:eastAsia="SimSun" w:hAnsi="Arial" w:cs="Arial"/>
                <w:sz w:val="20"/>
                <w:lang w:val="en-US" w:eastAsia="zh-CN"/>
              </w:rPr>
              <w:t>31</w:t>
            </w:r>
            <w:r w:rsidR="004E59EA" w:rsidRPr="004E59EA">
              <w:rPr>
                <w:rFonts w:ascii="Arial" w:eastAsia="SimSun" w:hAnsi="Arial" w:cs="Arial"/>
                <w:sz w:val="20"/>
                <w:lang w:val="en-US" w:eastAsia="zh-CN"/>
              </w:rPr>
              <w:t xml:space="preserve"> January 202</w:t>
            </w:r>
            <w:r>
              <w:rPr>
                <w:rFonts w:ascii="Arial" w:eastAsia="SimSun" w:hAnsi="Arial" w:cs="Arial"/>
                <w:sz w:val="20"/>
                <w:lang w:val="en-US" w:eastAsia="zh-CN"/>
              </w:rPr>
              <w:t>3</w:t>
            </w:r>
          </w:p>
        </w:tc>
        <w:tc>
          <w:tcPr>
            <w:tcW w:w="6229" w:type="dxa"/>
            <w:tcBorders>
              <w:bottom w:val="single" w:sz="4" w:space="0" w:color="auto"/>
            </w:tcBorders>
          </w:tcPr>
          <w:p w14:paraId="791956A5" w14:textId="77777777" w:rsidR="004E59EA" w:rsidRPr="004E59EA" w:rsidRDefault="004E59EA" w:rsidP="004E59EA">
            <w:pPr>
              <w:suppressAutoHyphens/>
              <w:spacing w:after="120" w:line="240" w:lineRule="atLeast"/>
              <w:rPr>
                <w:rFonts w:ascii="Arial" w:eastAsia="SimSun" w:hAnsi="Arial" w:cs="Arial"/>
                <w:sz w:val="20"/>
                <w:lang w:val="en-US" w:eastAsia="zh-CN"/>
              </w:rPr>
            </w:pPr>
            <w:r w:rsidRPr="004E59EA">
              <w:rPr>
                <w:rFonts w:ascii="Arial" w:eastAsia="SimSun" w:hAnsi="Arial" w:cs="Arial"/>
                <w:sz w:val="20"/>
                <w:lang w:val="en-US" w:eastAsia="zh-CN"/>
              </w:rPr>
              <w:t>Initial publication of the template.</w:t>
            </w:r>
          </w:p>
        </w:tc>
      </w:tr>
      <w:tr w:rsidR="004E59EA" w:rsidRPr="004E59EA" w14:paraId="08F22313" w14:textId="77777777" w:rsidTr="1D8EA433">
        <w:trPr>
          <w:trHeight w:val="113"/>
          <w:jc w:val="center"/>
        </w:trPr>
        <w:tc>
          <w:tcPr>
            <w:tcW w:w="9638" w:type="dxa"/>
            <w:gridSpan w:val="3"/>
            <w:tcBorders>
              <w:top w:val="single" w:sz="4" w:space="0" w:color="auto"/>
              <w:bottom w:val="single" w:sz="12" w:space="0" w:color="auto"/>
            </w:tcBorders>
            <w:vAlign w:val="center"/>
          </w:tcPr>
          <w:p w14:paraId="028C4ECC" w14:textId="77777777" w:rsidR="004E59EA" w:rsidRPr="004E59EA" w:rsidRDefault="004E59EA" w:rsidP="004E59EA">
            <w:pPr>
              <w:numPr>
                <w:ilvl w:val="0"/>
                <w:numId w:val="17"/>
              </w:numPr>
              <w:suppressAutoHyphens/>
              <w:spacing w:before="80" w:after="80" w:line="240" w:lineRule="atLeast"/>
              <w:jc w:val="both"/>
              <w:rPr>
                <w:rFonts w:ascii="Arial" w:hAnsi="Arial" w:cs="Arial"/>
                <w:sz w:val="20"/>
                <w:lang w:val="en-US"/>
              </w:rPr>
            </w:pPr>
            <w:r w:rsidRPr="004E59EA">
              <w:rPr>
                <w:rFonts w:ascii="Arial" w:hAnsi="Arial" w:cs="Arial"/>
                <w:sz w:val="20"/>
                <w:lang w:val="en-US"/>
              </w:rPr>
              <w:t>Mechanism: Article 6.2 of the Paris Agreement</w:t>
            </w:r>
          </w:p>
          <w:p w14:paraId="5BB7AC71" w14:textId="5E0F9C9D" w:rsidR="004E59EA" w:rsidRPr="006D387A" w:rsidRDefault="004E59EA" w:rsidP="1D8EA433">
            <w:pPr>
              <w:numPr>
                <w:ilvl w:val="0"/>
                <w:numId w:val="17"/>
              </w:numPr>
              <w:suppressAutoHyphens/>
              <w:spacing w:before="80" w:after="80" w:line="240" w:lineRule="atLeast"/>
              <w:jc w:val="both"/>
              <w:rPr>
                <w:rFonts w:ascii="Arial" w:hAnsi="Arial" w:cs="Arial"/>
                <w:sz w:val="20"/>
                <w:lang w:val="en-US"/>
              </w:rPr>
            </w:pPr>
            <w:r w:rsidRPr="1D8EA433">
              <w:rPr>
                <w:rFonts w:ascii="Arial" w:hAnsi="Arial" w:cs="Arial"/>
                <w:sz w:val="20"/>
                <w:lang w:val="en-US"/>
              </w:rPr>
              <w:t xml:space="preserve">Mandate: Decision 2/CMA.3, annex, </w:t>
            </w:r>
            <w:r w:rsidR="00B055FB" w:rsidRPr="1D8EA433">
              <w:rPr>
                <w:rFonts w:ascii="Arial" w:hAnsi="Arial" w:cs="Arial"/>
                <w:sz w:val="20"/>
                <w:lang w:val="en-US"/>
              </w:rPr>
              <w:t>chapter IV.A (initial report</w:t>
            </w:r>
            <w:r w:rsidR="00B055FB" w:rsidRPr="64418580">
              <w:rPr>
                <w:rFonts w:ascii="Arial" w:hAnsi="Arial" w:cs="Arial"/>
                <w:sz w:val="20"/>
                <w:lang w:val="en-US"/>
              </w:rPr>
              <w:t>);</w:t>
            </w:r>
            <w:r w:rsidR="00B055FB" w:rsidRPr="1D8EA433">
              <w:rPr>
                <w:rFonts w:ascii="Arial" w:hAnsi="Arial" w:cs="Arial"/>
                <w:sz w:val="20"/>
                <w:lang w:val="en-US"/>
              </w:rPr>
              <w:t xml:space="preserve"> </w:t>
            </w:r>
            <w:r w:rsidR="006D387A" w:rsidRPr="1D8EA433">
              <w:rPr>
                <w:rFonts w:ascii="Arial" w:hAnsi="Arial" w:cs="Arial"/>
                <w:sz w:val="20"/>
                <w:lang w:val="en-US"/>
              </w:rPr>
              <w:t>Decision 6/CMA.4, annex V (Outline of the initial report and updated initial report</w:t>
            </w:r>
            <w:r w:rsidR="006D387A" w:rsidRPr="64418580">
              <w:rPr>
                <w:rFonts w:ascii="Arial" w:hAnsi="Arial" w:cs="Arial"/>
                <w:sz w:val="20"/>
                <w:lang w:val="en-US"/>
              </w:rPr>
              <w:t>)</w:t>
            </w:r>
            <w:r w:rsidR="00C21981">
              <w:rPr>
                <w:rFonts w:ascii="Arial" w:hAnsi="Arial" w:cs="Arial"/>
                <w:sz w:val="20"/>
                <w:lang w:val="en-US"/>
              </w:rPr>
              <w:t>; Decision 4/CMA.6, annex I.</w:t>
            </w:r>
            <w:r w:rsidR="006D387A" w:rsidRPr="1D8EA433">
              <w:rPr>
                <w:rFonts w:ascii="Arial" w:hAnsi="Arial" w:cs="Arial"/>
                <w:sz w:val="20"/>
                <w:lang w:val="en-US"/>
              </w:rPr>
              <w:t xml:space="preserve"> </w:t>
            </w:r>
          </w:p>
          <w:p w14:paraId="305F5E12" w14:textId="77777777" w:rsidR="004E59EA" w:rsidRPr="004E59EA" w:rsidRDefault="004E59EA" w:rsidP="004E59EA">
            <w:pPr>
              <w:numPr>
                <w:ilvl w:val="0"/>
                <w:numId w:val="17"/>
              </w:numPr>
              <w:suppressAutoHyphens/>
              <w:spacing w:before="80" w:after="80" w:line="240" w:lineRule="atLeast"/>
              <w:jc w:val="both"/>
              <w:rPr>
                <w:rFonts w:ascii="Arial" w:hAnsi="Arial" w:cs="Arial"/>
                <w:sz w:val="20"/>
                <w:lang w:val="en-US"/>
              </w:rPr>
            </w:pPr>
            <w:r w:rsidRPr="004E59EA">
              <w:rPr>
                <w:rFonts w:ascii="Arial" w:hAnsi="Arial" w:cs="Arial"/>
                <w:sz w:val="20"/>
                <w:lang w:val="en-US"/>
              </w:rPr>
              <w:t>Function: Reporting</w:t>
            </w:r>
          </w:p>
          <w:p w14:paraId="55A89C0C" w14:textId="0C905BA2" w:rsidR="004E59EA" w:rsidRPr="004E59EA" w:rsidRDefault="004E59EA" w:rsidP="004E59EA">
            <w:pPr>
              <w:numPr>
                <w:ilvl w:val="0"/>
                <w:numId w:val="17"/>
              </w:numPr>
              <w:suppressAutoHyphens/>
              <w:spacing w:before="80" w:after="80" w:line="240" w:lineRule="atLeast"/>
              <w:jc w:val="both"/>
              <w:rPr>
                <w:rFonts w:ascii="Arial" w:hAnsi="Arial" w:cs="Arial"/>
                <w:sz w:val="20"/>
                <w:lang w:val="en-US"/>
              </w:rPr>
            </w:pPr>
            <w:r w:rsidRPr="004E59EA">
              <w:rPr>
                <w:rFonts w:ascii="Arial" w:hAnsi="Arial" w:cs="Arial"/>
                <w:sz w:val="20"/>
                <w:lang w:val="en-US"/>
              </w:rPr>
              <w:t xml:space="preserve">Process: Party submission of </w:t>
            </w:r>
            <w:r w:rsidR="00865216">
              <w:rPr>
                <w:rFonts w:ascii="Arial" w:hAnsi="Arial" w:cs="Arial"/>
                <w:sz w:val="20"/>
                <w:lang w:val="en-US"/>
              </w:rPr>
              <w:t>initial and updated initial report</w:t>
            </w:r>
          </w:p>
          <w:p w14:paraId="40776B73" w14:textId="7C9BD8D5" w:rsidR="004E59EA" w:rsidRPr="004E59EA" w:rsidRDefault="004E59EA" w:rsidP="004E59EA">
            <w:pPr>
              <w:keepNext/>
              <w:keepLines/>
              <w:spacing w:before="80" w:after="80"/>
              <w:rPr>
                <w:rFonts w:ascii="Arial" w:hAnsi="Arial" w:cs="Arial"/>
                <w:sz w:val="20"/>
                <w:lang w:val="en-US"/>
              </w:rPr>
            </w:pPr>
            <w:r w:rsidRPr="004E59EA">
              <w:rPr>
                <w:rFonts w:ascii="Arial" w:hAnsi="Arial" w:cs="Arial"/>
                <w:sz w:val="20"/>
                <w:lang w:val="en-US"/>
              </w:rPr>
              <w:t xml:space="preserve">Document Type: </w:t>
            </w:r>
            <w:r w:rsidR="00865216">
              <w:rPr>
                <w:rFonts w:ascii="Arial" w:hAnsi="Arial" w:cs="Arial"/>
                <w:sz w:val="20"/>
                <w:lang w:val="en-US"/>
              </w:rPr>
              <w:t>Template</w:t>
            </w:r>
          </w:p>
          <w:p w14:paraId="4061F49E" w14:textId="221658FF" w:rsidR="004E59EA" w:rsidRPr="004E59EA" w:rsidRDefault="004E59EA" w:rsidP="004E59EA">
            <w:pPr>
              <w:keepNext/>
              <w:keepLines/>
              <w:spacing w:before="80" w:after="80"/>
              <w:rPr>
                <w:rFonts w:ascii="Arial" w:hAnsi="Arial" w:cs="Arial"/>
                <w:sz w:val="20"/>
              </w:rPr>
            </w:pPr>
            <w:r w:rsidRPr="004E59EA">
              <w:rPr>
                <w:rFonts w:ascii="Arial" w:hAnsi="Arial" w:cs="Arial"/>
                <w:sz w:val="20"/>
              </w:rPr>
              <w:t xml:space="preserve">Keywords: Article 6.2 of Paris Agreement, </w:t>
            </w:r>
            <w:r w:rsidR="00F9160A">
              <w:rPr>
                <w:rFonts w:ascii="Arial" w:hAnsi="Arial" w:cs="Arial"/>
                <w:sz w:val="20"/>
              </w:rPr>
              <w:t xml:space="preserve">CARP, </w:t>
            </w:r>
            <w:r w:rsidR="000533D8">
              <w:rPr>
                <w:rFonts w:ascii="Arial" w:hAnsi="Arial" w:cs="Arial"/>
                <w:sz w:val="20"/>
              </w:rPr>
              <w:t>ITMO cooperative approaches</w:t>
            </w:r>
          </w:p>
        </w:tc>
      </w:tr>
    </w:tbl>
    <w:p w14:paraId="0163C444" w14:textId="77777777" w:rsidR="004E59EA" w:rsidRPr="00DA058C" w:rsidRDefault="004E59EA" w:rsidP="003B4971"/>
    <w:sectPr w:rsidR="004E59EA" w:rsidRPr="00DA058C" w:rsidSect="00376EAC">
      <w:headerReference w:type="default" r:id="rId13"/>
      <w:footerReference w:type="default" r:id="rId14"/>
      <w:headerReference w:type="first" r:id="rId15"/>
      <w:footerReference w:type="first" r:id="rId16"/>
      <w:type w:val="continuous"/>
      <w:pgSz w:w="11907" w:h="16840" w:code="9"/>
      <w:pgMar w:top="1021" w:right="1134" w:bottom="1276"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BF1E3" w14:textId="77777777" w:rsidR="006636F6" w:rsidRDefault="006636F6">
      <w:r>
        <w:separator/>
      </w:r>
    </w:p>
    <w:p w14:paraId="744B82E7" w14:textId="77777777" w:rsidR="006636F6" w:rsidRDefault="006636F6"/>
  </w:endnote>
  <w:endnote w:type="continuationSeparator" w:id="0">
    <w:p w14:paraId="191AAEC1" w14:textId="77777777" w:rsidR="006636F6" w:rsidRDefault="006636F6">
      <w:r>
        <w:continuationSeparator/>
      </w:r>
    </w:p>
    <w:p w14:paraId="2FAED3DE" w14:textId="77777777" w:rsidR="006636F6" w:rsidRDefault="006636F6"/>
  </w:endnote>
  <w:endnote w:type="continuationNotice" w:id="1">
    <w:p w14:paraId="402037F3" w14:textId="77777777" w:rsidR="006636F6" w:rsidRDefault="00663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76D1" w14:textId="6B0AB0BD" w:rsidR="001C77A5" w:rsidRPr="0016474F" w:rsidRDefault="001C77A5" w:rsidP="0016474F">
    <w:pPr>
      <w:pStyle w:val="FooterF"/>
    </w:pPr>
    <w:r>
      <w:t>Version 0</w:t>
    </w:r>
    <w:r w:rsidR="004B2582">
      <w:t>2</w:t>
    </w:r>
    <w:r>
      <w:t>.0</w:t>
    </w:r>
    <w:r w:rsidRPr="0016474F">
      <w:tab/>
      <w:t xml:space="preserve">Page </w:t>
    </w:r>
    <w:r w:rsidRPr="0016474F">
      <w:fldChar w:fldCharType="begin"/>
    </w:r>
    <w:r w:rsidRPr="0016474F">
      <w:instrText xml:space="preserve"> PAGE </w:instrText>
    </w:r>
    <w:r w:rsidRPr="0016474F">
      <w:fldChar w:fldCharType="separate"/>
    </w:r>
    <w:r w:rsidR="00C34189">
      <w:rPr>
        <w:noProof/>
      </w:rPr>
      <w:t>1</w:t>
    </w:r>
    <w:r w:rsidRPr="0016474F">
      <w:fldChar w:fldCharType="end"/>
    </w:r>
    <w:r w:rsidRPr="0016474F">
      <w:t xml:space="preserve"> of </w:t>
    </w:r>
    <w:r>
      <w:fldChar w:fldCharType="begin"/>
    </w:r>
    <w:r>
      <w:instrText>NUMPAGES</w:instrText>
    </w:r>
    <w:r>
      <w:fldChar w:fldCharType="separate"/>
    </w:r>
    <w:r w:rsidR="00C34189">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25AD" w14:textId="77777777" w:rsidR="001C77A5" w:rsidRPr="0007591F" w:rsidRDefault="001C77A5" w:rsidP="00616C84">
    <w:pPr>
      <w:pStyle w:val="Footer"/>
      <w:tabs>
        <w:tab w:val="clear" w:pos="4320"/>
        <w:tab w:val="clear" w:pos="8640"/>
        <w:tab w:val="right" w:pos="9356"/>
      </w:tabs>
      <w:rPr>
        <w:rFonts w:ascii="Arial" w:hAnsi="Arial" w:cs="Arial"/>
        <w:sz w:val="18"/>
        <w:szCs w:val="18"/>
        <w:lang w:val="en-US"/>
      </w:rPr>
    </w:pPr>
    <w:r w:rsidRPr="0007591F">
      <w:rPr>
        <w:rFonts w:ascii="Arial" w:hAnsi="Arial" w:cs="Arial"/>
        <w:sz w:val="18"/>
        <w:szCs w:val="18"/>
        <w:lang w:val="en-US"/>
      </w:rPr>
      <w:t xml:space="preserve">Version 02.0 </w:t>
    </w:r>
    <w:r w:rsidRPr="0007591F">
      <w:rPr>
        <w:rFonts w:ascii="Arial" w:hAnsi="Arial" w:cs="Arial"/>
        <w:sz w:val="18"/>
        <w:szCs w:val="18"/>
        <w:lang w:val="en-US"/>
      </w:rPr>
      <w:tab/>
      <w:t xml:space="preserve">Page </w:t>
    </w:r>
    <w:r w:rsidRPr="0007591F">
      <w:rPr>
        <w:rStyle w:val="PageNumber"/>
        <w:rFonts w:ascii="Arial" w:hAnsi="Arial" w:cs="Arial"/>
        <w:sz w:val="18"/>
        <w:szCs w:val="18"/>
      </w:rPr>
      <w:fldChar w:fldCharType="begin"/>
    </w:r>
    <w:r w:rsidRPr="0007591F">
      <w:rPr>
        <w:rStyle w:val="PageNumber"/>
        <w:rFonts w:ascii="Arial" w:hAnsi="Arial" w:cs="Arial"/>
        <w:sz w:val="18"/>
        <w:szCs w:val="18"/>
      </w:rPr>
      <w:instrText xml:space="preserve"> PAGE </w:instrText>
    </w:r>
    <w:r w:rsidRPr="0007591F">
      <w:rPr>
        <w:rStyle w:val="PageNumber"/>
        <w:rFonts w:ascii="Arial" w:hAnsi="Arial" w:cs="Arial"/>
        <w:sz w:val="18"/>
        <w:szCs w:val="18"/>
      </w:rPr>
      <w:fldChar w:fldCharType="separate"/>
    </w:r>
    <w:r>
      <w:rPr>
        <w:rStyle w:val="PageNumber"/>
        <w:rFonts w:ascii="Arial" w:hAnsi="Arial" w:cs="Arial"/>
        <w:noProof/>
        <w:sz w:val="18"/>
        <w:szCs w:val="18"/>
      </w:rPr>
      <w:t>10</w:t>
    </w:r>
    <w:r w:rsidRPr="0007591F">
      <w:rPr>
        <w:rStyle w:val="PageNumber"/>
        <w:rFonts w:ascii="Arial" w:hAnsi="Arial" w:cs="Arial"/>
        <w:sz w:val="18"/>
        <w:szCs w:val="18"/>
      </w:rPr>
      <w:fldChar w:fldCharType="end"/>
    </w:r>
    <w:r w:rsidRPr="0007591F">
      <w:rPr>
        <w:rStyle w:val="PageNumber"/>
        <w:rFonts w:ascii="Arial" w:hAnsi="Arial" w:cs="Arial"/>
        <w:sz w:val="18"/>
        <w:szCs w:val="18"/>
      </w:rPr>
      <w:t xml:space="preserve"> of </w:t>
    </w:r>
    <w:r w:rsidRPr="0007591F">
      <w:rPr>
        <w:rStyle w:val="PageNumber"/>
        <w:rFonts w:ascii="Arial" w:hAnsi="Arial" w:cs="Arial"/>
        <w:sz w:val="18"/>
        <w:szCs w:val="18"/>
      </w:rPr>
      <w:fldChar w:fldCharType="begin"/>
    </w:r>
    <w:r w:rsidRPr="0007591F">
      <w:rPr>
        <w:rStyle w:val="PageNumber"/>
        <w:rFonts w:ascii="Arial" w:hAnsi="Arial" w:cs="Arial"/>
        <w:sz w:val="18"/>
        <w:szCs w:val="18"/>
      </w:rPr>
      <w:instrText xml:space="preserve"> NUMPAGES </w:instrText>
    </w:r>
    <w:r w:rsidRPr="0007591F">
      <w:rPr>
        <w:rStyle w:val="PageNumber"/>
        <w:rFonts w:ascii="Arial" w:hAnsi="Arial" w:cs="Arial"/>
        <w:sz w:val="18"/>
        <w:szCs w:val="18"/>
      </w:rPr>
      <w:fldChar w:fldCharType="separate"/>
    </w:r>
    <w:r w:rsidR="00895ACA">
      <w:rPr>
        <w:rStyle w:val="PageNumber"/>
        <w:rFonts w:ascii="Arial" w:hAnsi="Arial" w:cs="Arial"/>
        <w:noProof/>
        <w:sz w:val="18"/>
        <w:szCs w:val="18"/>
      </w:rPr>
      <w:t>12</w:t>
    </w:r>
    <w:r w:rsidRPr="0007591F">
      <w:rPr>
        <w:rStyle w:val="PageNumber"/>
        <w:rFonts w:ascii="Arial" w:hAnsi="Arial" w:cs="Arial"/>
        <w:sz w:val="18"/>
        <w:szCs w:val="18"/>
      </w:rPr>
      <w:fldChar w:fldCharType="end"/>
    </w:r>
  </w:p>
  <w:p w14:paraId="537234FD" w14:textId="77777777" w:rsidR="001C77A5" w:rsidRDefault="001C77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05717" w14:textId="77777777" w:rsidR="006636F6" w:rsidRDefault="006636F6">
      <w:r>
        <w:separator/>
      </w:r>
    </w:p>
    <w:p w14:paraId="4229DF07" w14:textId="77777777" w:rsidR="006636F6" w:rsidRDefault="006636F6"/>
  </w:footnote>
  <w:footnote w:type="continuationSeparator" w:id="0">
    <w:p w14:paraId="3CBDE70D" w14:textId="77777777" w:rsidR="006636F6" w:rsidRDefault="006636F6">
      <w:r>
        <w:continuationSeparator/>
      </w:r>
    </w:p>
    <w:p w14:paraId="5C55A979" w14:textId="77777777" w:rsidR="006636F6" w:rsidRDefault="006636F6"/>
  </w:footnote>
  <w:footnote w:type="continuationNotice" w:id="1">
    <w:p w14:paraId="6661397D" w14:textId="77777777" w:rsidR="006636F6" w:rsidRDefault="006636F6"/>
  </w:footnote>
  <w:footnote w:id="2">
    <w:p w14:paraId="6C37B7CC" w14:textId="30EE96D3" w:rsidR="008E224B" w:rsidRPr="005C12BF" w:rsidRDefault="008E224B" w:rsidP="004F6605">
      <w:pPr>
        <w:pStyle w:val="FootnoteText"/>
        <w:ind w:left="142" w:hanging="142"/>
        <w:rPr>
          <w:rFonts w:asciiTheme="minorBidi" w:hAnsiTheme="minorBidi" w:cstheme="minorBidi"/>
          <w:sz w:val="18"/>
          <w:szCs w:val="18"/>
        </w:rPr>
      </w:pPr>
      <w:r w:rsidRPr="00212181">
        <w:rPr>
          <w:rStyle w:val="FootnoteReference"/>
        </w:rPr>
        <w:footnoteRef/>
      </w:r>
      <w:r w:rsidR="00565573" w:rsidRPr="00212181">
        <w:tab/>
      </w:r>
      <w:r w:rsidR="00145F40" w:rsidRPr="00212181">
        <w:rPr>
          <w:rFonts w:asciiTheme="minorBidi" w:hAnsiTheme="minorBidi" w:cstheme="minorBidi"/>
          <w:sz w:val="18"/>
          <w:szCs w:val="18"/>
        </w:rPr>
        <w:t>This template has been developed based on the outline adopted by decision 6/CMA.4. Para 36 of decision 6/CMA.4 further encourages participating Parties to prepare their initial report, updated initial report and annex 4 to the biennial transparency report (Regular information) in accordance with the outlines contained in annexes V and VI respectively, as referred to in decision 2/CMA.3, annex, chapter IV.A (Initial report) and IV.C (Regular information); Supplementary elements of information have been added as per decision 4/CMA.6, annex 1.</w:t>
      </w:r>
    </w:p>
  </w:footnote>
  <w:footnote w:id="3">
    <w:p w14:paraId="16480954" w14:textId="0A719C41" w:rsidR="002C0D30" w:rsidRPr="005C12BF" w:rsidRDefault="002C0D30">
      <w:pPr>
        <w:pStyle w:val="FootnoteText"/>
        <w:rPr>
          <w:rFonts w:asciiTheme="minorBidi" w:hAnsiTheme="minorBidi" w:cstheme="minorBidi"/>
          <w:sz w:val="18"/>
          <w:szCs w:val="18"/>
        </w:rPr>
      </w:pPr>
      <w:r w:rsidRPr="005C12BF">
        <w:rPr>
          <w:rStyle w:val="FootnoteReference"/>
          <w:rFonts w:asciiTheme="minorBidi" w:hAnsiTheme="minorBidi" w:cstheme="minorBidi"/>
          <w:sz w:val="18"/>
          <w:szCs w:val="18"/>
        </w:rPr>
        <w:footnoteRef/>
      </w:r>
      <w:r w:rsidR="00565573" w:rsidRPr="005C12BF">
        <w:rPr>
          <w:rFonts w:asciiTheme="minorBidi" w:hAnsiTheme="minorBidi" w:cstheme="minorBidi"/>
          <w:sz w:val="18"/>
          <w:szCs w:val="18"/>
        </w:rPr>
        <w:tab/>
      </w:r>
      <w:r w:rsidR="007A0A74" w:rsidRPr="005C12BF">
        <w:rPr>
          <w:rFonts w:asciiTheme="minorBidi" w:hAnsiTheme="minorBidi" w:cstheme="minorBidi"/>
          <w:sz w:val="18"/>
          <w:szCs w:val="18"/>
        </w:rPr>
        <w:t xml:space="preserve">The list of the acronyms and abbreviations used in this template are available in decision 6/CMA.4: </w:t>
      </w:r>
      <w:hyperlink r:id="rId1" w:history="1">
        <w:r w:rsidR="007A0A74" w:rsidRPr="005C12BF">
          <w:rPr>
            <w:rStyle w:val="Hyperlink"/>
            <w:rFonts w:asciiTheme="minorBidi" w:hAnsiTheme="minorBidi" w:cstheme="minorBidi"/>
            <w:sz w:val="18"/>
            <w:szCs w:val="18"/>
          </w:rPr>
          <w:t>https://unfccc.int/documents/624474</w:t>
        </w:r>
      </w:hyperlink>
      <w:r w:rsidR="007A0A74" w:rsidRPr="005C12BF">
        <w:rPr>
          <w:rFonts w:asciiTheme="minorBidi" w:hAnsiTheme="minorBidi" w:cstheme="minorBidi"/>
          <w:sz w:val="18"/>
          <w:szCs w:val="18"/>
        </w:rPr>
        <w:t>.</w:t>
      </w:r>
    </w:p>
  </w:footnote>
  <w:footnote w:id="4">
    <w:p w14:paraId="2F9EFBC8" w14:textId="417EC8F2" w:rsidR="0069179F" w:rsidRPr="0069179F" w:rsidRDefault="0069179F">
      <w:pPr>
        <w:pStyle w:val="FootnoteText"/>
      </w:pPr>
      <w:r w:rsidRPr="005C12BF">
        <w:rPr>
          <w:rStyle w:val="FootnoteReference"/>
          <w:rFonts w:asciiTheme="minorBidi" w:hAnsiTheme="minorBidi" w:cstheme="minorBidi"/>
          <w:sz w:val="18"/>
          <w:szCs w:val="18"/>
        </w:rPr>
        <w:footnoteRef/>
      </w:r>
      <w:r w:rsidR="00565573" w:rsidRPr="005C12BF">
        <w:rPr>
          <w:rFonts w:asciiTheme="minorBidi" w:hAnsiTheme="minorBidi" w:cstheme="minorBidi"/>
          <w:sz w:val="18"/>
          <w:szCs w:val="18"/>
        </w:rPr>
        <w:tab/>
        <w:t>References to chapters and paragraphs in the outline are to chapters and paragraphs in the annex to decision 2/CMA.3, unless stated otherwise. “Article” refers to an Article of the Paris Agreement.</w:t>
      </w:r>
    </w:p>
  </w:footnote>
  <w:footnote w:id="5">
    <w:p w14:paraId="0B2A7FCD" w14:textId="29D0CA79" w:rsidR="00503CA1" w:rsidRPr="00212181" w:rsidRDefault="00503CA1" w:rsidP="004F6605">
      <w:pPr>
        <w:pStyle w:val="FootnoteText"/>
        <w:ind w:left="142" w:hanging="142"/>
        <w:rPr>
          <w:rFonts w:asciiTheme="minorBidi" w:hAnsiTheme="minorBidi" w:cstheme="minorBidi"/>
          <w:sz w:val="18"/>
          <w:szCs w:val="18"/>
        </w:rPr>
      </w:pPr>
      <w:r w:rsidRPr="00212181">
        <w:rPr>
          <w:rStyle w:val="FootnoteReference"/>
        </w:rPr>
        <w:footnoteRef/>
      </w:r>
      <w:r w:rsidR="00687F8C" w:rsidRPr="00212181">
        <w:tab/>
      </w:r>
      <w:r w:rsidR="00687F8C" w:rsidRPr="00212181">
        <w:rPr>
          <w:rFonts w:asciiTheme="minorBidi" w:hAnsiTheme="minorBidi" w:cstheme="minorBidi"/>
          <w:sz w:val="18"/>
          <w:szCs w:val="18"/>
        </w:rPr>
        <w:t>D</w:t>
      </w:r>
      <w:r w:rsidRPr="00212181">
        <w:rPr>
          <w:rFonts w:asciiTheme="minorBidi" w:hAnsiTheme="minorBidi" w:cstheme="minorBidi"/>
          <w:sz w:val="18"/>
          <w:szCs w:val="18"/>
        </w:rPr>
        <w:t xml:space="preserve">ecision 4/CMA.6 </w:t>
      </w:r>
      <w:r w:rsidR="00C21FB3">
        <w:rPr>
          <w:rFonts w:asciiTheme="minorBidi" w:hAnsiTheme="minorBidi" w:cstheme="minorBidi"/>
          <w:sz w:val="18"/>
          <w:szCs w:val="18"/>
        </w:rPr>
        <w:t>para. 18 r</w:t>
      </w:r>
      <w:r w:rsidRPr="00212181">
        <w:rPr>
          <w:rFonts w:asciiTheme="minorBidi" w:hAnsiTheme="minorBidi" w:cstheme="minorBidi"/>
          <w:sz w:val="18"/>
          <w:szCs w:val="18"/>
        </w:rPr>
        <w:t>equests each participating Party to incorporate the elements contained in annex I when providing information in its initial report and any updated initial reports, as referred to in decision 2/CMA.3, annex, paragraphs 18–19, as relevant. These elements are supplementary elements of information. These elements are referred to across the template as supplementary elements and are written in italic to differentiate them from the initial elements of the outline of the initial and updated initial reports.</w:t>
      </w:r>
    </w:p>
  </w:footnote>
  <w:footnote w:id="6">
    <w:p w14:paraId="7F6778EF" w14:textId="4EEF8E9D" w:rsidR="00503CA1" w:rsidRPr="00F245C0" w:rsidRDefault="00503CA1" w:rsidP="005C12BF">
      <w:pPr>
        <w:pStyle w:val="FootnoteText"/>
        <w:ind w:left="142" w:hanging="142"/>
        <w:rPr>
          <w:lang w:val="en-US"/>
        </w:rPr>
      </w:pPr>
      <w:r w:rsidRPr="00FC0168">
        <w:rPr>
          <w:rStyle w:val="FootnoteReference"/>
        </w:rPr>
        <w:footnoteRef/>
      </w:r>
      <w:r w:rsidR="004F6605" w:rsidRPr="00FC0168">
        <w:rPr>
          <w:rStyle w:val="FootnoteReference"/>
        </w:rPr>
        <w:tab/>
      </w:r>
      <w:r w:rsidR="00FC0168">
        <w:rPr>
          <w:rFonts w:asciiTheme="minorBidi" w:hAnsiTheme="minorBidi" w:cstheme="minorBidi"/>
          <w:sz w:val="18"/>
          <w:szCs w:val="18"/>
        </w:rPr>
        <w:t>Ibid</w:t>
      </w:r>
      <w:r w:rsidRPr="005C12BF">
        <w:rPr>
          <w:rFonts w:asciiTheme="minorBidi" w:hAnsiTheme="minorBidi" w:cstheme="minorBidi"/>
          <w:sz w:val="18"/>
          <w:szCs w:val="18"/>
        </w:rPr>
        <w:t>.</w:t>
      </w:r>
    </w:p>
  </w:footnote>
  <w:footnote w:id="7">
    <w:p w14:paraId="1A055AA0" w14:textId="22B0F3A9" w:rsidR="009E75F2" w:rsidRPr="005C12BF" w:rsidRDefault="009E75F2" w:rsidP="005C12BF">
      <w:pPr>
        <w:pStyle w:val="FootnoteText"/>
        <w:ind w:left="142" w:hanging="142"/>
        <w:rPr>
          <w:rFonts w:asciiTheme="minorBidi" w:hAnsiTheme="minorBidi" w:cstheme="minorBidi"/>
          <w:sz w:val="18"/>
          <w:szCs w:val="18"/>
        </w:rPr>
      </w:pPr>
      <w:r w:rsidRPr="00F245C0">
        <w:rPr>
          <w:rStyle w:val="FootnoteReference"/>
        </w:rPr>
        <w:footnoteRef/>
      </w:r>
      <w:r w:rsidR="003B4A6A">
        <w:tab/>
      </w:r>
      <w:r w:rsidR="00FC0168">
        <w:rPr>
          <w:rFonts w:asciiTheme="minorBidi" w:hAnsiTheme="minorBidi" w:cstheme="minorBidi"/>
          <w:sz w:val="18"/>
          <w:szCs w:val="18"/>
        </w:rPr>
        <w:t>Ibid</w:t>
      </w:r>
      <w:r w:rsidRPr="005C12BF">
        <w:rPr>
          <w:rFonts w:asciiTheme="minorBidi" w:hAnsiTheme="minorBidi" w:cstheme="minorBidi"/>
          <w:sz w:val="18"/>
          <w:szCs w:val="18"/>
        </w:rPr>
        <w:t>.</w:t>
      </w:r>
    </w:p>
  </w:footnote>
  <w:footnote w:id="8">
    <w:p w14:paraId="503DA706" w14:textId="68265C54" w:rsidR="003B4A6A" w:rsidRPr="005C12BF" w:rsidRDefault="003B4A6A" w:rsidP="005C12BF">
      <w:pPr>
        <w:pStyle w:val="FootnoteText"/>
        <w:ind w:left="142" w:hanging="142"/>
        <w:rPr>
          <w:rFonts w:asciiTheme="minorBidi" w:hAnsiTheme="minorBidi" w:cstheme="minorBidi"/>
          <w:sz w:val="18"/>
          <w:szCs w:val="18"/>
        </w:rPr>
      </w:pPr>
      <w:r w:rsidRPr="005C12BF">
        <w:rPr>
          <w:rStyle w:val="FootnoteReference"/>
        </w:rPr>
        <w:footnoteRef/>
      </w:r>
      <w:r w:rsidRPr="005C12BF">
        <w:rPr>
          <w:rFonts w:asciiTheme="minorBidi" w:hAnsiTheme="minorBidi" w:cstheme="minorBidi"/>
          <w:sz w:val="18"/>
          <w:szCs w:val="18"/>
        </w:rPr>
        <w:tab/>
      </w:r>
      <w:r w:rsidR="00FC0168">
        <w:rPr>
          <w:rFonts w:asciiTheme="minorBidi" w:hAnsiTheme="minorBidi" w:cstheme="minorBidi"/>
          <w:sz w:val="18"/>
          <w:szCs w:val="18"/>
        </w:rPr>
        <w:t>Ibid</w:t>
      </w:r>
      <w:r w:rsidR="00FC0168" w:rsidRPr="005C12BF">
        <w:rPr>
          <w:rFonts w:asciiTheme="minorBidi" w:hAnsiTheme="minorBidi" w:cstheme="minorBidi"/>
          <w:sz w:val="18"/>
          <w:szCs w:val="18"/>
        </w:rPr>
        <w:t>.</w:t>
      </w:r>
    </w:p>
  </w:footnote>
  <w:footnote w:id="9">
    <w:p w14:paraId="71E328B3" w14:textId="32B04CC8" w:rsidR="00A34229" w:rsidRPr="00CB5C4A" w:rsidRDefault="00A34229" w:rsidP="005C12BF">
      <w:pPr>
        <w:pStyle w:val="FootnoteText"/>
        <w:ind w:left="142" w:hanging="142"/>
        <w:rPr>
          <w:lang w:val="en-US"/>
        </w:rPr>
      </w:pPr>
      <w:r w:rsidRPr="005C12BF">
        <w:rPr>
          <w:rStyle w:val="FootnoteReference"/>
        </w:rPr>
        <w:footnoteRef/>
      </w:r>
      <w:r w:rsidRPr="005C12BF">
        <w:rPr>
          <w:rStyle w:val="FootnoteReference"/>
        </w:rPr>
        <w:tab/>
      </w:r>
      <w:r w:rsidR="00FC0168">
        <w:rPr>
          <w:rFonts w:asciiTheme="minorBidi" w:hAnsiTheme="minorBidi" w:cstheme="minorBidi"/>
          <w:sz w:val="18"/>
          <w:szCs w:val="18"/>
        </w:rPr>
        <w:t>Ibid</w:t>
      </w:r>
      <w:r w:rsidRPr="005C12BF">
        <w:rPr>
          <w:rFonts w:asciiTheme="minorBidi" w:hAnsiTheme="minorBidi" w:cstheme="minorBid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D348" w14:textId="18776B6C" w:rsidR="001C77A5" w:rsidRDefault="1B71F047" w:rsidP="005C527D">
    <w:pPr>
      <w:pStyle w:val="SymbolForm"/>
      <w:spacing w:after="240"/>
    </w:pPr>
    <w:r>
      <w:t>A6.</w:t>
    </w:r>
    <w:r w:rsidR="00323E2C">
      <w:t>2</w:t>
    </w:r>
    <w:r>
      <w:t>-</w:t>
    </w:r>
    <w:r w:rsidR="009C5BE0">
      <w:t>TMPL-RPTG-001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BB32" w14:textId="77777777" w:rsidR="001C77A5" w:rsidRDefault="001C77A5" w:rsidP="003E4B6E">
    <w:pPr>
      <w:pStyle w:val="Header"/>
      <w:tabs>
        <w:tab w:val="clear" w:pos="4320"/>
        <w:tab w:val="clear" w:pos="8640"/>
      </w:tabs>
      <w:jc w:val="right"/>
      <w:rPr>
        <w:rFonts w:ascii="Arial" w:hAnsi="Arial" w:cs="Arial"/>
        <w:b/>
        <w:bCs/>
        <w:sz w:val="24"/>
        <w:szCs w:val="24"/>
        <w:lang w:val="en-US"/>
      </w:rPr>
    </w:pPr>
  </w:p>
  <w:p w14:paraId="7C3641DE" w14:textId="77777777" w:rsidR="001C77A5" w:rsidRPr="00086AEF" w:rsidRDefault="001C77A5" w:rsidP="003E4B6E">
    <w:pPr>
      <w:pStyle w:val="Header"/>
      <w:tabs>
        <w:tab w:val="clear" w:pos="4320"/>
        <w:tab w:val="clear" w:pos="8640"/>
      </w:tabs>
      <w:jc w:val="right"/>
      <w:rPr>
        <w:rFonts w:ascii="Arial" w:hAnsi="Arial" w:cs="Arial"/>
        <w:sz w:val="24"/>
        <w:szCs w:val="24"/>
      </w:rPr>
    </w:pPr>
    <w:r w:rsidRPr="00086AEF">
      <w:rPr>
        <w:rFonts w:ascii="Arial" w:hAnsi="Arial" w:cs="Arial"/>
        <w:b/>
        <w:bCs/>
        <w:sz w:val="24"/>
        <w:szCs w:val="24"/>
        <w:lang w:val="en-US"/>
      </w:rPr>
      <w:t>F-CDM-MOC</w:t>
    </w:r>
  </w:p>
  <w:p w14:paraId="4889DBEE" w14:textId="77777777" w:rsidR="001C77A5" w:rsidRDefault="001C77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CF117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604B3"/>
    <w:multiLevelType w:val="multilevel"/>
    <w:tmpl w:val="F3D6E6FA"/>
    <w:name w:val="Reg26"/>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 w15:restartNumberingAfterBreak="0">
    <w:nsid w:val="01DF7C84"/>
    <w:multiLevelType w:val="multilevel"/>
    <w:tmpl w:val="F64666FC"/>
    <w:name w:val="Reg3"/>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3" w15:restartNumberingAfterBreak="0">
    <w:nsid w:val="03F2036B"/>
    <w:multiLevelType w:val="hybridMultilevel"/>
    <w:tmpl w:val="B21093D2"/>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C1DEE"/>
    <w:multiLevelType w:val="multilevel"/>
    <w:tmpl w:val="EBF238F8"/>
    <w:name w:val="Reg7"/>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5" w15:restartNumberingAfterBreak="0">
    <w:nsid w:val="1023354E"/>
    <w:multiLevelType w:val="multilevel"/>
    <w:tmpl w:val="9B64BC9A"/>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lowerLetter"/>
      <w:pStyle w:val="RegH4G"/>
      <w:lvlText w:val="(%4)"/>
      <w:lvlJc w:val="right"/>
      <w:pPr>
        <w:tabs>
          <w:tab w:val="num" w:pos="1134"/>
        </w:tabs>
        <w:ind w:left="1135" w:hanging="284"/>
      </w:pPr>
      <w:rPr>
        <w:rFonts w:ascii="Times New Roman" w:hAnsi="Times New Roman" w:cs="Times New Roman" w:hint="default"/>
        <w:b/>
        <w:i w:val="0"/>
        <w:sz w:val="20"/>
      </w:rPr>
    </w:lvl>
    <w:lvl w:ilvl="4">
      <w:start w:val="1"/>
      <w:numFmt w:val="lowerRoman"/>
      <w:pStyle w:val="RegH5G"/>
      <w:lvlText w:val="(%5)"/>
      <w:lvlJc w:val="right"/>
      <w:pPr>
        <w:tabs>
          <w:tab w:val="num" w:pos="1134"/>
        </w:tabs>
        <w:ind w:left="1135" w:hanging="284"/>
      </w:pPr>
      <w:rPr>
        <w:rFonts w:ascii="Times New Roman" w:hAnsi="Times New Roman" w:hint="default"/>
        <w:b w:val="0"/>
        <w:i/>
      </w:rPr>
    </w:lvl>
    <w:lvl w:ilvl="5">
      <w:start w:val="1"/>
      <w:numFmt w:val="decimal"/>
      <w:lvlRestart w:val="0"/>
      <w:pStyle w:val="RegSingleTxtG"/>
      <w:lvlText w:val="%6."/>
      <w:lvlJc w:val="left"/>
      <w:pPr>
        <w:ind w:left="1134" w:firstLine="0"/>
      </w:pPr>
      <w:rPr>
        <w:rFonts w:hint="default"/>
        <w:b w:val="0"/>
        <w:bCs/>
        <w:i w:val="0"/>
        <w:iCs w:val="0"/>
        <w:strike w:val="0"/>
        <w:sz w:val="20"/>
      </w:rPr>
    </w:lvl>
    <w:lvl w:ilvl="6">
      <w:start w:val="1"/>
      <w:numFmt w:val="lowerLetter"/>
      <w:pStyle w:val="RegSingleTxtG2"/>
      <w:lvlText w:val="(%7)"/>
      <w:lvlJc w:val="left"/>
      <w:pPr>
        <w:tabs>
          <w:tab w:val="num" w:pos="1702"/>
        </w:tabs>
        <w:ind w:left="1134" w:firstLine="567"/>
      </w:pPr>
      <w:rPr>
        <w:rFonts w:hint="default"/>
        <w:b w:val="0"/>
        <w:i w:val="0"/>
        <w:color w:val="auto"/>
        <w:sz w:val="20"/>
        <w:szCs w:val="28"/>
      </w:rPr>
    </w:lvl>
    <w:lvl w:ilvl="7">
      <w:start w:val="1"/>
      <w:numFmt w:val="lowerRoman"/>
      <w:pStyle w:val="RegSingleTxtG3"/>
      <w:lvlText w:val="(%8)"/>
      <w:lvlJc w:val="left"/>
      <w:pPr>
        <w:ind w:left="1701" w:firstLine="0"/>
      </w:pPr>
      <w:rPr>
        <w:rFonts w:hint="default"/>
        <w:sz w:val="20"/>
      </w:rPr>
    </w:lvl>
    <w:lvl w:ilvl="8">
      <w:start w:val="1"/>
      <w:numFmt w:val="lowerLetter"/>
      <w:lvlText w:val="%9."/>
      <w:lvlJc w:val="left"/>
      <w:pPr>
        <w:tabs>
          <w:tab w:val="num" w:pos="2268"/>
        </w:tabs>
        <w:ind w:left="2268" w:firstLine="0"/>
      </w:pPr>
      <w:rPr>
        <w:rFonts w:hint="default"/>
      </w:rPr>
    </w:lvl>
  </w:abstractNum>
  <w:abstractNum w:abstractNumId="6" w15:restartNumberingAfterBreak="0">
    <w:nsid w:val="10BF2A88"/>
    <w:multiLevelType w:val="multilevel"/>
    <w:tmpl w:val="87F2B1A4"/>
    <w:name w:val="Reg5"/>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7" w15:restartNumberingAfterBreak="0">
    <w:nsid w:val="14233F79"/>
    <w:multiLevelType w:val="multilevel"/>
    <w:tmpl w:val="C60EC370"/>
    <w:name w:val="Reg23"/>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8" w15:restartNumberingAfterBreak="0">
    <w:nsid w:val="145420C1"/>
    <w:multiLevelType w:val="multilevel"/>
    <w:tmpl w:val="A17458AC"/>
    <w:name w:val="Reg19"/>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9" w15:restartNumberingAfterBreak="0">
    <w:nsid w:val="155523F4"/>
    <w:multiLevelType w:val="multilevel"/>
    <w:tmpl w:val="44888FF4"/>
    <w:lvl w:ilvl="0">
      <w:start w:val="1"/>
      <w:numFmt w:val="upperRoman"/>
      <w:pStyle w:val="RegHead1"/>
      <w:suff w:val="space"/>
      <w:lvlText w:val="%1. "/>
      <w:lvlJc w:val="center"/>
      <w:pPr>
        <w:ind w:left="0" w:firstLine="0"/>
      </w:pPr>
      <w:rPr>
        <w:sz w:val="28"/>
      </w:rPr>
    </w:lvl>
    <w:lvl w:ilvl="1">
      <w:start w:val="1"/>
      <w:numFmt w:val="upperLetter"/>
      <w:pStyle w:val="RegHead2"/>
      <w:suff w:val="space"/>
      <w:lvlText w:val="%2. "/>
      <w:lvlJc w:val="center"/>
      <w:pPr>
        <w:ind w:left="0" w:firstLine="0"/>
      </w:pPr>
      <w:rPr>
        <w:b/>
        <w:sz w:val="22"/>
        <w:u w:val="none"/>
      </w:rPr>
    </w:lvl>
    <w:lvl w:ilvl="2">
      <w:start w:val="1"/>
      <w:numFmt w:val="decimal"/>
      <w:pStyle w:val="RegHead3"/>
      <w:suff w:val="space"/>
      <w:lvlText w:val="%3. "/>
      <w:lvlJc w:val="center"/>
      <w:pPr>
        <w:ind w:left="0" w:firstLine="0"/>
      </w:pPr>
      <w:rPr>
        <w:b w:val="0"/>
        <w:sz w:val="22"/>
        <w:u w:val="none"/>
      </w:rPr>
    </w:lvl>
    <w:lvl w:ilvl="3">
      <w:start w:val="1"/>
      <w:numFmt w:val="decimal"/>
      <w:lvlRestart w:val="0"/>
      <w:pStyle w:val="RegPara"/>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0" w15:restartNumberingAfterBreak="0">
    <w:nsid w:val="1598217B"/>
    <w:multiLevelType w:val="hybridMultilevel"/>
    <w:tmpl w:val="1DF6D5E0"/>
    <w:lvl w:ilvl="0" w:tplc="AF700BA2">
      <w:start w:val="1"/>
      <w:numFmt w:val="bullet"/>
      <w:pStyle w:val="BulletedItem"/>
      <w:lvlText w:val=""/>
      <w:lvlJc w:val="left"/>
      <w:pPr>
        <w:tabs>
          <w:tab w:val="num" w:pos="720"/>
        </w:tabs>
        <w:ind w:left="720" w:hanging="720"/>
      </w:pPr>
      <w:rPr>
        <w:rFonts w:ascii="Symbol" w:hAnsi="Symbo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50370D"/>
    <w:multiLevelType w:val="multilevel"/>
    <w:tmpl w:val="9AEA799A"/>
    <w:lvl w:ilvl="0">
      <w:start w:val="1"/>
      <w:numFmt w:val="upperRoman"/>
      <w:suff w:val="space"/>
      <w:lvlText w:val="%1. "/>
      <w:lvlJc w:val="right"/>
      <w:pPr>
        <w:ind w:left="0" w:firstLine="244"/>
      </w:pPr>
      <w:rPr>
        <w:rFonts w:hint="default"/>
        <w:sz w:val="28"/>
      </w:rPr>
    </w:lvl>
    <w:lvl w:ilvl="1">
      <w:start w:val="1"/>
      <w:numFmt w:val="decimal"/>
      <w:pStyle w:val="AnnoHead2"/>
      <w:suff w:val="space"/>
      <w:lvlText w:val="%2. "/>
      <w:lvlJc w:val="left"/>
      <w:pPr>
        <w:ind w:left="0" w:firstLine="0"/>
      </w:pPr>
      <w:rPr>
        <w:rFonts w:hint="default"/>
        <w:b/>
        <w:sz w:val="22"/>
        <w:u w:val="none"/>
      </w:rPr>
    </w:lvl>
    <w:lvl w:ilvl="2">
      <w:start w:val="1"/>
      <w:numFmt w:val="lowerLetter"/>
      <w:pStyle w:val="AnnoHead3"/>
      <w:lvlText w:val="(%3)"/>
      <w:lvlJc w:val="left"/>
      <w:pPr>
        <w:tabs>
          <w:tab w:val="num" w:pos="720"/>
        </w:tabs>
        <w:ind w:left="720" w:hanging="720"/>
      </w:pPr>
      <w:rPr>
        <w:rFonts w:ascii="Times New Roman" w:hAnsi="Times New Roman" w:hint="default"/>
        <w:b w:val="0"/>
        <w:sz w:val="22"/>
        <w:u w:val="none"/>
      </w:rPr>
    </w:lvl>
    <w:lvl w:ilvl="3">
      <w:start w:val="1"/>
      <w:numFmt w:val="lowerRoman"/>
      <w:lvlText w:val="(%4)"/>
      <w:lvlJc w:val="right"/>
      <w:pPr>
        <w:tabs>
          <w:tab w:val="num" w:pos="1440"/>
        </w:tabs>
        <w:ind w:left="1440" w:hanging="533"/>
      </w:pPr>
      <w:rPr>
        <w:rFonts w:ascii="Times New Roman" w:hAnsi="Times New Roman" w:hint="default"/>
        <w:b w:val="0"/>
        <w:sz w:val="22"/>
        <w:u w:val="none"/>
      </w:rPr>
    </w:lvl>
    <w:lvl w:ilvl="4">
      <w:start w:val="1"/>
      <w:numFmt w:val="decimal"/>
      <w:pStyle w:val="AnnoPara"/>
      <w:lvlText w:val="%5."/>
      <w:lvlJc w:val="left"/>
      <w:pPr>
        <w:tabs>
          <w:tab w:val="num" w:pos="360"/>
        </w:tabs>
        <w:ind w:left="0" w:firstLine="0"/>
      </w:pPr>
      <w:rPr>
        <w:rFonts w:ascii="Times New Roman" w:hAnsi="Times New Roman" w:hint="default"/>
        <w:b w:val="0"/>
        <w:sz w:val="22"/>
        <w:u w:val="none"/>
      </w:rPr>
    </w:lvl>
    <w:lvl w:ilvl="5">
      <w:start w:val="1"/>
      <w:numFmt w:val="lowerLetter"/>
      <w:lvlText w:val="(%6)"/>
      <w:lvlJc w:val="left"/>
      <w:pPr>
        <w:tabs>
          <w:tab w:val="num" w:pos="1440"/>
        </w:tabs>
        <w:ind w:left="1440" w:hanging="720"/>
      </w:pPr>
      <w:rPr>
        <w:rFonts w:hint="default"/>
        <w:sz w:val="22"/>
        <w:u w:val="none"/>
      </w:rPr>
    </w:lvl>
    <w:lvl w:ilvl="6">
      <w:start w:val="1"/>
      <w:numFmt w:val="decimal"/>
      <w:lvlText w:val="%7."/>
      <w:lvlJc w:val="left"/>
      <w:pPr>
        <w:tabs>
          <w:tab w:val="num" w:pos="1440"/>
        </w:tabs>
        <w:ind w:left="1440" w:hanging="720"/>
      </w:pPr>
      <w:rPr>
        <w:rFonts w:ascii="Symbol" w:hAnsi="Symbol" w:hint="default"/>
        <w:sz w:val="22"/>
        <w:u w:val="none"/>
      </w:rPr>
    </w:lvl>
    <w:lvl w:ilvl="7">
      <w:start w:val="1"/>
      <w:numFmt w:val="lowerLetter"/>
      <w:lvlText w:val="(%8)"/>
      <w:lvlJc w:val="left"/>
      <w:pPr>
        <w:tabs>
          <w:tab w:val="num" w:pos="2160"/>
        </w:tabs>
        <w:ind w:left="2160" w:hanging="720"/>
      </w:pPr>
      <w:rPr>
        <w:rFonts w:hint="default"/>
        <w:sz w:val="22"/>
        <w:u w:val="none"/>
      </w:rPr>
    </w:lvl>
    <w:lvl w:ilvl="8">
      <w:start w:val="1"/>
      <w:numFmt w:val="lowerLetter"/>
      <w:lvlText w:val=""/>
      <w:lvlJc w:val="left"/>
      <w:pPr>
        <w:tabs>
          <w:tab w:val="num" w:pos="2880"/>
        </w:tabs>
        <w:ind w:left="2880" w:hanging="720"/>
      </w:pPr>
      <w:rPr>
        <w:rFonts w:ascii="Symbol" w:hAnsi="Symbol" w:hint="default"/>
        <w:u w:val="none"/>
      </w:rPr>
    </w:lvl>
  </w:abstractNum>
  <w:abstractNum w:abstractNumId="12" w15:restartNumberingAfterBreak="0">
    <w:nsid w:val="1728147F"/>
    <w:multiLevelType w:val="multilevel"/>
    <w:tmpl w:val="7B8621E0"/>
    <w:name w:val="Reg9"/>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13" w15:restartNumberingAfterBreak="0">
    <w:nsid w:val="1A6C4888"/>
    <w:multiLevelType w:val="hybridMultilevel"/>
    <w:tmpl w:val="8382A26A"/>
    <w:lvl w:ilvl="0" w:tplc="0240A3C8">
      <w:start w:val="1"/>
      <w:numFmt w:val="lowerLetter"/>
      <w:pStyle w:val="FootnoteTable"/>
      <w:lvlText w:val="%1"/>
      <w:lvlJc w:val="left"/>
      <w:pPr>
        <w:tabs>
          <w:tab w:val="num" w:pos="360"/>
        </w:tabs>
        <w:ind w:left="113" w:hanging="113"/>
      </w:pPr>
      <w:rPr>
        <w:rFonts w:hint="default"/>
        <w:sz w:val="16"/>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AFF55CC"/>
    <w:multiLevelType w:val="multilevel"/>
    <w:tmpl w:val="A22614FA"/>
    <w:name w:val="Reg8"/>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15" w15:restartNumberingAfterBreak="0">
    <w:nsid w:val="1B897AAA"/>
    <w:multiLevelType w:val="multilevel"/>
    <w:tmpl w:val="FD2ACF66"/>
    <w:name w:val="Reg24"/>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6" w15:restartNumberingAfterBreak="0">
    <w:nsid w:val="1BC515BF"/>
    <w:multiLevelType w:val="multilevel"/>
    <w:tmpl w:val="02D64298"/>
    <w:name w:val="Reg3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7" w15:restartNumberingAfterBreak="0">
    <w:nsid w:val="21364769"/>
    <w:multiLevelType w:val="multilevel"/>
    <w:tmpl w:val="C172A2B4"/>
    <w:name w:val="Reg2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8" w15:restartNumberingAfterBreak="0">
    <w:nsid w:val="2D6E1A00"/>
    <w:multiLevelType w:val="multilevel"/>
    <w:tmpl w:val="568476D8"/>
    <w:name w:val="Reg"/>
    <w:lvl w:ilvl="0">
      <w:start w:val="1"/>
      <w:numFmt w:val="upperRoman"/>
      <w:suff w:val="space"/>
      <w:lvlText w:val="%1. "/>
      <w:lvlJc w:val="right"/>
      <w:pPr>
        <w:ind w:left="0" w:firstLine="0"/>
      </w:pPr>
    </w:lvl>
    <w:lvl w:ilvl="1">
      <w:start w:val="1"/>
      <w:numFmt w:val="upperLetter"/>
      <w:suff w:val="space"/>
      <w:lvlText w:val="%2. "/>
      <w:lvlJc w:val="left"/>
      <w:pPr>
        <w:ind w:left="0" w:firstLine="0"/>
      </w:pPr>
      <w:rPr>
        <w:b/>
        <w:u w:val="none"/>
      </w:rPr>
    </w:lvl>
    <w:lvl w:ilvl="2">
      <w:start w:val="1"/>
      <w:numFmt w:val="decimal"/>
      <w:lvlRestart w:val="0"/>
      <w:lvlText w:val="%3."/>
      <w:lvlJc w:val="left"/>
      <w:pPr>
        <w:tabs>
          <w:tab w:val="num" w:pos="720"/>
        </w:tabs>
        <w:ind w:left="0" w:firstLine="0"/>
      </w:pPr>
      <w:rPr>
        <w:b w:val="0"/>
      </w:rPr>
    </w:lvl>
    <w:lvl w:ilvl="3">
      <w:start w:val="1"/>
      <w:numFmt w:val="lowerLetter"/>
      <w:lvlText w:val="(%4)"/>
      <w:lvlJc w:val="left"/>
      <w:pPr>
        <w:tabs>
          <w:tab w:val="num" w:pos="1440"/>
        </w:tabs>
        <w:ind w:left="0" w:firstLine="720"/>
      </w:pPr>
      <w:rPr>
        <w:b w:val="0"/>
      </w:rPr>
    </w:lvl>
    <w:lvl w:ilvl="4">
      <w:start w:val="1"/>
      <w:numFmt w:val="lowerRoman"/>
      <w:lvlText w:val="(%5)"/>
      <w:lvlJc w:val="right"/>
      <w:pPr>
        <w:tabs>
          <w:tab w:val="num" w:pos="2160"/>
        </w:tabs>
        <w:ind w:left="2160" w:hanging="573"/>
      </w:pPr>
    </w:lvl>
    <w:lvl w:ilvl="5">
      <w:start w:val="1"/>
      <w:numFmt w:val="lowerLetter"/>
      <w:lvlText w:val=""/>
      <w:lvlJc w:val="left"/>
      <w:pPr>
        <w:tabs>
          <w:tab w:val="num" w:pos="2880"/>
        </w:tabs>
        <w:ind w:left="2880" w:hanging="720"/>
      </w:pPr>
      <w:rPr>
        <w:rFonts w:ascii="Symbol" w:hAnsi="Symbol" w:hint="default"/>
      </w:rPr>
    </w:lvl>
    <w:lvl w:ilvl="6">
      <w:start w:val="1"/>
      <w:numFmt w:val="none"/>
      <w:lvlText w:val="[%3.%7"/>
      <w:lvlJc w:val="left"/>
      <w:pPr>
        <w:tabs>
          <w:tab w:val="num" w:pos="720"/>
        </w:tabs>
        <w:ind w:left="0" w:firstLine="0"/>
      </w:pPr>
    </w:lvl>
    <w:lvl w:ilvl="7">
      <w:start w:val="1"/>
      <w:numFmt w:val="none"/>
      <w:lvlText w:val="[(%4)%8"/>
      <w:lvlJc w:val="left"/>
      <w:pPr>
        <w:tabs>
          <w:tab w:val="num" w:pos="1440"/>
        </w:tabs>
        <w:ind w:left="0" w:firstLine="720"/>
      </w:pPr>
    </w:lvl>
    <w:lvl w:ilvl="8">
      <w:start w:val="1"/>
      <w:numFmt w:val="none"/>
      <w:lvlText w:val="[(%5)%9"/>
      <w:lvlJc w:val="right"/>
      <w:pPr>
        <w:tabs>
          <w:tab w:val="num" w:pos="2160"/>
        </w:tabs>
        <w:ind w:left="0" w:firstLine="1587"/>
      </w:pPr>
    </w:lvl>
  </w:abstractNum>
  <w:abstractNum w:abstractNumId="19" w15:restartNumberingAfterBreak="0">
    <w:nsid w:val="2FA03A21"/>
    <w:multiLevelType w:val="multilevel"/>
    <w:tmpl w:val="40EAA4EC"/>
    <w:name w:val="Reg34"/>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0" w15:restartNumberingAfterBreak="0">
    <w:nsid w:val="307B1BD9"/>
    <w:multiLevelType w:val="multilevel"/>
    <w:tmpl w:val="075A6334"/>
    <w:name w:val="Reg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21" w15:restartNumberingAfterBreak="0">
    <w:nsid w:val="31A3680B"/>
    <w:multiLevelType w:val="multilevel"/>
    <w:tmpl w:val="DEEC8B6A"/>
    <w:name w:val="Reg6"/>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22" w15:restartNumberingAfterBreak="0">
    <w:nsid w:val="33DC3EFD"/>
    <w:multiLevelType w:val="multilevel"/>
    <w:tmpl w:val="EEA4B662"/>
    <w:name w:val="Reg2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3" w15:restartNumberingAfterBreak="0">
    <w:nsid w:val="36854508"/>
    <w:multiLevelType w:val="multilevel"/>
    <w:tmpl w:val="C18A5072"/>
    <w:styleLink w:val="SDMDocInfoTextBullets"/>
    <w:lvl w:ilvl="0">
      <w:start w:val="1"/>
      <w:numFmt w:val="none"/>
      <w:suff w:val="nothing"/>
      <w:lvlText w:val=""/>
      <w:lvlJc w:val="left"/>
      <w:pPr>
        <w:ind w:left="0" w:firstLine="0"/>
      </w:p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lvl>
    <w:lvl w:ilvl="3">
      <w:start w:val="1"/>
      <w:numFmt w:val="lowerRoman"/>
      <w:lvlText w:val="(%4)"/>
      <w:lvlJc w:val="left"/>
      <w:pPr>
        <w:tabs>
          <w:tab w:val="num" w:pos="737"/>
        </w:tabs>
        <w:ind w:left="1049" w:hanging="312"/>
      </w:pPr>
    </w:lvl>
    <w:lvl w:ilvl="4">
      <w:start w:val="1"/>
      <w:numFmt w:val="lowerLetter"/>
      <w:lvlText w:val="%5."/>
      <w:lvlJc w:val="left"/>
      <w:pPr>
        <w:tabs>
          <w:tab w:val="num" w:pos="1077"/>
        </w:tabs>
        <w:ind w:left="1332" w:hanging="283"/>
      </w:pPr>
    </w:lvl>
    <w:lvl w:ilvl="5">
      <w:start w:val="1"/>
      <w:numFmt w:val="lowerRoman"/>
      <w:lvlText w:val="%6."/>
      <w:lvlJc w:val="left"/>
      <w:pPr>
        <w:tabs>
          <w:tab w:val="num" w:pos="1361"/>
        </w:tabs>
        <w:ind w:left="1559" w:hanging="22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36924865"/>
    <w:multiLevelType w:val="multilevel"/>
    <w:tmpl w:val="AE6881FE"/>
    <w:name w:val="Reg20"/>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5" w15:restartNumberingAfterBreak="0">
    <w:nsid w:val="36C026F4"/>
    <w:multiLevelType w:val="multilevel"/>
    <w:tmpl w:val="664866D4"/>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upperLetter"/>
      <w:lvlText w:val="%2."/>
      <w:lvlJc w:val="right"/>
      <w:pPr>
        <w:tabs>
          <w:tab w:val="num" w:pos="1135"/>
        </w:tabs>
        <w:ind w:left="1135" w:hanging="284"/>
      </w:pPr>
      <w:rPr>
        <w:rFonts w:ascii="Times New Roman" w:hAnsi="Times New Roman" w:cs="Times New Roman" w:hint="default"/>
        <w:b/>
        <w:i w:val="0"/>
        <w:sz w:val="24"/>
      </w:rPr>
    </w:lvl>
    <w:lvl w:ilvl="2">
      <w:start w:val="1"/>
      <w:numFmt w:val="decimal"/>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lowerLetter"/>
      <w:lvlText w:val="(%4)"/>
      <w:lvlJc w:val="right"/>
      <w:pPr>
        <w:tabs>
          <w:tab w:val="num" w:pos="1134"/>
        </w:tabs>
        <w:ind w:left="1135" w:hanging="284"/>
      </w:pPr>
      <w:rPr>
        <w:rFonts w:ascii="Times New Roman" w:hAnsi="Times New Roman" w:cs="Times New Roman" w:hint="default"/>
        <w:b/>
        <w:i w:val="0"/>
        <w:sz w:val="20"/>
      </w:rPr>
    </w:lvl>
    <w:lvl w:ilvl="4">
      <w:start w:val="1"/>
      <w:numFmt w:val="lowerRoman"/>
      <w:lvlText w:val="(%5)"/>
      <w:lvlJc w:val="right"/>
      <w:pPr>
        <w:tabs>
          <w:tab w:val="num" w:pos="1134"/>
        </w:tabs>
        <w:ind w:left="1135" w:hanging="284"/>
      </w:pPr>
      <w:rPr>
        <w:rFonts w:ascii="Times New Roman" w:hAnsi="Times New Roman" w:hint="default"/>
        <w:b w:val="0"/>
        <w:i/>
      </w:rPr>
    </w:lvl>
    <w:lvl w:ilvl="5">
      <w:start w:val="1"/>
      <w:numFmt w:val="decimal"/>
      <w:lvlRestart w:val="0"/>
      <w:lvlText w:val="%6."/>
      <w:lvlJc w:val="left"/>
      <w:pPr>
        <w:ind w:left="1134" w:firstLine="0"/>
      </w:pPr>
      <w:rPr>
        <w:rFonts w:hint="default"/>
        <w:b w:val="0"/>
        <w:bCs w:val="0"/>
        <w:i w:val="0"/>
        <w:sz w:val="20"/>
      </w:rPr>
    </w:lvl>
    <w:lvl w:ilvl="6">
      <w:start w:val="1"/>
      <w:numFmt w:val="lowerLetter"/>
      <w:lvlText w:val="(%7)"/>
      <w:lvlJc w:val="left"/>
      <w:pPr>
        <w:tabs>
          <w:tab w:val="num" w:pos="1702"/>
        </w:tabs>
        <w:ind w:left="1134" w:firstLine="567"/>
      </w:pPr>
      <w:rPr>
        <w:rFonts w:hint="default"/>
        <w:b w:val="0"/>
        <w:i w:val="0"/>
        <w:color w:val="auto"/>
        <w:sz w:val="20"/>
        <w:szCs w:val="28"/>
      </w:rPr>
    </w:lvl>
    <w:lvl w:ilvl="7">
      <w:start w:val="1"/>
      <w:numFmt w:val="lowerRoman"/>
      <w:lvlText w:val="(%8)"/>
      <w:lvlJc w:val="left"/>
      <w:pPr>
        <w:ind w:left="1701" w:firstLine="0"/>
      </w:pPr>
      <w:rPr>
        <w:rFonts w:hint="default"/>
        <w:sz w:val="20"/>
      </w:rPr>
    </w:lvl>
    <w:lvl w:ilvl="8">
      <w:start w:val="1"/>
      <w:numFmt w:val="lowerLetter"/>
      <w:lvlText w:val="%9."/>
      <w:lvlJc w:val="left"/>
      <w:pPr>
        <w:tabs>
          <w:tab w:val="num" w:pos="2268"/>
        </w:tabs>
        <w:ind w:left="2268" w:firstLine="0"/>
      </w:pPr>
      <w:rPr>
        <w:rFonts w:hint="default"/>
      </w:rPr>
    </w:lvl>
  </w:abstractNum>
  <w:abstractNum w:abstractNumId="26" w15:restartNumberingAfterBreak="0">
    <w:nsid w:val="3C792321"/>
    <w:multiLevelType w:val="multilevel"/>
    <w:tmpl w:val="54D600CE"/>
    <w:name w:val="Reg15"/>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7" w15:restartNumberingAfterBreak="0">
    <w:nsid w:val="3CFD042E"/>
    <w:multiLevelType w:val="multilevel"/>
    <w:tmpl w:val="C694A2DA"/>
    <w:name w:val="Reg11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8" w15:restartNumberingAfterBreak="0">
    <w:nsid w:val="3DC16119"/>
    <w:multiLevelType w:val="multilevel"/>
    <w:tmpl w:val="BCBAC81C"/>
    <w:name w:val="Reg13"/>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9" w15:restartNumberingAfterBreak="0">
    <w:nsid w:val="3FDA42F1"/>
    <w:multiLevelType w:val="multilevel"/>
    <w:tmpl w:val="AE709A9A"/>
    <w:name w:val="Reg3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0" w15:restartNumberingAfterBreak="0">
    <w:nsid w:val="428120B6"/>
    <w:multiLevelType w:val="multilevel"/>
    <w:tmpl w:val="23DC3AAA"/>
    <w:lvl w:ilvl="0">
      <w:start w:val="1"/>
      <w:numFmt w:val="upperRoman"/>
      <w:pStyle w:val="AnnoHead1"/>
      <w:suff w:val="space"/>
      <w:lvlText w:val="%1. "/>
      <w:lvlJc w:val="right"/>
      <w:pPr>
        <w:ind w:left="0" w:firstLine="244"/>
      </w:pPr>
      <w:rPr>
        <w:sz w:val="28"/>
      </w:rPr>
    </w:lvl>
    <w:lvl w:ilvl="1">
      <w:start w:val="1"/>
      <w:numFmt w:val="decimal"/>
      <w:suff w:val="space"/>
      <w:lvlText w:val="%2. "/>
      <w:lvlJc w:val="left"/>
      <w:pPr>
        <w:ind w:left="0" w:firstLine="0"/>
      </w:pPr>
      <w:rPr>
        <w:b/>
        <w:sz w:val="22"/>
        <w:u w:val="none"/>
      </w:rPr>
    </w:lvl>
    <w:lvl w:ilvl="2">
      <w:start w:val="1"/>
      <w:numFmt w:val="lowerLetter"/>
      <w:lvlText w:val="(%3)"/>
      <w:lvlJc w:val="left"/>
      <w:pPr>
        <w:tabs>
          <w:tab w:val="num" w:pos="720"/>
        </w:tabs>
        <w:ind w:left="720" w:hanging="720"/>
      </w:pPr>
      <w:rPr>
        <w:b w:val="0"/>
        <w:sz w:val="22"/>
        <w:u w:val="none"/>
      </w:rPr>
    </w:lvl>
    <w:lvl w:ilvl="3">
      <w:start w:val="1"/>
      <w:numFmt w:val="lowerRoman"/>
      <w:lvlText w:val="(%4)"/>
      <w:lvlJc w:val="right"/>
      <w:pPr>
        <w:tabs>
          <w:tab w:val="num" w:pos="1440"/>
        </w:tabs>
        <w:ind w:left="1440" w:hanging="533"/>
      </w:pPr>
      <w:rPr>
        <w:rFonts w:ascii="Times New Roman" w:hAnsi="Times New Roman"/>
        <w:b w:val="0"/>
        <w:sz w:val="22"/>
        <w:u w:val="none"/>
      </w:rPr>
    </w:lvl>
    <w:lvl w:ilvl="4">
      <w:start w:val="1"/>
      <w:numFmt w:val="decimal"/>
      <w:lvlText w:val="%5."/>
      <w:lvlJc w:val="left"/>
      <w:pPr>
        <w:tabs>
          <w:tab w:val="num" w:pos="720"/>
        </w:tabs>
        <w:ind w:left="720" w:hanging="720"/>
      </w:pPr>
      <w:rPr>
        <w:rFonts w:ascii="Times New Roman" w:hAnsi="Times New Roman"/>
        <w:b w:val="0"/>
        <w:sz w:val="22"/>
        <w:u w:val="none"/>
      </w:rPr>
    </w:lvl>
    <w:lvl w:ilvl="5">
      <w:start w:val="1"/>
      <w:numFmt w:val="lowerLetter"/>
      <w:lvlText w:val="(%6)"/>
      <w:lvlJc w:val="left"/>
      <w:pPr>
        <w:tabs>
          <w:tab w:val="num" w:pos="1440"/>
        </w:tabs>
        <w:ind w:left="1440" w:hanging="720"/>
      </w:pPr>
      <w:rPr>
        <w:sz w:val="22"/>
        <w:u w:val="none"/>
      </w:rPr>
    </w:lvl>
    <w:lvl w:ilvl="6">
      <w:start w:val="1"/>
      <w:numFmt w:val="decimal"/>
      <w:lvlText w:val="%7."/>
      <w:lvlJc w:val="left"/>
      <w:pPr>
        <w:tabs>
          <w:tab w:val="num" w:pos="1440"/>
        </w:tabs>
        <w:ind w:left="1440" w:hanging="720"/>
      </w:pPr>
      <w:rPr>
        <w:rFonts w:ascii="Symbol" w:hAnsi="Symbol" w:hint="default"/>
        <w:sz w:val="22"/>
        <w:u w:val="none"/>
      </w:rPr>
    </w:lvl>
    <w:lvl w:ilvl="7">
      <w:start w:val="1"/>
      <w:numFmt w:val="lowerLetter"/>
      <w:lvlText w:val="(%8)"/>
      <w:lvlJc w:val="left"/>
      <w:pPr>
        <w:tabs>
          <w:tab w:val="num" w:pos="2160"/>
        </w:tabs>
        <w:ind w:left="2160" w:hanging="720"/>
      </w:pPr>
      <w:rPr>
        <w:sz w:val="22"/>
        <w:u w:val="none"/>
      </w:rPr>
    </w:lvl>
    <w:lvl w:ilvl="8">
      <w:start w:val="1"/>
      <w:numFmt w:val="lowerLetter"/>
      <w:lvlText w:val=""/>
      <w:lvlJc w:val="left"/>
      <w:pPr>
        <w:tabs>
          <w:tab w:val="num" w:pos="2880"/>
        </w:tabs>
        <w:ind w:left="2880" w:hanging="720"/>
      </w:pPr>
      <w:rPr>
        <w:rFonts w:ascii="Symbol" w:hAnsi="Symbol" w:hint="default"/>
        <w:u w:val="none"/>
      </w:rPr>
    </w:lvl>
  </w:abstractNum>
  <w:abstractNum w:abstractNumId="31" w15:restartNumberingAfterBreak="0">
    <w:nsid w:val="42C966C7"/>
    <w:multiLevelType w:val="multilevel"/>
    <w:tmpl w:val="07DCDBF2"/>
    <w:name w:val="Dec"/>
    <w:lvl w:ilvl="0">
      <w:start w:val="1"/>
      <w:numFmt w:val="decimal"/>
      <w:pStyle w:val="DecPara"/>
      <w:lvlText w:val="%1. "/>
      <w:lvlJc w:val="left"/>
      <w:pPr>
        <w:tabs>
          <w:tab w:val="num" w:pos="1440"/>
        </w:tabs>
        <w:ind w:left="0" w:firstLine="720"/>
      </w:pPr>
      <w:rPr>
        <w:rFonts w:hint="default"/>
      </w:rPr>
    </w:lvl>
    <w:lvl w:ilvl="1">
      <w:start w:val="1"/>
      <w:numFmt w:val="lowerLetter"/>
      <w:lvlText w:val="(%2)"/>
      <w:lvlJc w:val="left"/>
      <w:pPr>
        <w:tabs>
          <w:tab w:val="num" w:pos="1440"/>
        </w:tabs>
        <w:ind w:left="0" w:firstLine="720"/>
      </w:pPr>
      <w:rPr>
        <w:rFonts w:hint="default"/>
        <w:b w:val="0"/>
      </w:rPr>
    </w:lvl>
    <w:lvl w:ilvl="2">
      <w:start w:val="1"/>
      <w:numFmt w:val="lowerLetter"/>
      <w:lvlText w:val="(%3)"/>
      <w:lvlJc w:val="left"/>
      <w:pPr>
        <w:tabs>
          <w:tab w:val="num" w:pos="2160"/>
        </w:tabs>
        <w:ind w:left="2160" w:hanging="720"/>
      </w:pPr>
      <w:rPr>
        <w:rFonts w:hint="default"/>
        <w:b w:val="0"/>
      </w:rPr>
    </w:lvl>
    <w:lvl w:ilvl="3">
      <w:start w:val="1"/>
      <w:numFmt w:val="decimal"/>
      <w:lvlText w:val="[%4."/>
      <w:lvlJc w:val="left"/>
      <w:pPr>
        <w:tabs>
          <w:tab w:val="num" w:pos="1440"/>
        </w:tabs>
        <w:ind w:left="0" w:firstLine="720"/>
      </w:pPr>
      <w:rPr>
        <w:rFonts w:hint="default"/>
      </w:rPr>
    </w:lvl>
    <w:lvl w:ilvl="4">
      <w:start w:val="1"/>
      <w:numFmt w:val="lowerLetter"/>
      <w:lvlText w:val="[(%5)"/>
      <w:lvlJc w:val="left"/>
      <w:pPr>
        <w:tabs>
          <w:tab w:val="num" w:pos="1440"/>
        </w:tabs>
        <w:ind w:left="0" w:firstLine="720"/>
      </w:pPr>
      <w:rPr>
        <w:rFonts w:hint="default"/>
      </w:rPr>
    </w:lvl>
    <w:lvl w:ilvl="5">
      <w:start w:val="1"/>
      <w:numFmt w:val="lowerLetter"/>
      <w:lvlText w:val="[(%6)"/>
      <w:lvlJc w:val="left"/>
      <w:pPr>
        <w:tabs>
          <w:tab w:val="num" w:pos="2160"/>
        </w:tabs>
        <w:ind w:left="216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2" w15:restartNumberingAfterBreak="0">
    <w:nsid w:val="436837CD"/>
    <w:multiLevelType w:val="hybridMultilevel"/>
    <w:tmpl w:val="C61E1D16"/>
    <w:name w:val="Reg85"/>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E052B9"/>
    <w:multiLevelType w:val="multilevel"/>
    <w:tmpl w:val="74AC5592"/>
    <w:lvl w:ilvl="0">
      <w:start w:val="1"/>
      <w:numFmt w:val="upperRoman"/>
      <w:pStyle w:val="ProvHead1"/>
      <w:suff w:val="space"/>
      <w:lvlText w:val="%1. "/>
      <w:lvlJc w:val="right"/>
      <w:pPr>
        <w:ind w:left="0" w:firstLine="0"/>
      </w:pPr>
      <w:rPr>
        <w:rFonts w:hint="default"/>
        <w:sz w:val="28"/>
      </w:rPr>
    </w:lvl>
    <w:lvl w:ilvl="1">
      <w:start w:val="1"/>
      <w:numFmt w:val="decimal"/>
      <w:pStyle w:val="ProvHead2"/>
      <w:suff w:val="space"/>
      <w:lvlText w:val="%2. "/>
      <w:lvlJc w:val="left"/>
      <w:pPr>
        <w:ind w:left="0" w:firstLine="0"/>
      </w:pPr>
      <w:rPr>
        <w:rFonts w:hint="default"/>
        <w:u w:val="none"/>
      </w:rPr>
    </w:lvl>
    <w:lvl w:ilvl="2">
      <w:start w:val="1"/>
      <w:numFmt w:val="lowerLetter"/>
      <w:pStyle w:val="ProvHead3"/>
      <w:lvlText w:val="(%3)"/>
      <w:lvlJc w:val="left"/>
      <w:pPr>
        <w:tabs>
          <w:tab w:val="num" w:pos="360"/>
        </w:tabs>
        <w:ind w:left="0" w:firstLine="0"/>
      </w:pPr>
      <w:rPr>
        <w:rFonts w:hint="default"/>
        <w:b w:val="0"/>
        <w:i w:val="0"/>
        <w:u w:val="none"/>
      </w:rPr>
    </w:lvl>
    <w:lvl w:ilvl="3">
      <w:start w:val="1"/>
      <w:numFmt w:val="lowerRoman"/>
      <w:pStyle w:val="ProvPara"/>
      <w:lvlText w:val="(%4)"/>
      <w:lvlJc w:val="right"/>
      <w:pPr>
        <w:tabs>
          <w:tab w:val="num" w:pos="1440"/>
        </w:tabs>
        <w:ind w:left="1440" w:hanging="533"/>
      </w:pPr>
      <w:rPr>
        <w:rFonts w:ascii="Times New Roman" w:hAnsi="Times New Roman" w:hint="default"/>
        <w:b w:val="0"/>
      </w:rPr>
    </w:lvl>
    <w:lvl w:ilvl="4">
      <w:start w:val="1"/>
      <w:numFmt w:val="decimal"/>
      <w:lvlRestart w:val="0"/>
      <w:lvlText w:val="%5."/>
      <w:lvlJc w:val="left"/>
      <w:pPr>
        <w:tabs>
          <w:tab w:val="num" w:pos="720"/>
        </w:tabs>
        <w:ind w:left="0" w:firstLine="0"/>
      </w:pPr>
      <w:rPr>
        <w:rFonts w:ascii="Times New Roman" w:hAnsi="Times New Roman" w:hint="default"/>
      </w:rPr>
    </w:lvl>
    <w:lvl w:ilvl="5">
      <w:start w:val="1"/>
      <w:numFmt w:val="lowerLetter"/>
      <w:lvlText w:val="(%6)"/>
      <w:lvlJc w:val="left"/>
      <w:pPr>
        <w:tabs>
          <w:tab w:val="num" w:pos="1440"/>
        </w:tabs>
        <w:ind w:left="0" w:firstLine="720"/>
      </w:pPr>
      <w:rPr>
        <w:rFonts w:hint="default"/>
      </w:rPr>
    </w:lvl>
    <w:lvl w:ilvl="6">
      <w:start w:val="1"/>
      <w:numFmt w:val="decimal"/>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Letter"/>
      <w:lvlText w:val=""/>
      <w:lvlJc w:val="left"/>
      <w:pPr>
        <w:tabs>
          <w:tab w:val="num" w:pos="2880"/>
        </w:tabs>
        <w:ind w:left="2880" w:hanging="720"/>
      </w:pPr>
      <w:rPr>
        <w:rFonts w:ascii="Symbol" w:hAnsi="Symbol" w:hint="default"/>
      </w:rPr>
    </w:lvl>
  </w:abstractNum>
  <w:abstractNum w:abstractNumId="34" w15:restartNumberingAfterBreak="0">
    <w:nsid w:val="46E34584"/>
    <w:multiLevelType w:val="multilevel"/>
    <w:tmpl w:val="01B02B96"/>
    <w:name w:val="Reg17"/>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5" w15:restartNumberingAfterBreak="0">
    <w:nsid w:val="49EF1522"/>
    <w:multiLevelType w:val="hybridMultilevel"/>
    <w:tmpl w:val="E54089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C52DB2"/>
    <w:multiLevelType w:val="multilevel"/>
    <w:tmpl w:val="C694A2DA"/>
    <w:name w:val="Reg10"/>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37" w15:restartNumberingAfterBreak="0">
    <w:nsid w:val="4B55483B"/>
    <w:multiLevelType w:val="multilevel"/>
    <w:tmpl w:val="BBA2A6C6"/>
    <w:name w:val="Reg16"/>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8" w15:restartNumberingAfterBreak="0">
    <w:nsid w:val="4DF0353F"/>
    <w:multiLevelType w:val="multilevel"/>
    <w:tmpl w:val="7C72A55E"/>
    <w:name w:val="Reg18"/>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9" w15:restartNumberingAfterBreak="0">
    <w:nsid w:val="524561C4"/>
    <w:multiLevelType w:val="multilevel"/>
    <w:tmpl w:val="A26A24AE"/>
    <w:name w:val="Reg14"/>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0" w15:restartNumberingAfterBreak="0">
    <w:nsid w:val="55B96819"/>
    <w:multiLevelType w:val="multilevel"/>
    <w:tmpl w:val="C34025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7534708"/>
    <w:multiLevelType w:val="hybridMultilevel"/>
    <w:tmpl w:val="79EE08D2"/>
    <w:lvl w:ilvl="0" w:tplc="C58E8EEA">
      <w:start w:val="1"/>
      <w:numFmt w:val="lowerLetter"/>
      <w:pStyle w:val="EnumaratedItem"/>
      <w:lvlText w:val="(%1)"/>
      <w:lvlJc w:val="left"/>
      <w:pPr>
        <w:tabs>
          <w:tab w:val="num" w:pos="681"/>
        </w:tabs>
        <w:ind w:left="681"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5E65057A"/>
    <w:multiLevelType w:val="multilevel"/>
    <w:tmpl w:val="50041812"/>
    <w:name w:val="Reg1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3" w15:restartNumberingAfterBreak="0">
    <w:nsid w:val="639E5E02"/>
    <w:multiLevelType w:val="multilevel"/>
    <w:tmpl w:val="E9BEC3F6"/>
    <w:name w:val="Reg4"/>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44" w15:restartNumberingAfterBreak="0">
    <w:nsid w:val="646D080D"/>
    <w:multiLevelType w:val="multilevel"/>
    <w:tmpl w:val="EF504F0C"/>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4"/>
        <w:szCs w:val="24"/>
      </w:rPr>
    </w:lvl>
    <w:lvl w:ilvl="1">
      <w:start w:val="1"/>
      <w:numFmt w:val="upperLetter"/>
      <w:lvlText w:val="%2."/>
      <w:lvlJc w:val="right"/>
      <w:pPr>
        <w:tabs>
          <w:tab w:val="num" w:pos="1135"/>
        </w:tabs>
        <w:ind w:left="1135" w:hanging="284"/>
      </w:pPr>
      <w:rPr>
        <w:rFonts w:ascii="Times New Roman" w:hAnsi="Times New Roman" w:cs="Times New Roman" w:hint="default"/>
        <w:b/>
        <w:i w:val="0"/>
        <w:sz w:val="24"/>
      </w:rPr>
    </w:lvl>
    <w:lvl w:ilvl="2">
      <w:start w:val="1"/>
      <w:numFmt w:val="decimal"/>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lowerLetter"/>
      <w:lvlText w:val="(%4)"/>
      <w:lvlJc w:val="right"/>
      <w:pPr>
        <w:tabs>
          <w:tab w:val="num" w:pos="1134"/>
        </w:tabs>
        <w:ind w:left="1135" w:hanging="284"/>
      </w:pPr>
      <w:rPr>
        <w:rFonts w:ascii="Times New Roman" w:hAnsi="Times New Roman" w:cs="Times New Roman" w:hint="default"/>
        <w:b/>
        <w:i w:val="0"/>
        <w:sz w:val="20"/>
      </w:rPr>
    </w:lvl>
    <w:lvl w:ilvl="4">
      <w:start w:val="1"/>
      <w:numFmt w:val="lowerRoman"/>
      <w:lvlText w:val="(%5)"/>
      <w:lvlJc w:val="right"/>
      <w:pPr>
        <w:tabs>
          <w:tab w:val="num" w:pos="1134"/>
        </w:tabs>
        <w:ind w:left="1135" w:hanging="284"/>
      </w:pPr>
      <w:rPr>
        <w:rFonts w:ascii="Times New Roman" w:hAnsi="Times New Roman" w:hint="default"/>
        <w:b w:val="0"/>
        <w:i/>
      </w:rPr>
    </w:lvl>
    <w:lvl w:ilvl="5">
      <w:start w:val="1"/>
      <w:numFmt w:val="decimal"/>
      <w:lvlRestart w:val="0"/>
      <w:lvlText w:val="%6."/>
      <w:lvlJc w:val="left"/>
      <w:pPr>
        <w:ind w:left="1134" w:firstLine="0"/>
      </w:pPr>
      <w:rPr>
        <w:rFonts w:hint="default"/>
        <w:i w:val="0"/>
        <w:iCs w:val="0"/>
        <w:sz w:val="20"/>
      </w:rPr>
    </w:lvl>
    <w:lvl w:ilvl="6">
      <w:start w:val="1"/>
      <w:numFmt w:val="lowerLetter"/>
      <w:lvlText w:val="(%7)"/>
      <w:lvlJc w:val="left"/>
      <w:pPr>
        <w:tabs>
          <w:tab w:val="num" w:pos="1702"/>
        </w:tabs>
        <w:ind w:left="1134" w:firstLine="567"/>
      </w:pPr>
      <w:rPr>
        <w:rFonts w:hint="default"/>
        <w:b w:val="0"/>
        <w:i w:val="0"/>
        <w:color w:val="auto"/>
        <w:sz w:val="20"/>
        <w:szCs w:val="28"/>
      </w:rPr>
    </w:lvl>
    <w:lvl w:ilvl="7">
      <w:start w:val="1"/>
      <w:numFmt w:val="lowerRoman"/>
      <w:lvlText w:val="(%8)"/>
      <w:lvlJc w:val="left"/>
      <w:pPr>
        <w:ind w:left="1701" w:firstLine="0"/>
      </w:pPr>
      <w:rPr>
        <w:rFonts w:hint="default"/>
        <w:sz w:val="20"/>
      </w:rPr>
    </w:lvl>
    <w:lvl w:ilvl="8">
      <w:start w:val="1"/>
      <w:numFmt w:val="lowerLetter"/>
      <w:lvlText w:val="%9."/>
      <w:lvlJc w:val="left"/>
      <w:pPr>
        <w:tabs>
          <w:tab w:val="num" w:pos="2268"/>
        </w:tabs>
        <w:ind w:left="2268" w:firstLine="0"/>
      </w:pPr>
      <w:rPr>
        <w:rFonts w:hint="default"/>
      </w:rPr>
    </w:lvl>
  </w:abstractNum>
  <w:abstractNum w:abstractNumId="45" w15:restartNumberingAfterBreak="0">
    <w:nsid w:val="64D345AC"/>
    <w:multiLevelType w:val="multilevel"/>
    <w:tmpl w:val="12C0BDFA"/>
    <w:name w:val="Reg35"/>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6" w15:restartNumberingAfterBreak="0">
    <w:nsid w:val="68E86605"/>
    <w:multiLevelType w:val="multilevel"/>
    <w:tmpl w:val="21B225BA"/>
    <w:name w:val="Reg29"/>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7" w15:restartNumberingAfterBreak="0">
    <w:nsid w:val="6BAA183E"/>
    <w:multiLevelType w:val="multilevel"/>
    <w:tmpl w:val="AE40536C"/>
    <w:name w:val="Reg33"/>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8" w15:restartNumberingAfterBreak="0">
    <w:nsid w:val="6E0B7288"/>
    <w:multiLevelType w:val="multilevel"/>
    <w:tmpl w:val="C4964E08"/>
    <w:lvl w:ilvl="0">
      <w:start w:val="1"/>
      <w:numFmt w:val="none"/>
      <w:pStyle w:val="SectionTitle"/>
      <w:suff w:val="nothing"/>
      <w:lvlText w:val="%1"/>
      <w:lvlJc w:val="left"/>
      <w:pPr>
        <w:ind w:left="0" w:firstLine="0"/>
      </w:pPr>
      <w:rPr>
        <w:rFonts w:hint="default"/>
      </w:rPr>
    </w:lvl>
    <w:lvl w:ilvl="1">
      <w:start w:val="1"/>
      <w:numFmt w:val="upperLetter"/>
      <w:pStyle w:val="SubSectionTitle"/>
      <w:lvlText w:val="%2."/>
      <w:lvlJc w:val="left"/>
      <w:pPr>
        <w:tabs>
          <w:tab w:val="num" w:pos="0"/>
        </w:tabs>
        <w:ind w:left="0" w:firstLine="0"/>
      </w:pPr>
      <w:rPr>
        <w:rFonts w:hint="default"/>
      </w:rPr>
    </w:lvl>
    <w:lvl w:ilvl="2">
      <w:start w:val="1"/>
      <w:numFmt w:val="decimal"/>
      <w:lvlText w:val="%3."/>
      <w:lvlJc w:val="left"/>
      <w:pPr>
        <w:tabs>
          <w:tab w:val="num" w:pos="2027"/>
        </w:tabs>
        <w:ind w:left="1667" w:firstLine="0"/>
      </w:pPr>
      <w:rPr>
        <w:rFonts w:hint="default"/>
      </w:rPr>
    </w:lvl>
    <w:lvl w:ilvl="3">
      <w:start w:val="1"/>
      <w:numFmt w:val="lowerLetter"/>
      <w:lvlText w:val="%4)"/>
      <w:lvlJc w:val="left"/>
      <w:pPr>
        <w:tabs>
          <w:tab w:val="num" w:pos="2747"/>
        </w:tabs>
        <w:ind w:left="2387" w:firstLine="0"/>
      </w:pPr>
      <w:rPr>
        <w:rFonts w:hint="default"/>
      </w:rPr>
    </w:lvl>
    <w:lvl w:ilvl="4">
      <w:start w:val="1"/>
      <w:numFmt w:val="decimal"/>
      <w:lvlText w:val="(%5)"/>
      <w:lvlJc w:val="left"/>
      <w:pPr>
        <w:tabs>
          <w:tab w:val="num" w:pos="3467"/>
        </w:tabs>
        <w:ind w:left="3107" w:firstLine="0"/>
      </w:pPr>
      <w:rPr>
        <w:rFonts w:hint="default"/>
      </w:rPr>
    </w:lvl>
    <w:lvl w:ilvl="5">
      <w:start w:val="1"/>
      <w:numFmt w:val="lowerLetter"/>
      <w:lvlText w:val="(%6)"/>
      <w:lvlJc w:val="left"/>
      <w:pPr>
        <w:tabs>
          <w:tab w:val="num" w:pos="4187"/>
        </w:tabs>
        <w:ind w:left="3827" w:firstLine="0"/>
      </w:pPr>
      <w:rPr>
        <w:rFonts w:hint="default"/>
      </w:rPr>
    </w:lvl>
    <w:lvl w:ilvl="6">
      <w:start w:val="1"/>
      <w:numFmt w:val="lowerRoman"/>
      <w:lvlText w:val="(%7)"/>
      <w:lvlJc w:val="left"/>
      <w:pPr>
        <w:tabs>
          <w:tab w:val="num" w:pos="4907"/>
        </w:tabs>
        <w:ind w:left="4547" w:firstLine="0"/>
      </w:pPr>
      <w:rPr>
        <w:rFonts w:hint="default"/>
      </w:rPr>
    </w:lvl>
    <w:lvl w:ilvl="7">
      <w:start w:val="1"/>
      <w:numFmt w:val="lowerLetter"/>
      <w:lvlText w:val="(%8)"/>
      <w:lvlJc w:val="left"/>
      <w:pPr>
        <w:tabs>
          <w:tab w:val="num" w:pos="5627"/>
        </w:tabs>
        <w:ind w:left="5267" w:firstLine="0"/>
      </w:pPr>
      <w:rPr>
        <w:rFonts w:hint="default"/>
      </w:rPr>
    </w:lvl>
    <w:lvl w:ilvl="8">
      <w:start w:val="1"/>
      <w:numFmt w:val="lowerRoman"/>
      <w:lvlText w:val="(%9)"/>
      <w:lvlJc w:val="left"/>
      <w:pPr>
        <w:tabs>
          <w:tab w:val="num" w:pos="6347"/>
        </w:tabs>
        <w:ind w:left="5987" w:firstLine="0"/>
      </w:pPr>
      <w:rPr>
        <w:rFonts w:hint="default"/>
      </w:rPr>
    </w:lvl>
  </w:abstractNum>
  <w:abstractNum w:abstractNumId="49" w15:restartNumberingAfterBreak="0">
    <w:nsid w:val="6E1606BE"/>
    <w:multiLevelType w:val="multilevel"/>
    <w:tmpl w:val="CC264296"/>
    <w:name w:val="Reg27"/>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50" w15:restartNumberingAfterBreak="0">
    <w:nsid w:val="6F060572"/>
    <w:multiLevelType w:val="multilevel"/>
    <w:tmpl w:val="5B66B3FC"/>
    <w:name w:val="Reg28"/>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51" w15:restartNumberingAfterBreak="0">
    <w:nsid w:val="6FF560E4"/>
    <w:multiLevelType w:val="multilevel"/>
    <w:tmpl w:val="CEB6C688"/>
    <w:lvl w:ilvl="0">
      <w:start w:val="1"/>
      <w:numFmt w:val="upperRoman"/>
      <w:pStyle w:val="TOC1"/>
      <w:lvlText w:val="%1."/>
      <w:lvlJc w:val="right"/>
      <w:pPr>
        <w:tabs>
          <w:tab w:val="num" w:pos="720"/>
        </w:tabs>
        <w:ind w:left="720" w:hanging="720"/>
      </w:pPr>
      <w:rPr>
        <w:rFonts w:hint="default"/>
        <w:b w:val="0"/>
        <w:sz w:val="22"/>
      </w:rPr>
    </w:lvl>
    <w:lvl w:ilvl="1">
      <w:start w:val="1"/>
      <w:numFmt w:val="upperLetter"/>
      <w:pStyle w:val="TOC2"/>
      <w:lvlText w:val="%2. "/>
      <w:lvlJc w:val="left"/>
      <w:pPr>
        <w:tabs>
          <w:tab w:val="num" w:pos="1440"/>
        </w:tabs>
        <w:ind w:left="1440" w:hanging="720"/>
      </w:pPr>
      <w:rPr>
        <w:rFonts w:hint="default"/>
        <w:b w:val="0"/>
        <w:i w:val="0"/>
        <w:sz w:val="22"/>
        <w:u w:val="none"/>
      </w:rPr>
    </w:lvl>
    <w:lvl w:ilvl="2">
      <w:start w:val="1"/>
      <w:numFmt w:val="decimal"/>
      <w:pStyle w:val="TOC3"/>
      <w:lvlText w:val="%3."/>
      <w:lvlJc w:val="left"/>
      <w:pPr>
        <w:tabs>
          <w:tab w:val="num" w:pos="2160"/>
        </w:tabs>
        <w:ind w:left="2160" w:hanging="720"/>
      </w:pPr>
      <w:rPr>
        <w:rFonts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75A102EB"/>
    <w:multiLevelType w:val="multilevel"/>
    <w:tmpl w:val="66C2BCDC"/>
    <w:name w:val="Reg25"/>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53" w15:restartNumberingAfterBreak="0">
    <w:nsid w:val="7D2D0B40"/>
    <w:multiLevelType w:val="multilevel"/>
    <w:tmpl w:val="9F202050"/>
    <w:name w:val="Reg1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num w:numId="1" w16cid:durableId="267784701">
    <w:abstractNumId w:val="31"/>
  </w:num>
  <w:num w:numId="2" w16cid:durableId="1251236817">
    <w:abstractNumId w:val="33"/>
  </w:num>
  <w:num w:numId="3" w16cid:durableId="615140151">
    <w:abstractNumId w:val="51"/>
  </w:num>
  <w:num w:numId="4" w16cid:durableId="868252891">
    <w:abstractNumId w:val="13"/>
  </w:num>
  <w:num w:numId="5" w16cid:durableId="762647642">
    <w:abstractNumId w:val="30"/>
  </w:num>
  <w:num w:numId="6" w16cid:durableId="1974946050">
    <w:abstractNumId w:val="11"/>
  </w:num>
  <w:num w:numId="7" w16cid:durableId="269627555">
    <w:abstractNumId w:val="9"/>
  </w:num>
  <w:num w:numId="8" w16cid:durableId="280959758">
    <w:abstractNumId w:val="41"/>
  </w:num>
  <w:num w:numId="9" w16cid:durableId="729963793">
    <w:abstractNumId w:val="48"/>
  </w:num>
  <w:num w:numId="10" w16cid:durableId="643464036">
    <w:abstractNumId w:val="10"/>
  </w:num>
  <w:num w:numId="11" w16cid:durableId="158086382">
    <w:abstractNumId w:val="41"/>
    <w:lvlOverride w:ilvl="0">
      <w:startOverride w:val="1"/>
    </w:lvlOverride>
  </w:num>
  <w:num w:numId="12" w16cid:durableId="1283195070">
    <w:abstractNumId w:val="35"/>
  </w:num>
  <w:num w:numId="13" w16cid:durableId="1034161245">
    <w:abstractNumId w:val="40"/>
  </w:num>
  <w:num w:numId="14" w16cid:durableId="1352535362">
    <w:abstractNumId w:val="0"/>
  </w:num>
  <w:num w:numId="15" w16cid:durableId="1532960058">
    <w:abstractNumId w:val="41"/>
  </w:num>
  <w:num w:numId="16" w16cid:durableId="3825884">
    <w:abstractNumId w:val="23"/>
  </w:num>
  <w:num w:numId="17" w16cid:durableId="101635123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0215552">
    <w:abstractNumId w:val="48"/>
  </w:num>
  <w:num w:numId="19" w16cid:durableId="1680351010">
    <w:abstractNumId w:val="48"/>
  </w:num>
  <w:num w:numId="20" w16cid:durableId="251475812">
    <w:abstractNumId w:val="48"/>
  </w:num>
  <w:num w:numId="21" w16cid:durableId="759907291">
    <w:abstractNumId w:val="48"/>
  </w:num>
  <w:num w:numId="22" w16cid:durableId="1454448483">
    <w:abstractNumId w:val="48"/>
  </w:num>
  <w:num w:numId="23" w16cid:durableId="62216302">
    <w:abstractNumId w:val="25"/>
  </w:num>
  <w:num w:numId="24" w16cid:durableId="726995919">
    <w:abstractNumId w:val="48"/>
  </w:num>
  <w:num w:numId="25" w16cid:durableId="1884781128">
    <w:abstractNumId w:val="48"/>
  </w:num>
  <w:num w:numId="26" w16cid:durableId="289481532">
    <w:abstractNumId w:val="44"/>
  </w:num>
  <w:num w:numId="27" w16cid:durableId="7049870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104555">
    <w:abstractNumId w:val="48"/>
  </w:num>
  <w:num w:numId="29" w16cid:durableId="2076707464">
    <w:abstractNumId w:val="3"/>
  </w:num>
  <w:num w:numId="30" w16cid:durableId="1338724998">
    <w:abstractNumId w:val="48"/>
  </w:num>
  <w:num w:numId="31" w16cid:durableId="1239704990">
    <w:abstractNumId w:val="48"/>
  </w:num>
  <w:num w:numId="32" w16cid:durableId="1473446039">
    <w:abstractNumId w:val="48"/>
  </w:num>
  <w:num w:numId="33" w16cid:durableId="180971108">
    <w:abstractNumId w:val="48"/>
  </w:num>
  <w:num w:numId="34" w16cid:durableId="371199872">
    <w:abstractNumId w:val="48"/>
  </w:num>
  <w:num w:numId="35" w16cid:durableId="1712919426">
    <w:abstractNumId w:val="48"/>
  </w:num>
  <w:num w:numId="36" w16cid:durableId="1911117839">
    <w:abstractNumId w:val="48"/>
  </w:num>
  <w:num w:numId="37" w16cid:durableId="1614510826">
    <w:abstractNumId w:val="48"/>
  </w:num>
  <w:num w:numId="38" w16cid:durableId="1346438475">
    <w:abstractNumId w:val="48"/>
  </w:num>
  <w:num w:numId="39" w16cid:durableId="445269188">
    <w:abstractNumId w:val="48"/>
  </w:num>
  <w:num w:numId="40" w16cid:durableId="1483959028">
    <w:abstractNumId w:val="48"/>
  </w:num>
  <w:num w:numId="41" w16cid:durableId="1740133646">
    <w:abstractNumId w:val="48"/>
  </w:num>
  <w:num w:numId="42" w16cid:durableId="1418596496">
    <w:abstractNumId w:val="48"/>
  </w:num>
  <w:num w:numId="43" w16cid:durableId="243226294">
    <w:abstractNumId w:val="48"/>
  </w:num>
  <w:num w:numId="44" w16cid:durableId="549222925">
    <w:abstractNumId w:val="48"/>
  </w:num>
  <w:num w:numId="45" w16cid:durableId="14581228">
    <w:abstractNumId w:val="48"/>
  </w:num>
  <w:num w:numId="46" w16cid:durableId="1028915507">
    <w:abstractNumId w:val="48"/>
  </w:num>
  <w:num w:numId="47" w16cid:durableId="2009020537">
    <w:abstractNumId w:val="4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rawingGridHorizontalSpacing w:val="110"/>
  <w:drawingGridVerticalSpacing w:val="299"/>
  <w:displayHorizontalDrawingGridEvery w:val="0"/>
  <w:displayVerticalDrawingGridEvery w:val="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7F6"/>
    <w:rsid w:val="00002447"/>
    <w:rsid w:val="000026D9"/>
    <w:rsid w:val="00004487"/>
    <w:rsid w:val="00006412"/>
    <w:rsid w:val="00007E15"/>
    <w:rsid w:val="000104B7"/>
    <w:rsid w:val="000113A0"/>
    <w:rsid w:val="000124B9"/>
    <w:rsid w:val="00014F54"/>
    <w:rsid w:val="00015DE1"/>
    <w:rsid w:val="0001699C"/>
    <w:rsid w:val="00016A52"/>
    <w:rsid w:val="00016BCA"/>
    <w:rsid w:val="00020D29"/>
    <w:rsid w:val="00021040"/>
    <w:rsid w:val="00021150"/>
    <w:rsid w:val="00021C8C"/>
    <w:rsid w:val="00021D6A"/>
    <w:rsid w:val="00021DE8"/>
    <w:rsid w:val="00021FB0"/>
    <w:rsid w:val="00022196"/>
    <w:rsid w:val="0002357D"/>
    <w:rsid w:val="00023CE4"/>
    <w:rsid w:val="00024684"/>
    <w:rsid w:val="000253FA"/>
    <w:rsid w:val="000255E9"/>
    <w:rsid w:val="000257C2"/>
    <w:rsid w:val="000259D2"/>
    <w:rsid w:val="00026210"/>
    <w:rsid w:val="000262D9"/>
    <w:rsid w:val="000267CC"/>
    <w:rsid w:val="0002764E"/>
    <w:rsid w:val="00031FBC"/>
    <w:rsid w:val="00034460"/>
    <w:rsid w:val="00035381"/>
    <w:rsid w:val="0003576D"/>
    <w:rsid w:val="0003643B"/>
    <w:rsid w:val="00036767"/>
    <w:rsid w:val="00036B11"/>
    <w:rsid w:val="00037AC7"/>
    <w:rsid w:val="00042409"/>
    <w:rsid w:val="000426AA"/>
    <w:rsid w:val="00042790"/>
    <w:rsid w:val="00043101"/>
    <w:rsid w:val="000432A9"/>
    <w:rsid w:val="00044C00"/>
    <w:rsid w:val="00045FBC"/>
    <w:rsid w:val="00046A1F"/>
    <w:rsid w:val="00046DF1"/>
    <w:rsid w:val="00047262"/>
    <w:rsid w:val="00047355"/>
    <w:rsid w:val="00047CB1"/>
    <w:rsid w:val="000505C0"/>
    <w:rsid w:val="00050B6E"/>
    <w:rsid w:val="00051880"/>
    <w:rsid w:val="000533D8"/>
    <w:rsid w:val="00053BD1"/>
    <w:rsid w:val="000540DE"/>
    <w:rsid w:val="00054B6D"/>
    <w:rsid w:val="00057230"/>
    <w:rsid w:val="000602ED"/>
    <w:rsid w:val="000615F0"/>
    <w:rsid w:val="00062844"/>
    <w:rsid w:val="000636C3"/>
    <w:rsid w:val="00063F9C"/>
    <w:rsid w:val="00064D4F"/>
    <w:rsid w:val="00064F19"/>
    <w:rsid w:val="000651F0"/>
    <w:rsid w:val="00065ABF"/>
    <w:rsid w:val="0006720A"/>
    <w:rsid w:val="00071FFB"/>
    <w:rsid w:val="00073364"/>
    <w:rsid w:val="00074549"/>
    <w:rsid w:val="00074C7B"/>
    <w:rsid w:val="00075079"/>
    <w:rsid w:val="0007591F"/>
    <w:rsid w:val="00076CE4"/>
    <w:rsid w:val="0007704C"/>
    <w:rsid w:val="00081A38"/>
    <w:rsid w:val="00082283"/>
    <w:rsid w:val="00082A4C"/>
    <w:rsid w:val="00083A3C"/>
    <w:rsid w:val="00084393"/>
    <w:rsid w:val="00085CE4"/>
    <w:rsid w:val="00086407"/>
    <w:rsid w:val="0008655C"/>
    <w:rsid w:val="00086AEF"/>
    <w:rsid w:val="00087110"/>
    <w:rsid w:val="00087B50"/>
    <w:rsid w:val="00087FDD"/>
    <w:rsid w:val="00091DEC"/>
    <w:rsid w:val="0009235B"/>
    <w:rsid w:val="00093C28"/>
    <w:rsid w:val="00094E37"/>
    <w:rsid w:val="00094EF1"/>
    <w:rsid w:val="00094F60"/>
    <w:rsid w:val="000956CC"/>
    <w:rsid w:val="000969C6"/>
    <w:rsid w:val="00096B07"/>
    <w:rsid w:val="00096CB6"/>
    <w:rsid w:val="000A025B"/>
    <w:rsid w:val="000A051A"/>
    <w:rsid w:val="000A1304"/>
    <w:rsid w:val="000A1EE1"/>
    <w:rsid w:val="000A2F50"/>
    <w:rsid w:val="000A366B"/>
    <w:rsid w:val="000A4D9D"/>
    <w:rsid w:val="000A52FA"/>
    <w:rsid w:val="000B0250"/>
    <w:rsid w:val="000B309A"/>
    <w:rsid w:val="000B327F"/>
    <w:rsid w:val="000B34D5"/>
    <w:rsid w:val="000B383C"/>
    <w:rsid w:val="000B4812"/>
    <w:rsid w:val="000B4BDB"/>
    <w:rsid w:val="000B5114"/>
    <w:rsid w:val="000B518D"/>
    <w:rsid w:val="000B522A"/>
    <w:rsid w:val="000B55C6"/>
    <w:rsid w:val="000B5CF5"/>
    <w:rsid w:val="000B79A2"/>
    <w:rsid w:val="000B7E35"/>
    <w:rsid w:val="000B7E7A"/>
    <w:rsid w:val="000C091D"/>
    <w:rsid w:val="000C0D6E"/>
    <w:rsid w:val="000C1C2B"/>
    <w:rsid w:val="000C2FF1"/>
    <w:rsid w:val="000C34D5"/>
    <w:rsid w:val="000C365F"/>
    <w:rsid w:val="000C378A"/>
    <w:rsid w:val="000C4B41"/>
    <w:rsid w:val="000C4F82"/>
    <w:rsid w:val="000C5AE3"/>
    <w:rsid w:val="000C61AF"/>
    <w:rsid w:val="000C6234"/>
    <w:rsid w:val="000C66E6"/>
    <w:rsid w:val="000C724A"/>
    <w:rsid w:val="000C7F8F"/>
    <w:rsid w:val="000D043D"/>
    <w:rsid w:val="000D0448"/>
    <w:rsid w:val="000D4282"/>
    <w:rsid w:val="000D5A31"/>
    <w:rsid w:val="000D6276"/>
    <w:rsid w:val="000D698B"/>
    <w:rsid w:val="000D6994"/>
    <w:rsid w:val="000E032E"/>
    <w:rsid w:val="000E07D7"/>
    <w:rsid w:val="000E07F6"/>
    <w:rsid w:val="000E1677"/>
    <w:rsid w:val="000E2170"/>
    <w:rsid w:val="000E39B6"/>
    <w:rsid w:val="000E3D54"/>
    <w:rsid w:val="000E3DA3"/>
    <w:rsid w:val="000E4992"/>
    <w:rsid w:val="000E5B06"/>
    <w:rsid w:val="000F3EF7"/>
    <w:rsid w:val="000F40CB"/>
    <w:rsid w:val="000F46A0"/>
    <w:rsid w:val="000F4E5B"/>
    <w:rsid w:val="000F7727"/>
    <w:rsid w:val="001001E7"/>
    <w:rsid w:val="00100C2C"/>
    <w:rsid w:val="00100D83"/>
    <w:rsid w:val="00101D8E"/>
    <w:rsid w:val="00101DB6"/>
    <w:rsid w:val="00103012"/>
    <w:rsid w:val="0010402D"/>
    <w:rsid w:val="00105DC3"/>
    <w:rsid w:val="001065B4"/>
    <w:rsid w:val="0010697A"/>
    <w:rsid w:val="0010786D"/>
    <w:rsid w:val="00110BE8"/>
    <w:rsid w:val="00111272"/>
    <w:rsid w:val="00112C6D"/>
    <w:rsid w:val="0011465D"/>
    <w:rsid w:val="00115957"/>
    <w:rsid w:val="00115F3A"/>
    <w:rsid w:val="00115F6C"/>
    <w:rsid w:val="00117DBE"/>
    <w:rsid w:val="001200E2"/>
    <w:rsid w:val="001202ED"/>
    <w:rsid w:val="00120BCC"/>
    <w:rsid w:val="00121E83"/>
    <w:rsid w:val="00123D0C"/>
    <w:rsid w:val="00124938"/>
    <w:rsid w:val="0012536D"/>
    <w:rsid w:val="00125562"/>
    <w:rsid w:val="00125B1C"/>
    <w:rsid w:val="0013048A"/>
    <w:rsid w:val="001304B8"/>
    <w:rsid w:val="00130B72"/>
    <w:rsid w:val="00131CE7"/>
    <w:rsid w:val="00133166"/>
    <w:rsid w:val="00134130"/>
    <w:rsid w:val="00134B95"/>
    <w:rsid w:val="001353CC"/>
    <w:rsid w:val="0013540C"/>
    <w:rsid w:val="00135877"/>
    <w:rsid w:val="00136BC2"/>
    <w:rsid w:val="00136C26"/>
    <w:rsid w:val="00136DDE"/>
    <w:rsid w:val="00137242"/>
    <w:rsid w:val="00140AC7"/>
    <w:rsid w:val="00140EC4"/>
    <w:rsid w:val="00142910"/>
    <w:rsid w:val="001443E3"/>
    <w:rsid w:val="00145F40"/>
    <w:rsid w:val="001464D9"/>
    <w:rsid w:val="001469DF"/>
    <w:rsid w:val="00146CE0"/>
    <w:rsid w:val="00147B67"/>
    <w:rsid w:val="00150833"/>
    <w:rsid w:val="00152488"/>
    <w:rsid w:val="00152965"/>
    <w:rsid w:val="00153251"/>
    <w:rsid w:val="00153974"/>
    <w:rsid w:val="001542FC"/>
    <w:rsid w:val="00154D9B"/>
    <w:rsid w:val="00155296"/>
    <w:rsid w:val="00155905"/>
    <w:rsid w:val="00156447"/>
    <w:rsid w:val="00156456"/>
    <w:rsid w:val="00156A32"/>
    <w:rsid w:val="00156DC8"/>
    <w:rsid w:val="0016011C"/>
    <w:rsid w:val="00160584"/>
    <w:rsid w:val="00160B1E"/>
    <w:rsid w:val="00161721"/>
    <w:rsid w:val="00161E62"/>
    <w:rsid w:val="001634F8"/>
    <w:rsid w:val="0016359A"/>
    <w:rsid w:val="0016474F"/>
    <w:rsid w:val="0016577C"/>
    <w:rsid w:val="00165AF5"/>
    <w:rsid w:val="00166586"/>
    <w:rsid w:val="00166820"/>
    <w:rsid w:val="00167CB3"/>
    <w:rsid w:val="00170076"/>
    <w:rsid w:val="00170C4E"/>
    <w:rsid w:val="0017330C"/>
    <w:rsid w:val="00173AF3"/>
    <w:rsid w:val="00173C78"/>
    <w:rsid w:val="001740EB"/>
    <w:rsid w:val="00174FF0"/>
    <w:rsid w:val="0017582F"/>
    <w:rsid w:val="00176466"/>
    <w:rsid w:val="00176861"/>
    <w:rsid w:val="00176A3C"/>
    <w:rsid w:val="00180B4F"/>
    <w:rsid w:val="00182E2C"/>
    <w:rsid w:val="0018481C"/>
    <w:rsid w:val="00184AC3"/>
    <w:rsid w:val="00184FF8"/>
    <w:rsid w:val="00186255"/>
    <w:rsid w:val="00186308"/>
    <w:rsid w:val="0018660D"/>
    <w:rsid w:val="00187168"/>
    <w:rsid w:val="00191531"/>
    <w:rsid w:val="001919E0"/>
    <w:rsid w:val="001931EC"/>
    <w:rsid w:val="00193D3F"/>
    <w:rsid w:val="00194AB3"/>
    <w:rsid w:val="001952CD"/>
    <w:rsid w:val="00195C53"/>
    <w:rsid w:val="001A1335"/>
    <w:rsid w:val="001A2B11"/>
    <w:rsid w:val="001A3416"/>
    <w:rsid w:val="001A365F"/>
    <w:rsid w:val="001A4893"/>
    <w:rsid w:val="001A549D"/>
    <w:rsid w:val="001A5EA3"/>
    <w:rsid w:val="001A63E8"/>
    <w:rsid w:val="001A730E"/>
    <w:rsid w:val="001A751C"/>
    <w:rsid w:val="001B2A9D"/>
    <w:rsid w:val="001B2C94"/>
    <w:rsid w:val="001B3839"/>
    <w:rsid w:val="001B4095"/>
    <w:rsid w:val="001B6EDE"/>
    <w:rsid w:val="001B7545"/>
    <w:rsid w:val="001C00D7"/>
    <w:rsid w:val="001C0510"/>
    <w:rsid w:val="001C1D40"/>
    <w:rsid w:val="001C1E50"/>
    <w:rsid w:val="001C3A63"/>
    <w:rsid w:val="001C480F"/>
    <w:rsid w:val="001C4B65"/>
    <w:rsid w:val="001C68FF"/>
    <w:rsid w:val="001C77A5"/>
    <w:rsid w:val="001D2D92"/>
    <w:rsid w:val="001D2E71"/>
    <w:rsid w:val="001D3580"/>
    <w:rsid w:val="001D4475"/>
    <w:rsid w:val="001D5191"/>
    <w:rsid w:val="001D7588"/>
    <w:rsid w:val="001D793A"/>
    <w:rsid w:val="001D7C5A"/>
    <w:rsid w:val="001E0B82"/>
    <w:rsid w:val="001E1BB0"/>
    <w:rsid w:val="001E2A02"/>
    <w:rsid w:val="001E306D"/>
    <w:rsid w:val="001E469C"/>
    <w:rsid w:val="001E4BD3"/>
    <w:rsid w:val="001E5163"/>
    <w:rsid w:val="001E57FB"/>
    <w:rsid w:val="001E5D31"/>
    <w:rsid w:val="001E605A"/>
    <w:rsid w:val="001E6369"/>
    <w:rsid w:val="001E799B"/>
    <w:rsid w:val="001F26C7"/>
    <w:rsid w:val="001F3069"/>
    <w:rsid w:val="001F3927"/>
    <w:rsid w:val="001F4192"/>
    <w:rsid w:val="001F42B9"/>
    <w:rsid w:val="001F52E9"/>
    <w:rsid w:val="001F57C8"/>
    <w:rsid w:val="001F67E5"/>
    <w:rsid w:val="001F6A3C"/>
    <w:rsid w:val="001F7918"/>
    <w:rsid w:val="00201024"/>
    <w:rsid w:val="00201120"/>
    <w:rsid w:val="00201AFF"/>
    <w:rsid w:val="002029E5"/>
    <w:rsid w:val="002042DC"/>
    <w:rsid w:val="002051F4"/>
    <w:rsid w:val="00207143"/>
    <w:rsid w:val="00207B19"/>
    <w:rsid w:val="00207BC3"/>
    <w:rsid w:val="00207FA6"/>
    <w:rsid w:val="0021091A"/>
    <w:rsid w:val="00212181"/>
    <w:rsid w:val="00214F33"/>
    <w:rsid w:val="00215030"/>
    <w:rsid w:val="00216353"/>
    <w:rsid w:val="00220507"/>
    <w:rsid w:val="0022115E"/>
    <w:rsid w:val="002227C2"/>
    <w:rsid w:val="00223D03"/>
    <w:rsid w:val="00224D22"/>
    <w:rsid w:val="0022564C"/>
    <w:rsid w:val="00225782"/>
    <w:rsid w:val="002271AB"/>
    <w:rsid w:val="002306C8"/>
    <w:rsid w:val="00230F8E"/>
    <w:rsid w:val="00230F98"/>
    <w:rsid w:val="002322D9"/>
    <w:rsid w:val="00232DE5"/>
    <w:rsid w:val="00234AF0"/>
    <w:rsid w:val="00235EED"/>
    <w:rsid w:val="00236CF8"/>
    <w:rsid w:val="00242E0F"/>
    <w:rsid w:val="00242E36"/>
    <w:rsid w:val="002435B8"/>
    <w:rsid w:val="00243BE6"/>
    <w:rsid w:val="00246ACC"/>
    <w:rsid w:val="002470B8"/>
    <w:rsid w:val="0024741E"/>
    <w:rsid w:val="00250BAF"/>
    <w:rsid w:val="0025173E"/>
    <w:rsid w:val="002532F4"/>
    <w:rsid w:val="00255FDF"/>
    <w:rsid w:val="00256B08"/>
    <w:rsid w:val="002572FE"/>
    <w:rsid w:val="00257797"/>
    <w:rsid w:val="00257C6A"/>
    <w:rsid w:val="00257D65"/>
    <w:rsid w:val="002605F7"/>
    <w:rsid w:val="00262CDC"/>
    <w:rsid w:val="0026367B"/>
    <w:rsid w:val="00266554"/>
    <w:rsid w:val="00266822"/>
    <w:rsid w:val="00266EC3"/>
    <w:rsid w:val="00266F7A"/>
    <w:rsid w:val="00270238"/>
    <w:rsid w:val="0027051A"/>
    <w:rsid w:val="002707F5"/>
    <w:rsid w:val="00271D0E"/>
    <w:rsid w:val="00272A7B"/>
    <w:rsid w:val="00274D2F"/>
    <w:rsid w:val="00275852"/>
    <w:rsid w:val="00276579"/>
    <w:rsid w:val="002800BA"/>
    <w:rsid w:val="002804E2"/>
    <w:rsid w:val="0028123A"/>
    <w:rsid w:val="00281A86"/>
    <w:rsid w:val="00283539"/>
    <w:rsid w:val="00284FA2"/>
    <w:rsid w:val="002855F2"/>
    <w:rsid w:val="002863FC"/>
    <w:rsid w:val="00286C83"/>
    <w:rsid w:val="00286E79"/>
    <w:rsid w:val="002870F3"/>
    <w:rsid w:val="0028751B"/>
    <w:rsid w:val="00287877"/>
    <w:rsid w:val="00290732"/>
    <w:rsid w:val="00291045"/>
    <w:rsid w:val="00291396"/>
    <w:rsid w:val="00291E75"/>
    <w:rsid w:val="00291EEF"/>
    <w:rsid w:val="00292115"/>
    <w:rsid w:val="002928D9"/>
    <w:rsid w:val="00293731"/>
    <w:rsid w:val="00293C40"/>
    <w:rsid w:val="00293F5A"/>
    <w:rsid w:val="002948BD"/>
    <w:rsid w:val="00294C6A"/>
    <w:rsid w:val="002973C4"/>
    <w:rsid w:val="0029798A"/>
    <w:rsid w:val="002A0208"/>
    <w:rsid w:val="002A0ECB"/>
    <w:rsid w:val="002A12DE"/>
    <w:rsid w:val="002A2608"/>
    <w:rsid w:val="002A2614"/>
    <w:rsid w:val="002A40D3"/>
    <w:rsid w:val="002A4226"/>
    <w:rsid w:val="002A525B"/>
    <w:rsid w:val="002A5E57"/>
    <w:rsid w:val="002A5EEC"/>
    <w:rsid w:val="002B0AB3"/>
    <w:rsid w:val="002B1640"/>
    <w:rsid w:val="002B19BA"/>
    <w:rsid w:val="002B22F9"/>
    <w:rsid w:val="002B3C3E"/>
    <w:rsid w:val="002B4ADA"/>
    <w:rsid w:val="002B4D6D"/>
    <w:rsid w:val="002B534B"/>
    <w:rsid w:val="002B53C9"/>
    <w:rsid w:val="002B58A3"/>
    <w:rsid w:val="002B5CBC"/>
    <w:rsid w:val="002B64E3"/>
    <w:rsid w:val="002B7BD8"/>
    <w:rsid w:val="002C0A92"/>
    <w:rsid w:val="002C0D30"/>
    <w:rsid w:val="002C2B15"/>
    <w:rsid w:val="002C2CD4"/>
    <w:rsid w:val="002C327B"/>
    <w:rsid w:val="002C3FE8"/>
    <w:rsid w:val="002C5BEF"/>
    <w:rsid w:val="002C6766"/>
    <w:rsid w:val="002C7E16"/>
    <w:rsid w:val="002D043A"/>
    <w:rsid w:val="002D0AE1"/>
    <w:rsid w:val="002D1217"/>
    <w:rsid w:val="002D14B7"/>
    <w:rsid w:val="002D154C"/>
    <w:rsid w:val="002D158E"/>
    <w:rsid w:val="002D2BE5"/>
    <w:rsid w:val="002D2E77"/>
    <w:rsid w:val="002D4265"/>
    <w:rsid w:val="002D4D28"/>
    <w:rsid w:val="002D521F"/>
    <w:rsid w:val="002D6D9F"/>
    <w:rsid w:val="002D6F81"/>
    <w:rsid w:val="002D6FBF"/>
    <w:rsid w:val="002D7704"/>
    <w:rsid w:val="002D7D79"/>
    <w:rsid w:val="002E09F1"/>
    <w:rsid w:val="002E1C53"/>
    <w:rsid w:val="002E27FB"/>
    <w:rsid w:val="002E2B41"/>
    <w:rsid w:val="002E2E17"/>
    <w:rsid w:val="002E3E7E"/>
    <w:rsid w:val="002E5930"/>
    <w:rsid w:val="002E66F9"/>
    <w:rsid w:val="002E75DE"/>
    <w:rsid w:val="002E799B"/>
    <w:rsid w:val="002F1782"/>
    <w:rsid w:val="002F2F5C"/>
    <w:rsid w:val="002F35E5"/>
    <w:rsid w:val="002F572C"/>
    <w:rsid w:val="002F7ED4"/>
    <w:rsid w:val="00300698"/>
    <w:rsid w:val="00301BCA"/>
    <w:rsid w:val="00302278"/>
    <w:rsid w:val="00304189"/>
    <w:rsid w:val="003047E9"/>
    <w:rsid w:val="0030545B"/>
    <w:rsid w:val="00306419"/>
    <w:rsid w:val="00306FDE"/>
    <w:rsid w:val="00307F71"/>
    <w:rsid w:val="00310503"/>
    <w:rsid w:val="00310A2E"/>
    <w:rsid w:val="00311304"/>
    <w:rsid w:val="003115DA"/>
    <w:rsid w:val="00312B91"/>
    <w:rsid w:val="00312EE5"/>
    <w:rsid w:val="00313AA0"/>
    <w:rsid w:val="003147D2"/>
    <w:rsid w:val="00316116"/>
    <w:rsid w:val="003166DD"/>
    <w:rsid w:val="0031691E"/>
    <w:rsid w:val="00317526"/>
    <w:rsid w:val="00317BA4"/>
    <w:rsid w:val="0032065A"/>
    <w:rsid w:val="00320AE4"/>
    <w:rsid w:val="00321162"/>
    <w:rsid w:val="00321F06"/>
    <w:rsid w:val="0032233E"/>
    <w:rsid w:val="0032239D"/>
    <w:rsid w:val="00322A26"/>
    <w:rsid w:val="00323E2C"/>
    <w:rsid w:val="00326353"/>
    <w:rsid w:val="0032660E"/>
    <w:rsid w:val="00326848"/>
    <w:rsid w:val="003268C4"/>
    <w:rsid w:val="00331677"/>
    <w:rsid w:val="00331C8C"/>
    <w:rsid w:val="00331E33"/>
    <w:rsid w:val="00332A50"/>
    <w:rsid w:val="00333CCC"/>
    <w:rsid w:val="0033423C"/>
    <w:rsid w:val="00335791"/>
    <w:rsid w:val="00336A84"/>
    <w:rsid w:val="00337336"/>
    <w:rsid w:val="0033752F"/>
    <w:rsid w:val="00341006"/>
    <w:rsid w:val="00342167"/>
    <w:rsid w:val="003422F2"/>
    <w:rsid w:val="003423B1"/>
    <w:rsid w:val="003429A6"/>
    <w:rsid w:val="003439B3"/>
    <w:rsid w:val="00343E9D"/>
    <w:rsid w:val="00344BCB"/>
    <w:rsid w:val="003451DD"/>
    <w:rsid w:val="00345518"/>
    <w:rsid w:val="0034567A"/>
    <w:rsid w:val="00345ECA"/>
    <w:rsid w:val="00346849"/>
    <w:rsid w:val="003471FA"/>
    <w:rsid w:val="00347376"/>
    <w:rsid w:val="00350173"/>
    <w:rsid w:val="0035119E"/>
    <w:rsid w:val="00353918"/>
    <w:rsid w:val="00353ED3"/>
    <w:rsid w:val="0035525F"/>
    <w:rsid w:val="0035622C"/>
    <w:rsid w:val="003564A5"/>
    <w:rsid w:val="00356829"/>
    <w:rsid w:val="00357062"/>
    <w:rsid w:val="00357281"/>
    <w:rsid w:val="00360077"/>
    <w:rsid w:val="003607A6"/>
    <w:rsid w:val="003648FA"/>
    <w:rsid w:val="0036562E"/>
    <w:rsid w:val="00366969"/>
    <w:rsid w:val="00367417"/>
    <w:rsid w:val="003675AC"/>
    <w:rsid w:val="003676F1"/>
    <w:rsid w:val="003704B5"/>
    <w:rsid w:val="00371119"/>
    <w:rsid w:val="00371C79"/>
    <w:rsid w:val="00372700"/>
    <w:rsid w:val="00372C69"/>
    <w:rsid w:val="00372D92"/>
    <w:rsid w:val="003735DC"/>
    <w:rsid w:val="00373688"/>
    <w:rsid w:val="003738CF"/>
    <w:rsid w:val="00373D47"/>
    <w:rsid w:val="00374288"/>
    <w:rsid w:val="00376EAC"/>
    <w:rsid w:val="00377CFB"/>
    <w:rsid w:val="00381E35"/>
    <w:rsid w:val="003820D8"/>
    <w:rsid w:val="00383527"/>
    <w:rsid w:val="00383753"/>
    <w:rsid w:val="00385A1C"/>
    <w:rsid w:val="00385D72"/>
    <w:rsid w:val="003861AB"/>
    <w:rsid w:val="003862D7"/>
    <w:rsid w:val="00386A80"/>
    <w:rsid w:val="00386AA5"/>
    <w:rsid w:val="00386B03"/>
    <w:rsid w:val="00386D29"/>
    <w:rsid w:val="0039089E"/>
    <w:rsid w:val="00390BE2"/>
    <w:rsid w:val="0039157B"/>
    <w:rsid w:val="003916F3"/>
    <w:rsid w:val="0039308B"/>
    <w:rsid w:val="00393D03"/>
    <w:rsid w:val="0039519A"/>
    <w:rsid w:val="00396229"/>
    <w:rsid w:val="003A0827"/>
    <w:rsid w:val="003A0B00"/>
    <w:rsid w:val="003A0F2A"/>
    <w:rsid w:val="003A2476"/>
    <w:rsid w:val="003A2D6E"/>
    <w:rsid w:val="003A2F02"/>
    <w:rsid w:val="003A4E01"/>
    <w:rsid w:val="003A54A5"/>
    <w:rsid w:val="003A6736"/>
    <w:rsid w:val="003A69AA"/>
    <w:rsid w:val="003A747A"/>
    <w:rsid w:val="003B074B"/>
    <w:rsid w:val="003B0CC4"/>
    <w:rsid w:val="003B231A"/>
    <w:rsid w:val="003B2E58"/>
    <w:rsid w:val="003B39A1"/>
    <w:rsid w:val="003B4971"/>
    <w:rsid w:val="003B4A6A"/>
    <w:rsid w:val="003B5D13"/>
    <w:rsid w:val="003B5E8C"/>
    <w:rsid w:val="003B6238"/>
    <w:rsid w:val="003B624F"/>
    <w:rsid w:val="003B6BB0"/>
    <w:rsid w:val="003B741D"/>
    <w:rsid w:val="003B7460"/>
    <w:rsid w:val="003C14D4"/>
    <w:rsid w:val="003C19BA"/>
    <w:rsid w:val="003C305E"/>
    <w:rsid w:val="003C3932"/>
    <w:rsid w:val="003C3A64"/>
    <w:rsid w:val="003C5230"/>
    <w:rsid w:val="003C5CFD"/>
    <w:rsid w:val="003C610D"/>
    <w:rsid w:val="003D02BB"/>
    <w:rsid w:val="003D0AE5"/>
    <w:rsid w:val="003D0E72"/>
    <w:rsid w:val="003D1448"/>
    <w:rsid w:val="003D1DB2"/>
    <w:rsid w:val="003D4130"/>
    <w:rsid w:val="003D53C6"/>
    <w:rsid w:val="003D5A1F"/>
    <w:rsid w:val="003D5F21"/>
    <w:rsid w:val="003D6003"/>
    <w:rsid w:val="003E1284"/>
    <w:rsid w:val="003E1BAE"/>
    <w:rsid w:val="003E22DC"/>
    <w:rsid w:val="003E37B0"/>
    <w:rsid w:val="003E3F58"/>
    <w:rsid w:val="003E42F8"/>
    <w:rsid w:val="003E4435"/>
    <w:rsid w:val="003E4B6E"/>
    <w:rsid w:val="003E60D3"/>
    <w:rsid w:val="003E77C1"/>
    <w:rsid w:val="003F071C"/>
    <w:rsid w:val="003F082A"/>
    <w:rsid w:val="003F106C"/>
    <w:rsid w:val="003F305B"/>
    <w:rsid w:val="003F3621"/>
    <w:rsid w:val="003F4D2F"/>
    <w:rsid w:val="003F53AF"/>
    <w:rsid w:val="003F58E5"/>
    <w:rsid w:val="003F7074"/>
    <w:rsid w:val="003F779B"/>
    <w:rsid w:val="00401DB5"/>
    <w:rsid w:val="00402BF7"/>
    <w:rsid w:val="00406467"/>
    <w:rsid w:val="0041003B"/>
    <w:rsid w:val="00410B1D"/>
    <w:rsid w:val="0041157F"/>
    <w:rsid w:val="00411E34"/>
    <w:rsid w:val="00413D56"/>
    <w:rsid w:val="00413D8B"/>
    <w:rsid w:val="0041434D"/>
    <w:rsid w:val="00414A5C"/>
    <w:rsid w:val="00415D7D"/>
    <w:rsid w:val="004172A9"/>
    <w:rsid w:val="00417610"/>
    <w:rsid w:val="00417BD2"/>
    <w:rsid w:val="00417C8B"/>
    <w:rsid w:val="004210A2"/>
    <w:rsid w:val="00423242"/>
    <w:rsid w:val="004233B8"/>
    <w:rsid w:val="00423AD6"/>
    <w:rsid w:val="00424137"/>
    <w:rsid w:val="00424D55"/>
    <w:rsid w:val="00426055"/>
    <w:rsid w:val="00426D03"/>
    <w:rsid w:val="00427663"/>
    <w:rsid w:val="004279D1"/>
    <w:rsid w:val="00427E41"/>
    <w:rsid w:val="004328DB"/>
    <w:rsid w:val="00433406"/>
    <w:rsid w:val="00434762"/>
    <w:rsid w:val="0043523E"/>
    <w:rsid w:val="00436616"/>
    <w:rsid w:val="00436B11"/>
    <w:rsid w:val="00436ED8"/>
    <w:rsid w:val="00440426"/>
    <w:rsid w:val="0044061D"/>
    <w:rsid w:val="00440C51"/>
    <w:rsid w:val="00441521"/>
    <w:rsid w:val="00441FAB"/>
    <w:rsid w:val="00442448"/>
    <w:rsid w:val="00442513"/>
    <w:rsid w:val="0044267D"/>
    <w:rsid w:val="00442857"/>
    <w:rsid w:val="0044344A"/>
    <w:rsid w:val="00446E37"/>
    <w:rsid w:val="004474B4"/>
    <w:rsid w:val="004504A4"/>
    <w:rsid w:val="004506A5"/>
    <w:rsid w:val="00450FDA"/>
    <w:rsid w:val="0045279C"/>
    <w:rsid w:val="004537BA"/>
    <w:rsid w:val="00454C61"/>
    <w:rsid w:val="00454D36"/>
    <w:rsid w:val="00456AD1"/>
    <w:rsid w:val="00456FEB"/>
    <w:rsid w:val="004575E1"/>
    <w:rsid w:val="004603AF"/>
    <w:rsid w:val="00460740"/>
    <w:rsid w:val="00460AD9"/>
    <w:rsid w:val="004623A3"/>
    <w:rsid w:val="004640AC"/>
    <w:rsid w:val="004643A9"/>
    <w:rsid w:val="0046453A"/>
    <w:rsid w:val="00465CCF"/>
    <w:rsid w:val="004661F7"/>
    <w:rsid w:val="00466E65"/>
    <w:rsid w:val="0046715D"/>
    <w:rsid w:val="00467D8A"/>
    <w:rsid w:val="00472BD2"/>
    <w:rsid w:val="00473153"/>
    <w:rsid w:val="00473332"/>
    <w:rsid w:val="0047334D"/>
    <w:rsid w:val="00473D40"/>
    <w:rsid w:val="0047485C"/>
    <w:rsid w:val="00474F57"/>
    <w:rsid w:val="00477CDD"/>
    <w:rsid w:val="00477E4B"/>
    <w:rsid w:val="00480875"/>
    <w:rsid w:val="0048170A"/>
    <w:rsid w:val="00482E01"/>
    <w:rsid w:val="00483ECE"/>
    <w:rsid w:val="00484C4F"/>
    <w:rsid w:val="00484C6A"/>
    <w:rsid w:val="00486086"/>
    <w:rsid w:val="004863F5"/>
    <w:rsid w:val="004904B3"/>
    <w:rsid w:val="00491335"/>
    <w:rsid w:val="004916B3"/>
    <w:rsid w:val="00491916"/>
    <w:rsid w:val="004941C6"/>
    <w:rsid w:val="004947D0"/>
    <w:rsid w:val="00494979"/>
    <w:rsid w:val="00496DEB"/>
    <w:rsid w:val="004A06FE"/>
    <w:rsid w:val="004A1C36"/>
    <w:rsid w:val="004A246B"/>
    <w:rsid w:val="004A50A0"/>
    <w:rsid w:val="004A5355"/>
    <w:rsid w:val="004A7116"/>
    <w:rsid w:val="004A7D29"/>
    <w:rsid w:val="004B09C2"/>
    <w:rsid w:val="004B12E9"/>
    <w:rsid w:val="004B1880"/>
    <w:rsid w:val="004B2582"/>
    <w:rsid w:val="004B282A"/>
    <w:rsid w:val="004B3573"/>
    <w:rsid w:val="004B3D7D"/>
    <w:rsid w:val="004B40F4"/>
    <w:rsid w:val="004B4ADD"/>
    <w:rsid w:val="004B4B1E"/>
    <w:rsid w:val="004B539D"/>
    <w:rsid w:val="004B569C"/>
    <w:rsid w:val="004B5C31"/>
    <w:rsid w:val="004B6550"/>
    <w:rsid w:val="004B73B1"/>
    <w:rsid w:val="004B77E5"/>
    <w:rsid w:val="004B7FE4"/>
    <w:rsid w:val="004C15E3"/>
    <w:rsid w:val="004C1D00"/>
    <w:rsid w:val="004C206C"/>
    <w:rsid w:val="004C2536"/>
    <w:rsid w:val="004C2859"/>
    <w:rsid w:val="004C2CE0"/>
    <w:rsid w:val="004C2F07"/>
    <w:rsid w:val="004C3186"/>
    <w:rsid w:val="004C3545"/>
    <w:rsid w:val="004C3797"/>
    <w:rsid w:val="004C483E"/>
    <w:rsid w:val="004C61E4"/>
    <w:rsid w:val="004C687B"/>
    <w:rsid w:val="004C6EB9"/>
    <w:rsid w:val="004C73B3"/>
    <w:rsid w:val="004C78A5"/>
    <w:rsid w:val="004C7F3C"/>
    <w:rsid w:val="004D0CCF"/>
    <w:rsid w:val="004D14CE"/>
    <w:rsid w:val="004D17CE"/>
    <w:rsid w:val="004D1C1E"/>
    <w:rsid w:val="004D23C6"/>
    <w:rsid w:val="004D2B7F"/>
    <w:rsid w:val="004D2C9A"/>
    <w:rsid w:val="004D2DDF"/>
    <w:rsid w:val="004D3713"/>
    <w:rsid w:val="004D3827"/>
    <w:rsid w:val="004D3896"/>
    <w:rsid w:val="004D49C2"/>
    <w:rsid w:val="004D5134"/>
    <w:rsid w:val="004D62E6"/>
    <w:rsid w:val="004D6666"/>
    <w:rsid w:val="004D6681"/>
    <w:rsid w:val="004D7D84"/>
    <w:rsid w:val="004E0D69"/>
    <w:rsid w:val="004E0EC4"/>
    <w:rsid w:val="004E1B17"/>
    <w:rsid w:val="004E2288"/>
    <w:rsid w:val="004E37EC"/>
    <w:rsid w:val="004E4363"/>
    <w:rsid w:val="004E55E0"/>
    <w:rsid w:val="004E56BF"/>
    <w:rsid w:val="004E59EA"/>
    <w:rsid w:val="004E5F3E"/>
    <w:rsid w:val="004E6F4D"/>
    <w:rsid w:val="004E7232"/>
    <w:rsid w:val="004E7EC6"/>
    <w:rsid w:val="004F1079"/>
    <w:rsid w:val="004F2018"/>
    <w:rsid w:val="004F228C"/>
    <w:rsid w:val="004F25CD"/>
    <w:rsid w:val="004F2864"/>
    <w:rsid w:val="004F2A28"/>
    <w:rsid w:val="004F3039"/>
    <w:rsid w:val="004F3F89"/>
    <w:rsid w:val="004F4AA5"/>
    <w:rsid w:val="004F5388"/>
    <w:rsid w:val="004F6605"/>
    <w:rsid w:val="004F7C44"/>
    <w:rsid w:val="00500683"/>
    <w:rsid w:val="00500C9B"/>
    <w:rsid w:val="00500D1D"/>
    <w:rsid w:val="00500F5B"/>
    <w:rsid w:val="00500FDC"/>
    <w:rsid w:val="005010A1"/>
    <w:rsid w:val="00501A7C"/>
    <w:rsid w:val="00503B92"/>
    <w:rsid w:val="00503CA1"/>
    <w:rsid w:val="005057A1"/>
    <w:rsid w:val="00505A00"/>
    <w:rsid w:val="00505A15"/>
    <w:rsid w:val="00505D51"/>
    <w:rsid w:val="005119AE"/>
    <w:rsid w:val="0051228A"/>
    <w:rsid w:val="0051369B"/>
    <w:rsid w:val="00513D9F"/>
    <w:rsid w:val="00514465"/>
    <w:rsid w:val="0051486F"/>
    <w:rsid w:val="0051514A"/>
    <w:rsid w:val="00515EA9"/>
    <w:rsid w:val="00516128"/>
    <w:rsid w:val="0051673B"/>
    <w:rsid w:val="00516DD2"/>
    <w:rsid w:val="00520A52"/>
    <w:rsid w:val="00521A63"/>
    <w:rsid w:val="00521B6D"/>
    <w:rsid w:val="00521FB9"/>
    <w:rsid w:val="00523F05"/>
    <w:rsid w:val="0052480A"/>
    <w:rsid w:val="005262EA"/>
    <w:rsid w:val="00526550"/>
    <w:rsid w:val="005276D8"/>
    <w:rsid w:val="00527C8C"/>
    <w:rsid w:val="00530A2D"/>
    <w:rsid w:val="00530AAD"/>
    <w:rsid w:val="0053208A"/>
    <w:rsid w:val="005335EC"/>
    <w:rsid w:val="005345AC"/>
    <w:rsid w:val="005349DF"/>
    <w:rsid w:val="00537801"/>
    <w:rsid w:val="00541A49"/>
    <w:rsid w:val="00541B3B"/>
    <w:rsid w:val="00543E0C"/>
    <w:rsid w:val="005442DE"/>
    <w:rsid w:val="005443DA"/>
    <w:rsid w:val="005447B3"/>
    <w:rsid w:val="00545BFE"/>
    <w:rsid w:val="0054602D"/>
    <w:rsid w:val="0055083D"/>
    <w:rsid w:val="00551CDD"/>
    <w:rsid w:val="00551DBC"/>
    <w:rsid w:val="00553667"/>
    <w:rsid w:val="005540F3"/>
    <w:rsid w:val="00554CF0"/>
    <w:rsid w:val="005557D9"/>
    <w:rsid w:val="00556089"/>
    <w:rsid w:val="00556388"/>
    <w:rsid w:val="00556CD6"/>
    <w:rsid w:val="00557032"/>
    <w:rsid w:val="005571C4"/>
    <w:rsid w:val="00557400"/>
    <w:rsid w:val="0055797B"/>
    <w:rsid w:val="00560664"/>
    <w:rsid w:val="00561463"/>
    <w:rsid w:val="00561679"/>
    <w:rsid w:val="0056235F"/>
    <w:rsid w:val="005631C2"/>
    <w:rsid w:val="00563A59"/>
    <w:rsid w:val="005640A6"/>
    <w:rsid w:val="0056472A"/>
    <w:rsid w:val="00565573"/>
    <w:rsid w:val="00565E7D"/>
    <w:rsid w:val="005664D5"/>
    <w:rsid w:val="00566A39"/>
    <w:rsid w:val="00567472"/>
    <w:rsid w:val="00567717"/>
    <w:rsid w:val="00570947"/>
    <w:rsid w:val="00572491"/>
    <w:rsid w:val="00572F33"/>
    <w:rsid w:val="0057407D"/>
    <w:rsid w:val="005741D1"/>
    <w:rsid w:val="00574900"/>
    <w:rsid w:val="00574997"/>
    <w:rsid w:val="00575D7B"/>
    <w:rsid w:val="00576458"/>
    <w:rsid w:val="00576B08"/>
    <w:rsid w:val="00577057"/>
    <w:rsid w:val="00581847"/>
    <w:rsid w:val="00582D38"/>
    <w:rsid w:val="0058376D"/>
    <w:rsid w:val="00583847"/>
    <w:rsid w:val="005854B6"/>
    <w:rsid w:val="00585E4B"/>
    <w:rsid w:val="00587930"/>
    <w:rsid w:val="005879F0"/>
    <w:rsid w:val="00587C18"/>
    <w:rsid w:val="00587EBE"/>
    <w:rsid w:val="00591A5C"/>
    <w:rsid w:val="005922E4"/>
    <w:rsid w:val="0059299C"/>
    <w:rsid w:val="00593CAB"/>
    <w:rsid w:val="00593F01"/>
    <w:rsid w:val="00594901"/>
    <w:rsid w:val="00594C61"/>
    <w:rsid w:val="00594EA3"/>
    <w:rsid w:val="00597387"/>
    <w:rsid w:val="005A0796"/>
    <w:rsid w:val="005A25E1"/>
    <w:rsid w:val="005A271E"/>
    <w:rsid w:val="005A33CB"/>
    <w:rsid w:val="005A34CF"/>
    <w:rsid w:val="005A5A07"/>
    <w:rsid w:val="005A6C01"/>
    <w:rsid w:val="005A7D5B"/>
    <w:rsid w:val="005B0DF4"/>
    <w:rsid w:val="005B14B2"/>
    <w:rsid w:val="005B66AF"/>
    <w:rsid w:val="005B6C10"/>
    <w:rsid w:val="005B79F8"/>
    <w:rsid w:val="005C02F7"/>
    <w:rsid w:val="005C052E"/>
    <w:rsid w:val="005C12BF"/>
    <w:rsid w:val="005C2810"/>
    <w:rsid w:val="005C34AE"/>
    <w:rsid w:val="005C3D26"/>
    <w:rsid w:val="005C4B27"/>
    <w:rsid w:val="005C527D"/>
    <w:rsid w:val="005C5569"/>
    <w:rsid w:val="005C62CC"/>
    <w:rsid w:val="005C6AF2"/>
    <w:rsid w:val="005C78F9"/>
    <w:rsid w:val="005D04EE"/>
    <w:rsid w:val="005D1104"/>
    <w:rsid w:val="005D1764"/>
    <w:rsid w:val="005D2134"/>
    <w:rsid w:val="005D2AFE"/>
    <w:rsid w:val="005D3F31"/>
    <w:rsid w:val="005D4A45"/>
    <w:rsid w:val="005E063A"/>
    <w:rsid w:val="005E2B17"/>
    <w:rsid w:val="005E3966"/>
    <w:rsid w:val="005E4FA6"/>
    <w:rsid w:val="005E546D"/>
    <w:rsid w:val="005E5C13"/>
    <w:rsid w:val="005E7DBE"/>
    <w:rsid w:val="005F0CF3"/>
    <w:rsid w:val="005F1288"/>
    <w:rsid w:val="005F3791"/>
    <w:rsid w:val="005F539D"/>
    <w:rsid w:val="005F5D7D"/>
    <w:rsid w:val="005F73D8"/>
    <w:rsid w:val="005F7C8F"/>
    <w:rsid w:val="006021C1"/>
    <w:rsid w:val="0060221B"/>
    <w:rsid w:val="00603B88"/>
    <w:rsid w:val="0060430B"/>
    <w:rsid w:val="00604806"/>
    <w:rsid w:val="00605003"/>
    <w:rsid w:val="006050C8"/>
    <w:rsid w:val="00605E94"/>
    <w:rsid w:val="00605F36"/>
    <w:rsid w:val="006068C0"/>
    <w:rsid w:val="00610142"/>
    <w:rsid w:val="006105AF"/>
    <w:rsid w:val="00610721"/>
    <w:rsid w:val="006113B0"/>
    <w:rsid w:val="00611466"/>
    <w:rsid w:val="00611A01"/>
    <w:rsid w:val="00612541"/>
    <w:rsid w:val="00612A52"/>
    <w:rsid w:val="00616C84"/>
    <w:rsid w:val="00616D53"/>
    <w:rsid w:val="00616DE4"/>
    <w:rsid w:val="00617E87"/>
    <w:rsid w:val="0062015C"/>
    <w:rsid w:val="00621495"/>
    <w:rsid w:val="0062297C"/>
    <w:rsid w:val="006231D1"/>
    <w:rsid w:val="006233B5"/>
    <w:rsid w:val="0062380D"/>
    <w:rsid w:val="006251EE"/>
    <w:rsid w:val="00625F8E"/>
    <w:rsid w:val="00626163"/>
    <w:rsid w:val="00627498"/>
    <w:rsid w:val="0063059B"/>
    <w:rsid w:val="00630AE4"/>
    <w:rsid w:val="0063201D"/>
    <w:rsid w:val="006322CA"/>
    <w:rsid w:val="00632BEB"/>
    <w:rsid w:val="006342F7"/>
    <w:rsid w:val="006347F8"/>
    <w:rsid w:val="00634C8E"/>
    <w:rsid w:val="00635AD7"/>
    <w:rsid w:val="00635B07"/>
    <w:rsid w:val="00636FF1"/>
    <w:rsid w:val="00640869"/>
    <w:rsid w:val="0064115C"/>
    <w:rsid w:val="00642B52"/>
    <w:rsid w:val="00643CC1"/>
    <w:rsid w:val="00645358"/>
    <w:rsid w:val="0064610A"/>
    <w:rsid w:val="00646CC1"/>
    <w:rsid w:val="006516A0"/>
    <w:rsid w:val="00651964"/>
    <w:rsid w:val="00652E8F"/>
    <w:rsid w:val="0065569A"/>
    <w:rsid w:val="006561E1"/>
    <w:rsid w:val="006562D1"/>
    <w:rsid w:val="006570FE"/>
    <w:rsid w:val="006604C8"/>
    <w:rsid w:val="00660960"/>
    <w:rsid w:val="00662503"/>
    <w:rsid w:val="00663109"/>
    <w:rsid w:val="006631FC"/>
    <w:rsid w:val="006636F6"/>
    <w:rsid w:val="00664102"/>
    <w:rsid w:val="00666B0B"/>
    <w:rsid w:val="00667288"/>
    <w:rsid w:val="00667561"/>
    <w:rsid w:val="006676EA"/>
    <w:rsid w:val="00670DF3"/>
    <w:rsid w:val="006739FA"/>
    <w:rsid w:val="0067591D"/>
    <w:rsid w:val="0067654D"/>
    <w:rsid w:val="006767C0"/>
    <w:rsid w:val="006769BF"/>
    <w:rsid w:val="0067719D"/>
    <w:rsid w:val="0067762F"/>
    <w:rsid w:val="00680726"/>
    <w:rsid w:val="0068266B"/>
    <w:rsid w:val="00683CFF"/>
    <w:rsid w:val="00685C74"/>
    <w:rsid w:val="00687F8C"/>
    <w:rsid w:val="0069179F"/>
    <w:rsid w:val="0069219B"/>
    <w:rsid w:val="00692709"/>
    <w:rsid w:val="00693043"/>
    <w:rsid w:val="00693B25"/>
    <w:rsid w:val="00695F83"/>
    <w:rsid w:val="00696B5B"/>
    <w:rsid w:val="00696B63"/>
    <w:rsid w:val="00697CF1"/>
    <w:rsid w:val="006A0E63"/>
    <w:rsid w:val="006A35CC"/>
    <w:rsid w:val="006A3A4D"/>
    <w:rsid w:val="006A3B6A"/>
    <w:rsid w:val="006A6AB4"/>
    <w:rsid w:val="006A6F50"/>
    <w:rsid w:val="006A74ED"/>
    <w:rsid w:val="006A7882"/>
    <w:rsid w:val="006B038B"/>
    <w:rsid w:val="006B0661"/>
    <w:rsid w:val="006B31CE"/>
    <w:rsid w:val="006B33E0"/>
    <w:rsid w:val="006B4864"/>
    <w:rsid w:val="006B4878"/>
    <w:rsid w:val="006B67B3"/>
    <w:rsid w:val="006B7226"/>
    <w:rsid w:val="006B791F"/>
    <w:rsid w:val="006B7A7E"/>
    <w:rsid w:val="006B7AB0"/>
    <w:rsid w:val="006B7EA5"/>
    <w:rsid w:val="006C1736"/>
    <w:rsid w:val="006C2017"/>
    <w:rsid w:val="006C2579"/>
    <w:rsid w:val="006C32A3"/>
    <w:rsid w:val="006C4949"/>
    <w:rsid w:val="006C4E11"/>
    <w:rsid w:val="006C4E5B"/>
    <w:rsid w:val="006C7388"/>
    <w:rsid w:val="006D13D3"/>
    <w:rsid w:val="006D17E3"/>
    <w:rsid w:val="006D19B1"/>
    <w:rsid w:val="006D2071"/>
    <w:rsid w:val="006D387A"/>
    <w:rsid w:val="006D3899"/>
    <w:rsid w:val="006D73A7"/>
    <w:rsid w:val="006E04DE"/>
    <w:rsid w:val="006E06B2"/>
    <w:rsid w:val="006E0935"/>
    <w:rsid w:val="006E10B3"/>
    <w:rsid w:val="006E2961"/>
    <w:rsid w:val="006E2D7A"/>
    <w:rsid w:val="006E489E"/>
    <w:rsid w:val="006E5607"/>
    <w:rsid w:val="006E5785"/>
    <w:rsid w:val="006E5F25"/>
    <w:rsid w:val="006E60A6"/>
    <w:rsid w:val="006E6D67"/>
    <w:rsid w:val="006E702E"/>
    <w:rsid w:val="006E7E36"/>
    <w:rsid w:val="006F1CCB"/>
    <w:rsid w:val="006F2357"/>
    <w:rsid w:val="006F3440"/>
    <w:rsid w:val="006F4D0B"/>
    <w:rsid w:val="007008FA"/>
    <w:rsid w:val="00700DC8"/>
    <w:rsid w:val="0070494F"/>
    <w:rsid w:val="00704B5C"/>
    <w:rsid w:val="00704CBE"/>
    <w:rsid w:val="00704D22"/>
    <w:rsid w:val="00705978"/>
    <w:rsid w:val="00705A38"/>
    <w:rsid w:val="007115D5"/>
    <w:rsid w:val="00711AE2"/>
    <w:rsid w:val="00712B6F"/>
    <w:rsid w:val="00712FE1"/>
    <w:rsid w:val="007137D3"/>
    <w:rsid w:val="00713E96"/>
    <w:rsid w:val="007148E7"/>
    <w:rsid w:val="00714AE6"/>
    <w:rsid w:val="007206FC"/>
    <w:rsid w:val="00721FE4"/>
    <w:rsid w:val="00722589"/>
    <w:rsid w:val="00722BB5"/>
    <w:rsid w:val="007240AA"/>
    <w:rsid w:val="007242C1"/>
    <w:rsid w:val="0072431E"/>
    <w:rsid w:val="00725617"/>
    <w:rsid w:val="00725A18"/>
    <w:rsid w:val="00727390"/>
    <w:rsid w:val="00730169"/>
    <w:rsid w:val="007303D3"/>
    <w:rsid w:val="007304C2"/>
    <w:rsid w:val="00730D35"/>
    <w:rsid w:val="0073278B"/>
    <w:rsid w:val="00733200"/>
    <w:rsid w:val="00734750"/>
    <w:rsid w:val="007349CC"/>
    <w:rsid w:val="00734E37"/>
    <w:rsid w:val="00734E51"/>
    <w:rsid w:val="0073514C"/>
    <w:rsid w:val="00735DBC"/>
    <w:rsid w:val="00735ED7"/>
    <w:rsid w:val="00736A5A"/>
    <w:rsid w:val="00743666"/>
    <w:rsid w:val="0074427F"/>
    <w:rsid w:val="00744CE1"/>
    <w:rsid w:val="00744F22"/>
    <w:rsid w:val="007453D7"/>
    <w:rsid w:val="00746058"/>
    <w:rsid w:val="007462ED"/>
    <w:rsid w:val="00750898"/>
    <w:rsid w:val="00755370"/>
    <w:rsid w:val="0075544D"/>
    <w:rsid w:val="00757BF1"/>
    <w:rsid w:val="00760078"/>
    <w:rsid w:val="0076076D"/>
    <w:rsid w:val="00760C65"/>
    <w:rsid w:val="007634C3"/>
    <w:rsid w:val="0076461E"/>
    <w:rsid w:val="0076621C"/>
    <w:rsid w:val="0076724A"/>
    <w:rsid w:val="00767B5D"/>
    <w:rsid w:val="00767D45"/>
    <w:rsid w:val="007712F0"/>
    <w:rsid w:val="00771C74"/>
    <w:rsid w:val="00771D87"/>
    <w:rsid w:val="0077214B"/>
    <w:rsid w:val="007725C0"/>
    <w:rsid w:val="00773323"/>
    <w:rsid w:val="00780460"/>
    <w:rsid w:val="00780775"/>
    <w:rsid w:val="00780789"/>
    <w:rsid w:val="00780F16"/>
    <w:rsid w:val="00782E1D"/>
    <w:rsid w:val="0078332B"/>
    <w:rsid w:val="00783FB3"/>
    <w:rsid w:val="007851D3"/>
    <w:rsid w:val="0078766C"/>
    <w:rsid w:val="00790AB0"/>
    <w:rsid w:val="00790C4A"/>
    <w:rsid w:val="007923A0"/>
    <w:rsid w:val="00792C00"/>
    <w:rsid w:val="00793063"/>
    <w:rsid w:val="0079362F"/>
    <w:rsid w:val="007944D3"/>
    <w:rsid w:val="00795308"/>
    <w:rsid w:val="00795CAA"/>
    <w:rsid w:val="007A0A74"/>
    <w:rsid w:val="007A0C25"/>
    <w:rsid w:val="007A0C51"/>
    <w:rsid w:val="007A26E5"/>
    <w:rsid w:val="007A3288"/>
    <w:rsid w:val="007A3785"/>
    <w:rsid w:val="007A3875"/>
    <w:rsid w:val="007A3BE6"/>
    <w:rsid w:val="007A3CF4"/>
    <w:rsid w:val="007A4005"/>
    <w:rsid w:val="007A541A"/>
    <w:rsid w:val="007A5922"/>
    <w:rsid w:val="007A67E7"/>
    <w:rsid w:val="007A6F4B"/>
    <w:rsid w:val="007A7524"/>
    <w:rsid w:val="007A759C"/>
    <w:rsid w:val="007A7D3C"/>
    <w:rsid w:val="007B00A6"/>
    <w:rsid w:val="007B0963"/>
    <w:rsid w:val="007B0D98"/>
    <w:rsid w:val="007B1984"/>
    <w:rsid w:val="007B1E41"/>
    <w:rsid w:val="007B2654"/>
    <w:rsid w:val="007B30C9"/>
    <w:rsid w:val="007B37BD"/>
    <w:rsid w:val="007B41CF"/>
    <w:rsid w:val="007B5B8D"/>
    <w:rsid w:val="007B6322"/>
    <w:rsid w:val="007B6419"/>
    <w:rsid w:val="007B67A7"/>
    <w:rsid w:val="007B6ACD"/>
    <w:rsid w:val="007B6FF0"/>
    <w:rsid w:val="007B77E3"/>
    <w:rsid w:val="007C064C"/>
    <w:rsid w:val="007C263C"/>
    <w:rsid w:val="007C288D"/>
    <w:rsid w:val="007C42D7"/>
    <w:rsid w:val="007C5300"/>
    <w:rsid w:val="007C5399"/>
    <w:rsid w:val="007C5B03"/>
    <w:rsid w:val="007C653B"/>
    <w:rsid w:val="007C7433"/>
    <w:rsid w:val="007C7599"/>
    <w:rsid w:val="007C7985"/>
    <w:rsid w:val="007D26AA"/>
    <w:rsid w:val="007D272F"/>
    <w:rsid w:val="007D2F66"/>
    <w:rsid w:val="007D3839"/>
    <w:rsid w:val="007D4323"/>
    <w:rsid w:val="007D4DD1"/>
    <w:rsid w:val="007D5BB9"/>
    <w:rsid w:val="007D69DC"/>
    <w:rsid w:val="007D6F4F"/>
    <w:rsid w:val="007D7DE3"/>
    <w:rsid w:val="007E01B8"/>
    <w:rsid w:val="007E0D65"/>
    <w:rsid w:val="007E1291"/>
    <w:rsid w:val="007E4699"/>
    <w:rsid w:val="007E6933"/>
    <w:rsid w:val="007E715E"/>
    <w:rsid w:val="007E71A7"/>
    <w:rsid w:val="007E736B"/>
    <w:rsid w:val="007E7933"/>
    <w:rsid w:val="007E7AFE"/>
    <w:rsid w:val="007E7B1A"/>
    <w:rsid w:val="007F13F7"/>
    <w:rsid w:val="007F2BF1"/>
    <w:rsid w:val="007F3105"/>
    <w:rsid w:val="007F4202"/>
    <w:rsid w:val="007F49EC"/>
    <w:rsid w:val="007F4BDF"/>
    <w:rsid w:val="007F6623"/>
    <w:rsid w:val="007F7396"/>
    <w:rsid w:val="00800485"/>
    <w:rsid w:val="008006CE"/>
    <w:rsid w:val="00800FF3"/>
    <w:rsid w:val="00803810"/>
    <w:rsid w:val="008038B0"/>
    <w:rsid w:val="008043F7"/>
    <w:rsid w:val="0080566C"/>
    <w:rsid w:val="00805B2A"/>
    <w:rsid w:val="00806E59"/>
    <w:rsid w:val="008076C5"/>
    <w:rsid w:val="00807A4A"/>
    <w:rsid w:val="008106D0"/>
    <w:rsid w:val="00810F7B"/>
    <w:rsid w:val="0081214B"/>
    <w:rsid w:val="0081228C"/>
    <w:rsid w:val="008132C9"/>
    <w:rsid w:val="00813603"/>
    <w:rsid w:val="00813932"/>
    <w:rsid w:val="00813E88"/>
    <w:rsid w:val="00814586"/>
    <w:rsid w:val="00814F27"/>
    <w:rsid w:val="00816430"/>
    <w:rsid w:val="00816752"/>
    <w:rsid w:val="008169F6"/>
    <w:rsid w:val="00816AC0"/>
    <w:rsid w:val="008204BD"/>
    <w:rsid w:val="008240B2"/>
    <w:rsid w:val="00824545"/>
    <w:rsid w:val="00826486"/>
    <w:rsid w:val="00826614"/>
    <w:rsid w:val="008270BB"/>
    <w:rsid w:val="00827971"/>
    <w:rsid w:val="00830753"/>
    <w:rsid w:val="00830E66"/>
    <w:rsid w:val="00831F89"/>
    <w:rsid w:val="00832A2E"/>
    <w:rsid w:val="00832A79"/>
    <w:rsid w:val="008331D8"/>
    <w:rsid w:val="008339B6"/>
    <w:rsid w:val="0083404B"/>
    <w:rsid w:val="00834F9C"/>
    <w:rsid w:val="00836C02"/>
    <w:rsid w:val="0083776D"/>
    <w:rsid w:val="00837CA3"/>
    <w:rsid w:val="00840BF6"/>
    <w:rsid w:val="00840C8E"/>
    <w:rsid w:val="00841DA9"/>
    <w:rsid w:val="00843766"/>
    <w:rsid w:val="00844E2E"/>
    <w:rsid w:val="00852DB6"/>
    <w:rsid w:val="008534AF"/>
    <w:rsid w:val="008534D1"/>
    <w:rsid w:val="00855E65"/>
    <w:rsid w:val="008562B8"/>
    <w:rsid w:val="00856CD3"/>
    <w:rsid w:val="00857732"/>
    <w:rsid w:val="008600EB"/>
    <w:rsid w:val="0086081B"/>
    <w:rsid w:val="00861201"/>
    <w:rsid w:val="008614FC"/>
    <w:rsid w:val="008619F4"/>
    <w:rsid w:val="00862B81"/>
    <w:rsid w:val="00863F08"/>
    <w:rsid w:val="00865216"/>
    <w:rsid w:val="00866F09"/>
    <w:rsid w:val="00866F4D"/>
    <w:rsid w:val="008676AA"/>
    <w:rsid w:val="0087002D"/>
    <w:rsid w:val="008700FD"/>
    <w:rsid w:val="008726D4"/>
    <w:rsid w:val="008729B3"/>
    <w:rsid w:val="00872C85"/>
    <w:rsid w:val="00873396"/>
    <w:rsid w:val="00875F1F"/>
    <w:rsid w:val="00877317"/>
    <w:rsid w:val="00877C59"/>
    <w:rsid w:val="008800CC"/>
    <w:rsid w:val="008816D8"/>
    <w:rsid w:val="00881D34"/>
    <w:rsid w:val="00882C0F"/>
    <w:rsid w:val="008834A3"/>
    <w:rsid w:val="00883850"/>
    <w:rsid w:val="008845B9"/>
    <w:rsid w:val="00885586"/>
    <w:rsid w:val="00885998"/>
    <w:rsid w:val="00885C30"/>
    <w:rsid w:val="00886158"/>
    <w:rsid w:val="0088682F"/>
    <w:rsid w:val="0089006C"/>
    <w:rsid w:val="00891FD5"/>
    <w:rsid w:val="00894927"/>
    <w:rsid w:val="00895ACA"/>
    <w:rsid w:val="008963B9"/>
    <w:rsid w:val="00896DDC"/>
    <w:rsid w:val="0089703B"/>
    <w:rsid w:val="008A0C7A"/>
    <w:rsid w:val="008A11DE"/>
    <w:rsid w:val="008A1E25"/>
    <w:rsid w:val="008A2220"/>
    <w:rsid w:val="008A28A0"/>
    <w:rsid w:val="008A3C20"/>
    <w:rsid w:val="008A3C4F"/>
    <w:rsid w:val="008A434D"/>
    <w:rsid w:val="008A5D4D"/>
    <w:rsid w:val="008A65A3"/>
    <w:rsid w:val="008A76B4"/>
    <w:rsid w:val="008B0187"/>
    <w:rsid w:val="008B06B5"/>
    <w:rsid w:val="008B0B4B"/>
    <w:rsid w:val="008B140B"/>
    <w:rsid w:val="008B217F"/>
    <w:rsid w:val="008B34E0"/>
    <w:rsid w:val="008B490F"/>
    <w:rsid w:val="008B4B62"/>
    <w:rsid w:val="008B62F9"/>
    <w:rsid w:val="008B7F5F"/>
    <w:rsid w:val="008C12B5"/>
    <w:rsid w:val="008C13A2"/>
    <w:rsid w:val="008C38E2"/>
    <w:rsid w:val="008C41C2"/>
    <w:rsid w:val="008C4834"/>
    <w:rsid w:val="008C6654"/>
    <w:rsid w:val="008C6A8F"/>
    <w:rsid w:val="008D0C2A"/>
    <w:rsid w:val="008D140B"/>
    <w:rsid w:val="008D1E6F"/>
    <w:rsid w:val="008D2319"/>
    <w:rsid w:val="008D4407"/>
    <w:rsid w:val="008D4F64"/>
    <w:rsid w:val="008D5ECB"/>
    <w:rsid w:val="008E0470"/>
    <w:rsid w:val="008E06CA"/>
    <w:rsid w:val="008E078B"/>
    <w:rsid w:val="008E0855"/>
    <w:rsid w:val="008E1886"/>
    <w:rsid w:val="008E1EA7"/>
    <w:rsid w:val="008E224B"/>
    <w:rsid w:val="008E25BE"/>
    <w:rsid w:val="008E2DAF"/>
    <w:rsid w:val="008E4444"/>
    <w:rsid w:val="008E5D54"/>
    <w:rsid w:val="008E6196"/>
    <w:rsid w:val="008E7579"/>
    <w:rsid w:val="008F0939"/>
    <w:rsid w:val="008F11B2"/>
    <w:rsid w:val="008F2017"/>
    <w:rsid w:val="008F3BF8"/>
    <w:rsid w:val="008F3EC7"/>
    <w:rsid w:val="008F5050"/>
    <w:rsid w:val="008F5F44"/>
    <w:rsid w:val="008F6E67"/>
    <w:rsid w:val="0090120C"/>
    <w:rsid w:val="00901425"/>
    <w:rsid w:val="00901710"/>
    <w:rsid w:val="00901797"/>
    <w:rsid w:val="00901AB7"/>
    <w:rsid w:val="00902720"/>
    <w:rsid w:val="00902815"/>
    <w:rsid w:val="00903229"/>
    <w:rsid w:val="00903899"/>
    <w:rsid w:val="00903BF7"/>
    <w:rsid w:val="00904DC9"/>
    <w:rsid w:val="00905F35"/>
    <w:rsid w:val="00906035"/>
    <w:rsid w:val="00907498"/>
    <w:rsid w:val="00910071"/>
    <w:rsid w:val="0091022C"/>
    <w:rsid w:val="00910568"/>
    <w:rsid w:val="00911E39"/>
    <w:rsid w:val="00912069"/>
    <w:rsid w:val="009126D2"/>
    <w:rsid w:val="00912945"/>
    <w:rsid w:val="00912F3D"/>
    <w:rsid w:val="00915490"/>
    <w:rsid w:val="00915EE3"/>
    <w:rsid w:val="00917719"/>
    <w:rsid w:val="00917FA9"/>
    <w:rsid w:val="00921710"/>
    <w:rsid w:val="00921A70"/>
    <w:rsid w:val="00922026"/>
    <w:rsid w:val="00922D7E"/>
    <w:rsid w:val="00923C90"/>
    <w:rsid w:val="009249AE"/>
    <w:rsid w:val="009257FD"/>
    <w:rsid w:val="009258F8"/>
    <w:rsid w:val="009266D0"/>
    <w:rsid w:val="00927514"/>
    <w:rsid w:val="00927B10"/>
    <w:rsid w:val="00927B13"/>
    <w:rsid w:val="00930017"/>
    <w:rsid w:val="009304EC"/>
    <w:rsid w:val="009321BF"/>
    <w:rsid w:val="009335D6"/>
    <w:rsid w:val="0093380F"/>
    <w:rsid w:val="0093387B"/>
    <w:rsid w:val="009339D3"/>
    <w:rsid w:val="00933B53"/>
    <w:rsid w:val="00936241"/>
    <w:rsid w:val="0093639E"/>
    <w:rsid w:val="009368BA"/>
    <w:rsid w:val="00937DC9"/>
    <w:rsid w:val="00937EF6"/>
    <w:rsid w:val="0094239C"/>
    <w:rsid w:val="00943B2C"/>
    <w:rsid w:val="00944638"/>
    <w:rsid w:val="00944B15"/>
    <w:rsid w:val="009457EA"/>
    <w:rsid w:val="00951FBD"/>
    <w:rsid w:val="009525E4"/>
    <w:rsid w:val="00952DD4"/>
    <w:rsid w:val="009538D3"/>
    <w:rsid w:val="00953C6E"/>
    <w:rsid w:val="00953DE8"/>
    <w:rsid w:val="00953F2A"/>
    <w:rsid w:val="009544C2"/>
    <w:rsid w:val="00954BE5"/>
    <w:rsid w:val="00954C03"/>
    <w:rsid w:val="009554BD"/>
    <w:rsid w:val="009554E0"/>
    <w:rsid w:val="00955DE2"/>
    <w:rsid w:val="00956C3F"/>
    <w:rsid w:val="009606FB"/>
    <w:rsid w:val="00960880"/>
    <w:rsid w:val="00960A70"/>
    <w:rsid w:val="00961417"/>
    <w:rsid w:val="00961A46"/>
    <w:rsid w:val="00962A91"/>
    <w:rsid w:val="00962CC0"/>
    <w:rsid w:val="00964A71"/>
    <w:rsid w:val="009653A2"/>
    <w:rsid w:val="00965C7E"/>
    <w:rsid w:val="0096615C"/>
    <w:rsid w:val="009703C8"/>
    <w:rsid w:val="00971C07"/>
    <w:rsid w:val="00971DC1"/>
    <w:rsid w:val="0097314F"/>
    <w:rsid w:val="00974DDF"/>
    <w:rsid w:val="009755C4"/>
    <w:rsid w:val="00975E47"/>
    <w:rsid w:val="009761A1"/>
    <w:rsid w:val="00976D0E"/>
    <w:rsid w:val="0098060E"/>
    <w:rsid w:val="0098215E"/>
    <w:rsid w:val="00982B52"/>
    <w:rsid w:val="009832EF"/>
    <w:rsid w:val="009842DC"/>
    <w:rsid w:val="00984D6C"/>
    <w:rsid w:val="009859CC"/>
    <w:rsid w:val="009861AE"/>
    <w:rsid w:val="009861D2"/>
    <w:rsid w:val="00986741"/>
    <w:rsid w:val="00990E1C"/>
    <w:rsid w:val="00991CAE"/>
    <w:rsid w:val="00992DBA"/>
    <w:rsid w:val="00993431"/>
    <w:rsid w:val="00993765"/>
    <w:rsid w:val="00993804"/>
    <w:rsid w:val="009944F1"/>
    <w:rsid w:val="00994FE8"/>
    <w:rsid w:val="00994FEB"/>
    <w:rsid w:val="009953DE"/>
    <w:rsid w:val="00995A9A"/>
    <w:rsid w:val="00995ADC"/>
    <w:rsid w:val="00995ECF"/>
    <w:rsid w:val="00996B11"/>
    <w:rsid w:val="009A2867"/>
    <w:rsid w:val="009A31B8"/>
    <w:rsid w:val="009A3882"/>
    <w:rsid w:val="009A3BC0"/>
    <w:rsid w:val="009A4D4B"/>
    <w:rsid w:val="009A74C9"/>
    <w:rsid w:val="009A7BF9"/>
    <w:rsid w:val="009B43BE"/>
    <w:rsid w:val="009B44BB"/>
    <w:rsid w:val="009B4DEF"/>
    <w:rsid w:val="009B649C"/>
    <w:rsid w:val="009C06E6"/>
    <w:rsid w:val="009C0952"/>
    <w:rsid w:val="009C2CCC"/>
    <w:rsid w:val="009C5283"/>
    <w:rsid w:val="009C588A"/>
    <w:rsid w:val="009C5BE0"/>
    <w:rsid w:val="009C67F0"/>
    <w:rsid w:val="009C6C21"/>
    <w:rsid w:val="009C7118"/>
    <w:rsid w:val="009D00F1"/>
    <w:rsid w:val="009D1465"/>
    <w:rsid w:val="009D1728"/>
    <w:rsid w:val="009D18BA"/>
    <w:rsid w:val="009D20B4"/>
    <w:rsid w:val="009D2166"/>
    <w:rsid w:val="009D274D"/>
    <w:rsid w:val="009D2CF5"/>
    <w:rsid w:val="009D2E89"/>
    <w:rsid w:val="009D3B1C"/>
    <w:rsid w:val="009D41D9"/>
    <w:rsid w:val="009D4B26"/>
    <w:rsid w:val="009D5361"/>
    <w:rsid w:val="009D6061"/>
    <w:rsid w:val="009D6A2D"/>
    <w:rsid w:val="009E17B0"/>
    <w:rsid w:val="009E1A1F"/>
    <w:rsid w:val="009E2BB7"/>
    <w:rsid w:val="009E2BCF"/>
    <w:rsid w:val="009E2DAD"/>
    <w:rsid w:val="009E33AF"/>
    <w:rsid w:val="009E4C94"/>
    <w:rsid w:val="009E4CBF"/>
    <w:rsid w:val="009E6956"/>
    <w:rsid w:val="009E6AFB"/>
    <w:rsid w:val="009E75F2"/>
    <w:rsid w:val="009E77A7"/>
    <w:rsid w:val="009F026F"/>
    <w:rsid w:val="009F18FD"/>
    <w:rsid w:val="009F2A0A"/>
    <w:rsid w:val="009F5A3F"/>
    <w:rsid w:val="009F602E"/>
    <w:rsid w:val="009F60F3"/>
    <w:rsid w:val="009F6464"/>
    <w:rsid w:val="00A00069"/>
    <w:rsid w:val="00A00562"/>
    <w:rsid w:val="00A0250C"/>
    <w:rsid w:val="00A0372A"/>
    <w:rsid w:val="00A04AAD"/>
    <w:rsid w:val="00A04B24"/>
    <w:rsid w:val="00A05FE4"/>
    <w:rsid w:val="00A07411"/>
    <w:rsid w:val="00A07DF9"/>
    <w:rsid w:val="00A108C0"/>
    <w:rsid w:val="00A10B9B"/>
    <w:rsid w:val="00A10D3E"/>
    <w:rsid w:val="00A11C87"/>
    <w:rsid w:val="00A11CD5"/>
    <w:rsid w:val="00A12A3D"/>
    <w:rsid w:val="00A13DA1"/>
    <w:rsid w:val="00A14D54"/>
    <w:rsid w:val="00A15729"/>
    <w:rsid w:val="00A159A5"/>
    <w:rsid w:val="00A16043"/>
    <w:rsid w:val="00A1784A"/>
    <w:rsid w:val="00A178F4"/>
    <w:rsid w:val="00A21102"/>
    <w:rsid w:val="00A211F9"/>
    <w:rsid w:val="00A2167F"/>
    <w:rsid w:val="00A21723"/>
    <w:rsid w:val="00A2374D"/>
    <w:rsid w:val="00A23B56"/>
    <w:rsid w:val="00A23E92"/>
    <w:rsid w:val="00A266BE"/>
    <w:rsid w:val="00A268FD"/>
    <w:rsid w:val="00A30278"/>
    <w:rsid w:val="00A30350"/>
    <w:rsid w:val="00A30C02"/>
    <w:rsid w:val="00A3132C"/>
    <w:rsid w:val="00A31787"/>
    <w:rsid w:val="00A31952"/>
    <w:rsid w:val="00A31A10"/>
    <w:rsid w:val="00A32280"/>
    <w:rsid w:val="00A325A4"/>
    <w:rsid w:val="00A32D5B"/>
    <w:rsid w:val="00A32FBB"/>
    <w:rsid w:val="00A33A34"/>
    <w:rsid w:val="00A33A7A"/>
    <w:rsid w:val="00A34229"/>
    <w:rsid w:val="00A35959"/>
    <w:rsid w:val="00A35AF0"/>
    <w:rsid w:val="00A36DA6"/>
    <w:rsid w:val="00A37621"/>
    <w:rsid w:val="00A37F55"/>
    <w:rsid w:val="00A40227"/>
    <w:rsid w:val="00A41065"/>
    <w:rsid w:val="00A414E3"/>
    <w:rsid w:val="00A43646"/>
    <w:rsid w:val="00A43806"/>
    <w:rsid w:val="00A43EEB"/>
    <w:rsid w:val="00A441BF"/>
    <w:rsid w:val="00A50168"/>
    <w:rsid w:val="00A524CB"/>
    <w:rsid w:val="00A5290D"/>
    <w:rsid w:val="00A56DF0"/>
    <w:rsid w:val="00A57ADB"/>
    <w:rsid w:val="00A61008"/>
    <w:rsid w:val="00A65975"/>
    <w:rsid w:val="00A70E78"/>
    <w:rsid w:val="00A737CC"/>
    <w:rsid w:val="00A73BF0"/>
    <w:rsid w:val="00A7464F"/>
    <w:rsid w:val="00A74B0A"/>
    <w:rsid w:val="00A74D21"/>
    <w:rsid w:val="00A751A1"/>
    <w:rsid w:val="00A751AA"/>
    <w:rsid w:val="00A762E3"/>
    <w:rsid w:val="00A82ABD"/>
    <w:rsid w:val="00A83E5F"/>
    <w:rsid w:val="00A861C1"/>
    <w:rsid w:val="00A90152"/>
    <w:rsid w:val="00A907AD"/>
    <w:rsid w:val="00A908DB"/>
    <w:rsid w:val="00A91B23"/>
    <w:rsid w:val="00A92B6E"/>
    <w:rsid w:val="00A949C1"/>
    <w:rsid w:val="00A95883"/>
    <w:rsid w:val="00A96342"/>
    <w:rsid w:val="00A96500"/>
    <w:rsid w:val="00A96BEC"/>
    <w:rsid w:val="00A9781C"/>
    <w:rsid w:val="00AA02AF"/>
    <w:rsid w:val="00AA41D8"/>
    <w:rsid w:val="00AA4704"/>
    <w:rsid w:val="00AA61C7"/>
    <w:rsid w:val="00AA71E6"/>
    <w:rsid w:val="00AB0454"/>
    <w:rsid w:val="00AB0E47"/>
    <w:rsid w:val="00AB1DA3"/>
    <w:rsid w:val="00AB23C1"/>
    <w:rsid w:val="00AB3FEA"/>
    <w:rsid w:val="00AB4053"/>
    <w:rsid w:val="00AB4AD4"/>
    <w:rsid w:val="00AB4E32"/>
    <w:rsid w:val="00AB4E41"/>
    <w:rsid w:val="00AB59F8"/>
    <w:rsid w:val="00AB5A5C"/>
    <w:rsid w:val="00AB5AEB"/>
    <w:rsid w:val="00AB6B03"/>
    <w:rsid w:val="00AC0236"/>
    <w:rsid w:val="00AC05DC"/>
    <w:rsid w:val="00AC09CA"/>
    <w:rsid w:val="00AC0FB4"/>
    <w:rsid w:val="00AC1D72"/>
    <w:rsid w:val="00AC297C"/>
    <w:rsid w:val="00AC3DA2"/>
    <w:rsid w:val="00AC3ECF"/>
    <w:rsid w:val="00AC5124"/>
    <w:rsid w:val="00AC5561"/>
    <w:rsid w:val="00AC5AE5"/>
    <w:rsid w:val="00AC60BB"/>
    <w:rsid w:val="00AC703B"/>
    <w:rsid w:val="00AC75E6"/>
    <w:rsid w:val="00AC7971"/>
    <w:rsid w:val="00AD1C2E"/>
    <w:rsid w:val="00AD24AB"/>
    <w:rsid w:val="00AD3092"/>
    <w:rsid w:val="00AD33D6"/>
    <w:rsid w:val="00AD5F54"/>
    <w:rsid w:val="00AE07B9"/>
    <w:rsid w:val="00AE56D9"/>
    <w:rsid w:val="00AE56DE"/>
    <w:rsid w:val="00AE584D"/>
    <w:rsid w:val="00AE5C58"/>
    <w:rsid w:val="00AE69B7"/>
    <w:rsid w:val="00AE734D"/>
    <w:rsid w:val="00AF2253"/>
    <w:rsid w:val="00AF3127"/>
    <w:rsid w:val="00AF338A"/>
    <w:rsid w:val="00AF36D4"/>
    <w:rsid w:val="00AF3F09"/>
    <w:rsid w:val="00AF57E6"/>
    <w:rsid w:val="00AF5F38"/>
    <w:rsid w:val="00AF6D20"/>
    <w:rsid w:val="00AF7E71"/>
    <w:rsid w:val="00B01D8B"/>
    <w:rsid w:val="00B02794"/>
    <w:rsid w:val="00B037D7"/>
    <w:rsid w:val="00B042F9"/>
    <w:rsid w:val="00B055FB"/>
    <w:rsid w:val="00B05CCD"/>
    <w:rsid w:val="00B06BA6"/>
    <w:rsid w:val="00B06C3D"/>
    <w:rsid w:val="00B073B5"/>
    <w:rsid w:val="00B0779D"/>
    <w:rsid w:val="00B10E77"/>
    <w:rsid w:val="00B10EE4"/>
    <w:rsid w:val="00B115AB"/>
    <w:rsid w:val="00B1173E"/>
    <w:rsid w:val="00B11DDE"/>
    <w:rsid w:val="00B129C4"/>
    <w:rsid w:val="00B12D2A"/>
    <w:rsid w:val="00B13744"/>
    <w:rsid w:val="00B14481"/>
    <w:rsid w:val="00B15C45"/>
    <w:rsid w:val="00B17EC2"/>
    <w:rsid w:val="00B20531"/>
    <w:rsid w:val="00B20D7C"/>
    <w:rsid w:val="00B2119D"/>
    <w:rsid w:val="00B2184C"/>
    <w:rsid w:val="00B227F6"/>
    <w:rsid w:val="00B231B5"/>
    <w:rsid w:val="00B231C4"/>
    <w:rsid w:val="00B235D6"/>
    <w:rsid w:val="00B2383A"/>
    <w:rsid w:val="00B2451D"/>
    <w:rsid w:val="00B25F2A"/>
    <w:rsid w:val="00B2686E"/>
    <w:rsid w:val="00B26B04"/>
    <w:rsid w:val="00B26EA4"/>
    <w:rsid w:val="00B272A6"/>
    <w:rsid w:val="00B274C3"/>
    <w:rsid w:val="00B27E36"/>
    <w:rsid w:val="00B30BF0"/>
    <w:rsid w:val="00B327F0"/>
    <w:rsid w:val="00B33FD5"/>
    <w:rsid w:val="00B35443"/>
    <w:rsid w:val="00B377A9"/>
    <w:rsid w:val="00B37B9D"/>
    <w:rsid w:val="00B40622"/>
    <w:rsid w:val="00B4097B"/>
    <w:rsid w:val="00B4150C"/>
    <w:rsid w:val="00B4157C"/>
    <w:rsid w:val="00B41DE8"/>
    <w:rsid w:val="00B42E65"/>
    <w:rsid w:val="00B44434"/>
    <w:rsid w:val="00B4537F"/>
    <w:rsid w:val="00B45988"/>
    <w:rsid w:val="00B47ADA"/>
    <w:rsid w:val="00B511A2"/>
    <w:rsid w:val="00B52348"/>
    <w:rsid w:val="00B5270A"/>
    <w:rsid w:val="00B537DF"/>
    <w:rsid w:val="00B54724"/>
    <w:rsid w:val="00B54D23"/>
    <w:rsid w:val="00B56132"/>
    <w:rsid w:val="00B567E7"/>
    <w:rsid w:val="00B5744E"/>
    <w:rsid w:val="00B57633"/>
    <w:rsid w:val="00B61AA1"/>
    <w:rsid w:val="00B61D8B"/>
    <w:rsid w:val="00B62338"/>
    <w:rsid w:val="00B6344F"/>
    <w:rsid w:val="00B63E8F"/>
    <w:rsid w:val="00B6502E"/>
    <w:rsid w:val="00B65385"/>
    <w:rsid w:val="00B658E4"/>
    <w:rsid w:val="00B659CE"/>
    <w:rsid w:val="00B6630F"/>
    <w:rsid w:val="00B66DD1"/>
    <w:rsid w:val="00B67625"/>
    <w:rsid w:val="00B70231"/>
    <w:rsid w:val="00B70E8B"/>
    <w:rsid w:val="00B71AB1"/>
    <w:rsid w:val="00B72576"/>
    <w:rsid w:val="00B73216"/>
    <w:rsid w:val="00B73AF2"/>
    <w:rsid w:val="00B7432C"/>
    <w:rsid w:val="00B7450F"/>
    <w:rsid w:val="00B75CDB"/>
    <w:rsid w:val="00B75D10"/>
    <w:rsid w:val="00B776A1"/>
    <w:rsid w:val="00B80317"/>
    <w:rsid w:val="00B805E3"/>
    <w:rsid w:val="00B8072C"/>
    <w:rsid w:val="00B83457"/>
    <w:rsid w:val="00B84D47"/>
    <w:rsid w:val="00B85FF5"/>
    <w:rsid w:val="00B86DC5"/>
    <w:rsid w:val="00B90B37"/>
    <w:rsid w:val="00B91570"/>
    <w:rsid w:val="00B919A6"/>
    <w:rsid w:val="00B92B6D"/>
    <w:rsid w:val="00B94A7A"/>
    <w:rsid w:val="00B95997"/>
    <w:rsid w:val="00B97D2A"/>
    <w:rsid w:val="00BA032A"/>
    <w:rsid w:val="00BA0D86"/>
    <w:rsid w:val="00BA1D3A"/>
    <w:rsid w:val="00BA2579"/>
    <w:rsid w:val="00BA375A"/>
    <w:rsid w:val="00BA403F"/>
    <w:rsid w:val="00BA4FEE"/>
    <w:rsid w:val="00BA7502"/>
    <w:rsid w:val="00BB12B0"/>
    <w:rsid w:val="00BB1B7E"/>
    <w:rsid w:val="00BB1BE6"/>
    <w:rsid w:val="00BB2D3E"/>
    <w:rsid w:val="00BB3B6A"/>
    <w:rsid w:val="00BB3FDD"/>
    <w:rsid w:val="00BB52BC"/>
    <w:rsid w:val="00BB6FE8"/>
    <w:rsid w:val="00BB738F"/>
    <w:rsid w:val="00BB7CD4"/>
    <w:rsid w:val="00BC0032"/>
    <w:rsid w:val="00BC01EA"/>
    <w:rsid w:val="00BC0879"/>
    <w:rsid w:val="00BC0E76"/>
    <w:rsid w:val="00BC1938"/>
    <w:rsid w:val="00BC19CA"/>
    <w:rsid w:val="00BC1E26"/>
    <w:rsid w:val="00BC2270"/>
    <w:rsid w:val="00BC3BFB"/>
    <w:rsid w:val="00BC3DDE"/>
    <w:rsid w:val="00BC3F67"/>
    <w:rsid w:val="00BC4D2E"/>
    <w:rsid w:val="00BC522C"/>
    <w:rsid w:val="00BC65EC"/>
    <w:rsid w:val="00BC75B3"/>
    <w:rsid w:val="00BC79FA"/>
    <w:rsid w:val="00BD004D"/>
    <w:rsid w:val="00BD034E"/>
    <w:rsid w:val="00BD0D6F"/>
    <w:rsid w:val="00BD14A9"/>
    <w:rsid w:val="00BD19DC"/>
    <w:rsid w:val="00BD19EC"/>
    <w:rsid w:val="00BD2CF5"/>
    <w:rsid w:val="00BD33B9"/>
    <w:rsid w:val="00BD33EE"/>
    <w:rsid w:val="00BD390A"/>
    <w:rsid w:val="00BD6595"/>
    <w:rsid w:val="00BE10F0"/>
    <w:rsid w:val="00BE1958"/>
    <w:rsid w:val="00BE1A21"/>
    <w:rsid w:val="00BE2810"/>
    <w:rsid w:val="00BE46D1"/>
    <w:rsid w:val="00BE4ABD"/>
    <w:rsid w:val="00BE4CD7"/>
    <w:rsid w:val="00BE5682"/>
    <w:rsid w:val="00BE5DFF"/>
    <w:rsid w:val="00BE63DA"/>
    <w:rsid w:val="00BE78FF"/>
    <w:rsid w:val="00BE7BA7"/>
    <w:rsid w:val="00BF0005"/>
    <w:rsid w:val="00BF0514"/>
    <w:rsid w:val="00BF11FF"/>
    <w:rsid w:val="00BF1252"/>
    <w:rsid w:val="00BF1DEE"/>
    <w:rsid w:val="00BF2117"/>
    <w:rsid w:val="00BF2D8C"/>
    <w:rsid w:val="00BF37B4"/>
    <w:rsid w:val="00BF40DD"/>
    <w:rsid w:val="00BF40ED"/>
    <w:rsid w:val="00BF5C8E"/>
    <w:rsid w:val="00BF7A54"/>
    <w:rsid w:val="00BF7DA0"/>
    <w:rsid w:val="00C0302E"/>
    <w:rsid w:val="00C058B5"/>
    <w:rsid w:val="00C0632A"/>
    <w:rsid w:val="00C06EF7"/>
    <w:rsid w:val="00C10872"/>
    <w:rsid w:val="00C11441"/>
    <w:rsid w:val="00C11A38"/>
    <w:rsid w:val="00C12A6C"/>
    <w:rsid w:val="00C12F02"/>
    <w:rsid w:val="00C13780"/>
    <w:rsid w:val="00C146E3"/>
    <w:rsid w:val="00C14D08"/>
    <w:rsid w:val="00C156C8"/>
    <w:rsid w:val="00C15EE0"/>
    <w:rsid w:val="00C15FE9"/>
    <w:rsid w:val="00C17055"/>
    <w:rsid w:val="00C17FEB"/>
    <w:rsid w:val="00C20034"/>
    <w:rsid w:val="00C2082F"/>
    <w:rsid w:val="00C209CC"/>
    <w:rsid w:val="00C2115C"/>
    <w:rsid w:val="00C2153F"/>
    <w:rsid w:val="00C21981"/>
    <w:rsid w:val="00C21CB5"/>
    <w:rsid w:val="00C21FB3"/>
    <w:rsid w:val="00C271EE"/>
    <w:rsid w:val="00C27F7C"/>
    <w:rsid w:val="00C303E4"/>
    <w:rsid w:val="00C32476"/>
    <w:rsid w:val="00C32668"/>
    <w:rsid w:val="00C3360C"/>
    <w:rsid w:val="00C34189"/>
    <w:rsid w:val="00C35EAC"/>
    <w:rsid w:val="00C362D1"/>
    <w:rsid w:val="00C40213"/>
    <w:rsid w:val="00C403E6"/>
    <w:rsid w:val="00C41B5A"/>
    <w:rsid w:val="00C420D3"/>
    <w:rsid w:val="00C432BE"/>
    <w:rsid w:val="00C445B4"/>
    <w:rsid w:val="00C4607E"/>
    <w:rsid w:val="00C4721D"/>
    <w:rsid w:val="00C47A6B"/>
    <w:rsid w:val="00C504B6"/>
    <w:rsid w:val="00C50BDE"/>
    <w:rsid w:val="00C52196"/>
    <w:rsid w:val="00C53436"/>
    <w:rsid w:val="00C5627B"/>
    <w:rsid w:val="00C563C0"/>
    <w:rsid w:val="00C56C7A"/>
    <w:rsid w:val="00C57B7E"/>
    <w:rsid w:val="00C57E59"/>
    <w:rsid w:val="00C60C90"/>
    <w:rsid w:val="00C610EA"/>
    <w:rsid w:val="00C6149B"/>
    <w:rsid w:val="00C63738"/>
    <w:rsid w:val="00C638E8"/>
    <w:rsid w:val="00C63E56"/>
    <w:rsid w:val="00C63EE2"/>
    <w:rsid w:val="00C63F47"/>
    <w:rsid w:val="00C64F5F"/>
    <w:rsid w:val="00C65243"/>
    <w:rsid w:val="00C658C5"/>
    <w:rsid w:val="00C66AEF"/>
    <w:rsid w:val="00C66BDB"/>
    <w:rsid w:val="00C66CDE"/>
    <w:rsid w:val="00C674E7"/>
    <w:rsid w:val="00C71095"/>
    <w:rsid w:val="00C7347B"/>
    <w:rsid w:val="00C735F7"/>
    <w:rsid w:val="00C74203"/>
    <w:rsid w:val="00C7575C"/>
    <w:rsid w:val="00C75C1C"/>
    <w:rsid w:val="00C76053"/>
    <w:rsid w:val="00C761C1"/>
    <w:rsid w:val="00C7662C"/>
    <w:rsid w:val="00C77255"/>
    <w:rsid w:val="00C810BE"/>
    <w:rsid w:val="00C81386"/>
    <w:rsid w:val="00C81446"/>
    <w:rsid w:val="00C81C14"/>
    <w:rsid w:val="00C81E0F"/>
    <w:rsid w:val="00C8249E"/>
    <w:rsid w:val="00C82AC1"/>
    <w:rsid w:val="00C82B3C"/>
    <w:rsid w:val="00C82D30"/>
    <w:rsid w:val="00C83E12"/>
    <w:rsid w:val="00C8410D"/>
    <w:rsid w:val="00C84474"/>
    <w:rsid w:val="00C84E41"/>
    <w:rsid w:val="00C871DB"/>
    <w:rsid w:val="00C918B4"/>
    <w:rsid w:val="00C92164"/>
    <w:rsid w:val="00C92B8F"/>
    <w:rsid w:val="00C92D06"/>
    <w:rsid w:val="00C92E5D"/>
    <w:rsid w:val="00C93947"/>
    <w:rsid w:val="00C93D33"/>
    <w:rsid w:val="00C94114"/>
    <w:rsid w:val="00C952D1"/>
    <w:rsid w:val="00C957E7"/>
    <w:rsid w:val="00C96634"/>
    <w:rsid w:val="00C96783"/>
    <w:rsid w:val="00C967FC"/>
    <w:rsid w:val="00C9769C"/>
    <w:rsid w:val="00C9782F"/>
    <w:rsid w:val="00CA0B51"/>
    <w:rsid w:val="00CA53F4"/>
    <w:rsid w:val="00CA6AE8"/>
    <w:rsid w:val="00CB0492"/>
    <w:rsid w:val="00CB0DBB"/>
    <w:rsid w:val="00CB2D56"/>
    <w:rsid w:val="00CB3516"/>
    <w:rsid w:val="00CB448E"/>
    <w:rsid w:val="00CB519B"/>
    <w:rsid w:val="00CB7DE3"/>
    <w:rsid w:val="00CC010C"/>
    <w:rsid w:val="00CC3CC9"/>
    <w:rsid w:val="00CC5047"/>
    <w:rsid w:val="00CC57A3"/>
    <w:rsid w:val="00CC66FE"/>
    <w:rsid w:val="00CC730B"/>
    <w:rsid w:val="00CC797A"/>
    <w:rsid w:val="00CD1CEF"/>
    <w:rsid w:val="00CD1EBB"/>
    <w:rsid w:val="00CD2207"/>
    <w:rsid w:val="00CD23C7"/>
    <w:rsid w:val="00CD35BB"/>
    <w:rsid w:val="00CD3B71"/>
    <w:rsid w:val="00CD654A"/>
    <w:rsid w:val="00CD77FF"/>
    <w:rsid w:val="00CD7C5A"/>
    <w:rsid w:val="00CE0405"/>
    <w:rsid w:val="00CE1ACA"/>
    <w:rsid w:val="00CE217A"/>
    <w:rsid w:val="00CE2BAD"/>
    <w:rsid w:val="00CE3D13"/>
    <w:rsid w:val="00CE4985"/>
    <w:rsid w:val="00CE70DD"/>
    <w:rsid w:val="00CE7E65"/>
    <w:rsid w:val="00CF0DC2"/>
    <w:rsid w:val="00CF0EBA"/>
    <w:rsid w:val="00CF12A1"/>
    <w:rsid w:val="00CF1886"/>
    <w:rsid w:val="00CF1BA3"/>
    <w:rsid w:val="00CF215B"/>
    <w:rsid w:val="00CF2940"/>
    <w:rsid w:val="00CF29CA"/>
    <w:rsid w:val="00CF36AC"/>
    <w:rsid w:val="00CF495A"/>
    <w:rsid w:val="00CF55B3"/>
    <w:rsid w:val="00CF7691"/>
    <w:rsid w:val="00CF7AF4"/>
    <w:rsid w:val="00D0004D"/>
    <w:rsid w:val="00D027D8"/>
    <w:rsid w:val="00D02ADF"/>
    <w:rsid w:val="00D030E4"/>
    <w:rsid w:val="00D03952"/>
    <w:rsid w:val="00D039D0"/>
    <w:rsid w:val="00D03A94"/>
    <w:rsid w:val="00D03F8F"/>
    <w:rsid w:val="00D04591"/>
    <w:rsid w:val="00D04B16"/>
    <w:rsid w:val="00D05382"/>
    <w:rsid w:val="00D07603"/>
    <w:rsid w:val="00D07A40"/>
    <w:rsid w:val="00D10CCA"/>
    <w:rsid w:val="00D10DFF"/>
    <w:rsid w:val="00D114E6"/>
    <w:rsid w:val="00D12A94"/>
    <w:rsid w:val="00D13039"/>
    <w:rsid w:val="00D1316E"/>
    <w:rsid w:val="00D13422"/>
    <w:rsid w:val="00D1376F"/>
    <w:rsid w:val="00D1530A"/>
    <w:rsid w:val="00D155F4"/>
    <w:rsid w:val="00D15827"/>
    <w:rsid w:val="00D17900"/>
    <w:rsid w:val="00D20846"/>
    <w:rsid w:val="00D22C73"/>
    <w:rsid w:val="00D2310B"/>
    <w:rsid w:val="00D2354F"/>
    <w:rsid w:val="00D238E2"/>
    <w:rsid w:val="00D24272"/>
    <w:rsid w:val="00D25E0D"/>
    <w:rsid w:val="00D271BC"/>
    <w:rsid w:val="00D31CA7"/>
    <w:rsid w:val="00D32281"/>
    <w:rsid w:val="00D32843"/>
    <w:rsid w:val="00D3297F"/>
    <w:rsid w:val="00D32CA0"/>
    <w:rsid w:val="00D33023"/>
    <w:rsid w:val="00D3457C"/>
    <w:rsid w:val="00D358E7"/>
    <w:rsid w:val="00D35F2D"/>
    <w:rsid w:val="00D35F5A"/>
    <w:rsid w:val="00D36679"/>
    <w:rsid w:val="00D37D94"/>
    <w:rsid w:val="00D4003A"/>
    <w:rsid w:val="00D40267"/>
    <w:rsid w:val="00D40405"/>
    <w:rsid w:val="00D40B5E"/>
    <w:rsid w:val="00D424ED"/>
    <w:rsid w:val="00D4280C"/>
    <w:rsid w:val="00D43143"/>
    <w:rsid w:val="00D43A58"/>
    <w:rsid w:val="00D44BC1"/>
    <w:rsid w:val="00D44C55"/>
    <w:rsid w:val="00D454DB"/>
    <w:rsid w:val="00D465F3"/>
    <w:rsid w:val="00D46A02"/>
    <w:rsid w:val="00D47624"/>
    <w:rsid w:val="00D50249"/>
    <w:rsid w:val="00D50EAF"/>
    <w:rsid w:val="00D516D9"/>
    <w:rsid w:val="00D52038"/>
    <w:rsid w:val="00D5239F"/>
    <w:rsid w:val="00D525C3"/>
    <w:rsid w:val="00D55B91"/>
    <w:rsid w:val="00D55F8C"/>
    <w:rsid w:val="00D57219"/>
    <w:rsid w:val="00D575DF"/>
    <w:rsid w:val="00D603F7"/>
    <w:rsid w:val="00D606A1"/>
    <w:rsid w:val="00D6338D"/>
    <w:rsid w:val="00D64196"/>
    <w:rsid w:val="00D653DF"/>
    <w:rsid w:val="00D657DD"/>
    <w:rsid w:val="00D6634A"/>
    <w:rsid w:val="00D66E09"/>
    <w:rsid w:val="00D67424"/>
    <w:rsid w:val="00D67665"/>
    <w:rsid w:val="00D6780A"/>
    <w:rsid w:val="00D70B2B"/>
    <w:rsid w:val="00D73648"/>
    <w:rsid w:val="00D74783"/>
    <w:rsid w:val="00D755F7"/>
    <w:rsid w:val="00D757F5"/>
    <w:rsid w:val="00D769F3"/>
    <w:rsid w:val="00D76CAA"/>
    <w:rsid w:val="00D77B15"/>
    <w:rsid w:val="00D8047C"/>
    <w:rsid w:val="00D80A2D"/>
    <w:rsid w:val="00D81501"/>
    <w:rsid w:val="00D81747"/>
    <w:rsid w:val="00D83FC9"/>
    <w:rsid w:val="00D849F6"/>
    <w:rsid w:val="00D84AE6"/>
    <w:rsid w:val="00D85F2F"/>
    <w:rsid w:val="00D86192"/>
    <w:rsid w:val="00D872BF"/>
    <w:rsid w:val="00D8781C"/>
    <w:rsid w:val="00D901C6"/>
    <w:rsid w:val="00D91009"/>
    <w:rsid w:val="00D9107E"/>
    <w:rsid w:val="00D92864"/>
    <w:rsid w:val="00D92C12"/>
    <w:rsid w:val="00D93FC8"/>
    <w:rsid w:val="00D95092"/>
    <w:rsid w:val="00D967D7"/>
    <w:rsid w:val="00D97B42"/>
    <w:rsid w:val="00D97D5B"/>
    <w:rsid w:val="00DA058C"/>
    <w:rsid w:val="00DA071D"/>
    <w:rsid w:val="00DA0FA8"/>
    <w:rsid w:val="00DA13B1"/>
    <w:rsid w:val="00DA4AD5"/>
    <w:rsid w:val="00DA4CFD"/>
    <w:rsid w:val="00DA5D2F"/>
    <w:rsid w:val="00DA7F8F"/>
    <w:rsid w:val="00DA7FB3"/>
    <w:rsid w:val="00DB2212"/>
    <w:rsid w:val="00DB35A1"/>
    <w:rsid w:val="00DB35DA"/>
    <w:rsid w:val="00DB44A9"/>
    <w:rsid w:val="00DB586B"/>
    <w:rsid w:val="00DB69DF"/>
    <w:rsid w:val="00DB6E11"/>
    <w:rsid w:val="00DB7EDD"/>
    <w:rsid w:val="00DC020B"/>
    <w:rsid w:val="00DC2233"/>
    <w:rsid w:val="00DC3F2A"/>
    <w:rsid w:val="00DC4FA5"/>
    <w:rsid w:val="00DC6547"/>
    <w:rsid w:val="00DC6D1B"/>
    <w:rsid w:val="00DD0BC5"/>
    <w:rsid w:val="00DD101B"/>
    <w:rsid w:val="00DD16DF"/>
    <w:rsid w:val="00DD187E"/>
    <w:rsid w:val="00DD2F48"/>
    <w:rsid w:val="00DD583F"/>
    <w:rsid w:val="00DD784E"/>
    <w:rsid w:val="00DD7D0E"/>
    <w:rsid w:val="00DE0C1D"/>
    <w:rsid w:val="00DE117E"/>
    <w:rsid w:val="00DE5C5A"/>
    <w:rsid w:val="00DE5D48"/>
    <w:rsid w:val="00DE71B9"/>
    <w:rsid w:val="00DF030C"/>
    <w:rsid w:val="00DF30D6"/>
    <w:rsid w:val="00DF4B5B"/>
    <w:rsid w:val="00DF6EEB"/>
    <w:rsid w:val="00DF7939"/>
    <w:rsid w:val="00E027B3"/>
    <w:rsid w:val="00E02BF1"/>
    <w:rsid w:val="00E03AE2"/>
    <w:rsid w:val="00E048DC"/>
    <w:rsid w:val="00E06559"/>
    <w:rsid w:val="00E0776F"/>
    <w:rsid w:val="00E07AFC"/>
    <w:rsid w:val="00E07B58"/>
    <w:rsid w:val="00E10A5F"/>
    <w:rsid w:val="00E10B34"/>
    <w:rsid w:val="00E11C29"/>
    <w:rsid w:val="00E11D50"/>
    <w:rsid w:val="00E12605"/>
    <w:rsid w:val="00E152CE"/>
    <w:rsid w:val="00E15F36"/>
    <w:rsid w:val="00E1685D"/>
    <w:rsid w:val="00E16C89"/>
    <w:rsid w:val="00E17328"/>
    <w:rsid w:val="00E17430"/>
    <w:rsid w:val="00E2002E"/>
    <w:rsid w:val="00E20A26"/>
    <w:rsid w:val="00E21A9A"/>
    <w:rsid w:val="00E22381"/>
    <w:rsid w:val="00E225D6"/>
    <w:rsid w:val="00E239A8"/>
    <w:rsid w:val="00E23E88"/>
    <w:rsid w:val="00E2407B"/>
    <w:rsid w:val="00E253AB"/>
    <w:rsid w:val="00E25499"/>
    <w:rsid w:val="00E256C1"/>
    <w:rsid w:val="00E26177"/>
    <w:rsid w:val="00E2671B"/>
    <w:rsid w:val="00E2679C"/>
    <w:rsid w:val="00E27E2A"/>
    <w:rsid w:val="00E306A9"/>
    <w:rsid w:val="00E307D8"/>
    <w:rsid w:val="00E31018"/>
    <w:rsid w:val="00E32500"/>
    <w:rsid w:val="00E343A8"/>
    <w:rsid w:val="00E347C9"/>
    <w:rsid w:val="00E411E4"/>
    <w:rsid w:val="00E41390"/>
    <w:rsid w:val="00E4271E"/>
    <w:rsid w:val="00E4538D"/>
    <w:rsid w:val="00E45999"/>
    <w:rsid w:val="00E46351"/>
    <w:rsid w:val="00E47293"/>
    <w:rsid w:val="00E47652"/>
    <w:rsid w:val="00E500F5"/>
    <w:rsid w:val="00E5133E"/>
    <w:rsid w:val="00E53775"/>
    <w:rsid w:val="00E542E5"/>
    <w:rsid w:val="00E559F2"/>
    <w:rsid w:val="00E56967"/>
    <w:rsid w:val="00E605C6"/>
    <w:rsid w:val="00E60DEB"/>
    <w:rsid w:val="00E60F9E"/>
    <w:rsid w:val="00E61C55"/>
    <w:rsid w:val="00E61D12"/>
    <w:rsid w:val="00E61EDF"/>
    <w:rsid w:val="00E620E2"/>
    <w:rsid w:val="00E6259F"/>
    <w:rsid w:val="00E63533"/>
    <w:rsid w:val="00E639EE"/>
    <w:rsid w:val="00E6623D"/>
    <w:rsid w:val="00E663F9"/>
    <w:rsid w:val="00E675F4"/>
    <w:rsid w:val="00E67BEC"/>
    <w:rsid w:val="00E703C2"/>
    <w:rsid w:val="00E70FDE"/>
    <w:rsid w:val="00E71801"/>
    <w:rsid w:val="00E7251C"/>
    <w:rsid w:val="00E729A4"/>
    <w:rsid w:val="00E736FF"/>
    <w:rsid w:val="00E7397A"/>
    <w:rsid w:val="00E75381"/>
    <w:rsid w:val="00E755E9"/>
    <w:rsid w:val="00E75D19"/>
    <w:rsid w:val="00E760C4"/>
    <w:rsid w:val="00E779DC"/>
    <w:rsid w:val="00E77A72"/>
    <w:rsid w:val="00E77A7D"/>
    <w:rsid w:val="00E81362"/>
    <w:rsid w:val="00E81632"/>
    <w:rsid w:val="00E826C7"/>
    <w:rsid w:val="00E86697"/>
    <w:rsid w:val="00E870D9"/>
    <w:rsid w:val="00E87CC8"/>
    <w:rsid w:val="00E90192"/>
    <w:rsid w:val="00E90814"/>
    <w:rsid w:val="00E93F59"/>
    <w:rsid w:val="00E94495"/>
    <w:rsid w:val="00E971DF"/>
    <w:rsid w:val="00E974E9"/>
    <w:rsid w:val="00E97790"/>
    <w:rsid w:val="00EA0470"/>
    <w:rsid w:val="00EA053D"/>
    <w:rsid w:val="00EA3326"/>
    <w:rsid w:val="00EA4B09"/>
    <w:rsid w:val="00EA4F2C"/>
    <w:rsid w:val="00EA4F37"/>
    <w:rsid w:val="00EA61A2"/>
    <w:rsid w:val="00EA61B7"/>
    <w:rsid w:val="00EA7607"/>
    <w:rsid w:val="00EB1758"/>
    <w:rsid w:val="00EB1C55"/>
    <w:rsid w:val="00EB2990"/>
    <w:rsid w:val="00EB2A9E"/>
    <w:rsid w:val="00EB31F5"/>
    <w:rsid w:val="00EB5ADC"/>
    <w:rsid w:val="00EB5BE4"/>
    <w:rsid w:val="00EB682B"/>
    <w:rsid w:val="00EB6B04"/>
    <w:rsid w:val="00EB78C1"/>
    <w:rsid w:val="00EC20FF"/>
    <w:rsid w:val="00EC477C"/>
    <w:rsid w:val="00EC4CCB"/>
    <w:rsid w:val="00EC4EA9"/>
    <w:rsid w:val="00EC5B7A"/>
    <w:rsid w:val="00EC6A8D"/>
    <w:rsid w:val="00ED1C6D"/>
    <w:rsid w:val="00ED252A"/>
    <w:rsid w:val="00ED313E"/>
    <w:rsid w:val="00ED370C"/>
    <w:rsid w:val="00ED3795"/>
    <w:rsid w:val="00ED3961"/>
    <w:rsid w:val="00ED44EA"/>
    <w:rsid w:val="00ED5315"/>
    <w:rsid w:val="00ED5E74"/>
    <w:rsid w:val="00ED6EC6"/>
    <w:rsid w:val="00ED73DD"/>
    <w:rsid w:val="00EE0715"/>
    <w:rsid w:val="00EE1308"/>
    <w:rsid w:val="00EE1C70"/>
    <w:rsid w:val="00EE3F1F"/>
    <w:rsid w:val="00EE48A3"/>
    <w:rsid w:val="00EE4A4E"/>
    <w:rsid w:val="00EE4DA2"/>
    <w:rsid w:val="00EE5B9B"/>
    <w:rsid w:val="00EE5E37"/>
    <w:rsid w:val="00EE60B6"/>
    <w:rsid w:val="00EE6D15"/>
    <w:rsid w:val="00EE7310"/>
    <w:rsid w:val="00EE7571"/>
    <w:rsid w:val="00EF021C"/>
    <w:rsid w:val="00EF1302"/>
    <w:rsid w:val="00EF1AE7"/>
    <w:rsid w:val="00EF2FCB"/>
    <w:rsid w:val="00EF31D0"/>
    <w:rsid w:val="00EF407C"/>
    <w:rsid w:val="00EF44A8"/>
    <w:rsid w:val="00EF49C9"/>
    <w:rsid w:val="00F003F7"/>
    <w:rsid w:val="00F00A37"/>
    <w:rsid w:val="00F013D3"/>
    <w:rsid w:val="00F038AF"/>
    <w:rsid w:val="00F04783"/>
    <w:rsid w:val="00F07020"/>
    <w:rsid w:val="00F07B94"/>
    <w:rsid w:val="00F10867"/>
    <w:rsid w:val="00F10D5D"/>
    <w:rsid w:val="00F1282E"/>
    <w:rsid w:val="00F12CC9"/>
    <w:rsid w:val="00F130EA"/>
    <w:rsid w:val="00F13221"/>
    <w:rsid w:val="00F161EB"/>
    <w:rsid w:val="00F162E3"/>
    <w:rsid w:val="00F16E29"/>
    <w:rsid w:val="00F17868"/>
    <w:rsid w:val="00F17FC7"/>
    <w:rsid w:val="00F20206"/>
    <w:rsid w:val="00F221F4"/>
    <w:rsid w:val="00F232AA"/>
    <w:rsid w:val="00F23501"/>
    <w:rsid w:val="00F23BE0"/>
    <w:rsid w:val="00F25221"/>
    <w:rsid w:val="00F25913"/>
    <w:rsid w:val="00F30A85"/>
    <w:rsid w:val="00F30D3C"/>
    <w:rsid w:val="00F31913"/>
    <w:rsid w:val="00F32634"/>
    <w:rsid w:val="00F33597"/>
    <w:rsid w:val="00F34532"/>
    <w:rsid w:val="00F345C8"/>
    <w:rsid w:val="00F34F59"/>
    <w:rsid w:val="00F3650F"/>
    <w:rsid w:val="00F37288"/>
    <w:rsid w:val="00F376F4"/>
    <w:rsid w:val="00F404EE"/>
    <w:rsid w:val="00F407C2"/>
    <w:rsid w:val="00F4251F"/>
    <w:rsid w:val="00F433AC"/>
    <w:rsid w:val="00F437AA"/>
    <w:rsid w:val="00F442D4"/>
    <w:rsid w:val="00F44979"/>
    <w:rsid w:val="00F4659B"/>
    <w:rsid w:val="00F470DE"/>
    <w:rsid w:val="00F47B6F"/>
    <w:rsid w:val="00F47D3C"/>
    <w:rsid w:val="00F52D78"/>
    <w:rsid w:val="00F53FB2"/>
    <w:rsid w:val="00F55C88"/>
    <w:rsid w:val="00F5696A"/>
    <w:rsid w:val="00F5739E"/>
    <w:rsid w:val="00F5790E"/>
    <w:rsid w:val="00F5798B"/>
    <w:rsid w:val="00F604F4"/>
    <w:rsid w:val="00F60E39"/>
    <w:rsid w:val="00F60FAD"/>
    <w:rsid w:val="00F629EC"/>
    <w:rsid w:val="00F62D1E"/>
    <w:rsid w:val="00F62EDE"/>
    <w:rsid w:val="00F63820"/>
    <w:rsid w:val="00F63AE0"/>
    <w:rsid w:val="00F64216"/>
    <w:rsid w:val="00F65E93"/>
    <w:rsid w:val="00F66048"/>
    <w:rsid w:val="00F664AF"/>
    <w:rsid w:val="00F666C8"/>
    <w:rsid w:val="00F667BA"/>
    <w:rsid w:val="00F66B0C"/>
    <w:rsid w:val="00F6775A"/>
    <w:rsid w:val="00F67908"/>
    <w:rsid w:val="00F70DFC"/>
    <w:rsid w:val="00F7185B"/>
    <w:rsid w:val="00F72522"/>
    <w:rsid w:val="00F74EF3"/>
    <w:rsid w:val="00F74FBE"/>
    <w:rsid w:val="00F80E87"/>
    <w:rsid w:val="00F811B8"/>
    <w:rsid w:val="00F82D1D"/>
    <w:rsid w:val="00F83C6C"/>
    <w:rsid w:val="00F8433A"/>
    <w:rsid w:val="00F849BB"/>
    <w:rsid w:val="00F8529D"/>
    <w:rsid w:val="00F854E4"/>
    <w:rsid w:val="00F858C2"/>
    <w:rsid w:val="00F858C3"/>
    <w:rsid w:val="00F8652E"/>
    <w:rsid w:val="00F90085"/>
    <w:rsid w:val="00F90F6A"/>
    <w:rsid w:val="00F910FA"/>
    <w:rsid w:val="00F9156C"/>
    <w:rsid w:val="00F9160A"/>
    <w:rsid w:val="00F91703"/>
    <w:rsid w:val="00F91920"/>
    <w:rsid w:val="00F91C7A"/>
    <w:rsid w:val="00F92049"/>
    <w:rsid w:val="00F93021"/>
    <w:rsid w:val="00F930FF"/>
    <w:rsid w:val="00F9390C"/>
    <w:rsid w:val="00F93A59"/>
    <w:rsid w:val="00F945AB"/>
    <w:rsid w:val="00F96181"/>
    <w:rsid w:val="00F964CC"/>
    <w:rsid w:val="00F964D5"/>
    <w:rsid w:val="00F9667B"/>
    <w:rsid w:val="00F96C00"/>
    <w:rsid w:val="00F96C19"/>
    <w:rsid w:val="00F97419"/>
    <w:rsid w:val="00F97C42"/>
    <w:rsid w:val="00FA05BF"/>
    <w:rsid w:val="00FA119D"/>
    <w:rsid w:val="00FA24AD"/>
    <w:rsid w:val="00FA2A24"/>
    <w:rsid w:val="00FA421E"/>
    <w:rsid w:val="00FA42DF"/>
    <w:rsid w:val="00FA5082"/>
    <w:rsid w:val="00FA52A4"/>
    <w:rsid w:val="00FA5313"/>
    <w:rsid w:val="00FA565A"/>
    <w:rsid w:val="00FA59B9"/>
    <w:rsid w:val="00FA5AF1"/>
    <w:rsid w:val="00FA6049"/>
    <w:rsid w:val="00FA6B2C"/>
    <w:rsid w:val="00FA6F70"/>
    <w:rsid w:val="00FA7916"/>
    <w:rsid w:val="00FA7B9F"/>
    <w:rsid w:val="00FB0902"/>
    <w:rsid w:val="00FB0AA7"/>
    <w:rsid w:val="00FB0F30"/>
    <w:rsid w:val="00FB0F3E"/>
    <w:rsid w:val="00FB13CB"/>
    <w:rsid w:val="00FB1D97"/>
    <w:rsid w:val="00FB31FD"/>
    <w:rsid w:val="00FB391D"/>
    <w:rsid w:val="00FB3C40"/>
    <w:rsid w:val="00FB4C97"/>
    <w:rsid w:val="00FB5A77"/>
    <w:rsid w:val="00FB6153"/>
    <w:rsid w:val="00FB785E"/>
    <w:rsid w:val="00FC0013"/>
    <w:rsid w:val="00FC0168"/>
    <w:rsid w:val="00FC0FC4"/>
    <w:rsid w:val="00FC295A"/>
    <w:rsid w:val="00FC2B3D"/>
    <w:rsid w:val="00FC2FDD"/>
    <w:rsid w:val="00FC3C00"/>
    <w:rsid w:val="00FC47E2"/>
    <w:rsid w:val="00FC48CF"/>
    <w:rsid w:val="00FC5AD9"/>
    <w:rsid w:val="00FC5D07"/>
    <w:rsid w:val="00FC684D"/>
    <w:rsid w:val="00FD0C3D"/>
    <w:rsid w:val="00FD1217"/>
    <w:rsid w:val="00FD2141"/>
    <w:rsid w:val="00FD364F"/>
    <w:rsid w:val="00FD3860"/>
    <w:rsid w:val="00FD39C5"/>
    <w:rsid w:val="00FD3B44"/>
    <w:rsid w:val="00FD4CE2"/>
    <w:rsid w:val="00FD4EC3"/>
    <w:rsid w:val="00FD5B91"/>
    <w:rsid w:val="00FD67A8"/>
    <w:rsid w:val="00FD7CF2"/>
    <w:rsid w:val="00FE0969"/>
    <w:rsid w:val="00FE1932"/>
    <w:rsid w:val="00FE1E97"/>
    <w:rsid w:val="00FE36C8"/>
    <w:rsid w:val="00FE4E5D"/>
    <w:rsid w:val="00FE50EC"/>
    <w:rsid w:val="00FE5D6A"/>
    <w:rsid w:val="00FE6372"/>
    <w:rsid w:val="00FE6571"/>
    <w:rsid w:val="00FE7028"/>
    <w:rsid w:val="00FE7BD1"/>
    <w:rsid w:val="00FE7FB3"/>
    <w:rsid w:val="00FF00F7"/>
    <w:rsid w:val="00FF03C2"/>
    <w:rsid w:val="00FF0613"/>
    <w:rsid w:val="00FF198F"/>
    <w:rsid w:val="00FF30DD"/>
    <w:rsid w:val="00FF434B"/>
    <w:rsid w:val="00FF4E6D"/>
    <w:rsid w:val="00FF55A6"/>
    <w:rsid w:val="00FF6243"/>
    <w:rsid w:val="00FF6AB1"/>
    <w:rsid w:val="00FF75A3"/>
    <w:rsid w:val="00FF7601"/>
    <w:rsid w:val="0153F6F7"/>
    <w:rsid w:val="015E83E2"/>
    <w:rsid w:val="0512CDBC"/>
    <w:rsid w:val="06C78C5A"/>
    <w:rsid w:val="07C47A38"/>
    <w:rsid w:val="085EBEF8"/>
    <w:rsid w:val="087571A2"/>
    <w:rsid w:val="08C53ACF"/>
    <w:rsid w:val="099E59EE"/>
    <w:rsid w:val="0B8BED7D"/>
    <w:rsid w:val="0D72BB44"/>
    <w:rsid w:val="0E5BE784"/>
    <w:rsid w:val="0EF46C35"/>
    <w:rsid w:val="11A8CE1E"/>
    <w:rsid w:val="13B6829D"/>
    <w:rsid w:val="14D462BE"/>
    <w:rsid w:val="176F80D7"/>
    <w:rsid w:val="1A34D073"/>
    <w:rsid w:val="1B71F047"/>
    <w:rsid w:val="1C0C5730"/>
    <w:rsid w:val="1D8EA433"/>
    <w:rsid w:val="209BBC71"/>
    <w:rsid w:val="2549BFE6"/>
    <w:rsid w:val="26146E9F"/>
    <w:rsid w:val="2BF924D3"/>
    <w:rsid w:val="2CCA4ECC"/>
    <w:rsid w:val="2DE8B559"/>
    <w:rsid w:val="2EC26CB0"/>
    <w:rsid w:val="304B00EE"/>
    <w:rsid w:val="350F483A"/>
    <w:rsid w:val="365CB9CA"/>
    <w:rsid w:val="36907B48"/>
    <w:rsid w:val="37F41A76"/>
    <w:rsid w:val="38047460"/>
    <w:rsid w:val="3A9F34A0"/>
    <w:rsid w:val="3BB9ACB4"/>
    <w:rsid w:val="41AEC6E5"/>
    <w:rsid w:val="455B533E"/>
    <w:rsid w:val="48E9354E"/>
    <w:rsid w:val="48F0E071"/>
    <w:rsid w:val="505E28CE"/>
    <w:rsid w:val="516307C1"/>
    <w:rsid w:val="51C27337"/>
    <w:rsid w:val="53A18EF8"/>
    <w:rsid w:val="58973BBA"/>
    <w:rsid w:val="5CB01355"/>
    <w:rsid w:val="5CBBBA18"/>
    <w:rsid w:val="5DA8674C"/>
    <w:rsid w:val="5DB6B461"/>
    <w:rsid w:val="5E87E322"/>
    <w:rsid w:val="60C02B33"/>
    <w:rsid w:val="618FEB7C"/>
    <w:rsid w:val="64418580"/>
    <w:rsid w:val="68FB3CD8"/>
    <w:rsid w:val="69542C04"/>
    <w:rsid w:val="6A07D893"/>
    <w:rsid w:val="768CD0EF"/>
    <w:rsid w:val="7B87756E"/>
    <w:rsid w:val="7D69E69F"/>
    <w:rsid w:val="7E76A7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5D4C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C58"/>
    <w:rPr>
      <w:sz w:val="22"/>
      <w:lang w:val="en-GB" w:eastAsia="de-DE"/>
    </w:rPr>
  </w:style>
  <w:style w:type="paragraph" w:styleId="Heading1">
    <w:name w:val="heading 1"/>
    <w:basedOn w:val="Normal"/>
    <w:next w:val="Normal"/>
    <w:qFormat/>
    <w:rsid w:val="00F16E29"/>
    <w:pPr>
      <w:keepNext/>
      <w:spacing w:before="240" w:after="60"/>
      <w:outlineLvl w:val="0"/>
    </w:pPr>
    <w:rPr>
      <w:rFonts w:ascii="Arial" w:hAnsi="Arial"/>
      <w:b/>
      <w:kern w:val="28"/>
      <w:sz w:val="28"/>
      <w:u w:val="dotDotDash"/>
    </w:rPr>
  </w:style>
  <w:style w:type="paragraph" w:styleId="Heading2">
    <w:name w:val="heading 2"/>
    <w:basedOn w:val="Normal"/>
    <w:next w:val="Normal"/>
    <w:qFormat/>
    <w:rsid w:val="00F16E29"/>
    <w:pPr>
      <w:keepNext/>
      <w:spacing w:before="240" w:after="60"/>
      <w:outlineLvl w:val="1"/>
    </w:pPr>
    <w:rPr>
      <w:rFonts w:ascii="Arial" w:hAnsi="Arial"/>
      <w:b/>
      <w:i/>
      <w:u w:val="dotDotDash"/>
    </w:rPr>
  </w:style>
  <w:style w:type="paragraph" w:styleId="Heading3">
    <w:name w:val="heading 3"/>
    <w:basedOn w:val="Normal"/>
    <w:qFormat/>
    <w:rsid w:val="00F16E29"/>
    <w:pPr>
      <w:tabs>
        <w:tab w:val="left" w:pos="720"/>
      </w:tabs>
      <w:spacing w:after="240"/>
      <w:outlineLvl w:val="2"/>
    </w:pPr>
    <w:rPr>
      <w:u w:val="dotDotDash"/>
    </w:rPr>
  </w:style>
  <w:style w:type="paragraph" w:styleId="Heading4">
    <w:name w:val="heading 4"/>
    <w:basedOn w:val="Normal"/>
    <w:next w:val="Normal"/>
    <w:qFormat/>
    <w:rsid w:val="00F16E29"/>
    <w:pPr>
      <w:keepNext/>
      <w:spacing w:before="240" w:after="60"/>
      <w:outlineLvl w:val="3"/>
    </w:pPr>
    <w:rPr>
      <w:rFonts w:ascii="Arial" w:hAnsi="Arial"/>
      <w:b/>
      <w:u w:val="dotDotDash"/>
    </w:rPr>
  </w:style>
  <w:style w:type="paragraph" w:styleId="Heading5">
    <w:name w:val="heading 5"/>
    <w:basedOn w:val="Normal"/>
    <w:qFormat/>
    <w:rsid w:val="00F16E29"/>
    <w:pPr>
      <w:numPr>
        <w:ilvl w:val="4"/>
        <w:numId w:val="13"/>
      </w:numPr>
      <w:spacing w:after="240"/>
      <w:outlineLvl w:val="4"/>
    </w:pPr>
    <w:rPr>
      <w:u w:val="dotDotDash"/>
    </w:rPr>
  </w:style>
  <w:style w:type="paragraph" w:styleId="Heading6">
    <w:name w:val="heading 6"/>
    <w:basedOn w:val="Normal"/>
    <w:next w:val="Normal"/>
    <w:qFormat/>
    <w:rsid w:val="00F16E29"/>
    <w:pPr>
      <w:spacing w:before="240" w:after="60"/>
      <w:outlineLvl w:val="5"/>
    </w:pPr>
    <w:rPr>
      <w:i/>
      <w:u w:val="dotDotDash"/>
    </w:rPr>
  </w:style>
  <w:style w:type="paragraph" w:styleId="Heading7">
    <w:name w:val="heading 7"/>
    <w:basedOn w:val="Normal"/>
    <w:next w:val="Normal"/>
    <w:qFormat/>
    <w:rsid w:val="00F16E29"/>
    <w:pPr>
      <w:spacing w:before="240" w:after="60"/>
      <w:outlineLvl w:val="6"/>
    </w:pPr>
    <w:rPr>
      <w:rFonts w:ascii="Arial" w:hAnsi="Arial"/>
      <w:sz w:val="20"/>
      <w:u w:val="dotDotDash"/>
    </w:rPr>
  </w:style>
  <w:style w:type="paragraph" w:styleId="Heading8">
    <w:name w:val="heading 8"/>
    <w:basedOn w:val="Normal"/>
    <w:next w:val="Normal"/>
    <w:qFormat/>
    <w:rsid w:val="00F16E29"/>
    <w:pPr>
      <w:spacing w:before="240" w:after="60"/>
      <w:outlineLvl w:val="7"/>
    </w:pPr>
    <w:rPr>
      <w:rFonts w:ascii="Arial" w:hAnsi="Arial"/>
      <w:i/>
      <w:sz w:val="20"/>
      <w:u w:val="dotDotDash"/>
    </w:rPr>
  </w:style>
  <w:style w:type="paragraph" w:styleId="Heading9">
    <w:name w:val="heading 9"/>
    <w:basedOn w:val="Normal"/>
    <w:next w:val="Normal"/>
    <w:qFormat/>
    <w:rsid w:val="00F16E29"/>
    <w:pPr>
      <w:spacing w:before="240" w:after="60"/>
      <w:outlineLvl w:val="8"/>
    </w:pPr>
    <w:rPr>
      <w:rFonts w:ascii="Arial" w:hAnsi="Arial"/>
      <w:b/>
      <w:i/>
      <w:sz w:val="18"/>
      <w:u w:val="dotDotDas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Para">
    <w:name w:val="DecPara"/>
    <w:basedOn w:val="Normal"/>
    <w:rsid w:val="00F16E29"/>
    <w:pPr>
      <w:numPr>
        <w:numId w:val="1"/>
      </w:numPr>
      <w:spacing w:before="180"/>
    </w:pPr>
  </w:style>
  <w:style w:type="paragraph" w:customStyle="1" w:styleId="RegHead1">
    <w:name w:val="RegHead1"/>
    <w:basedOn w:val="Normal"/>
    <w:next w:val="RegHead2"/>
    <w:rsid w:val="00F16E29"/>
    <w:pPr>
      <w:keepNext/>
      <w:numPr>
        <w:numId w:val="7"/>
      </w:numPr>
      <w:spacing w:before="180"/>
      <w:jc w:val="center"/>
    </w:pPr>
    <w:rPr>
      <w:b/>
      <w:sz w:val="28"/>
    </w:rPr>
  </w:style>
  <w:style w:type="paragraph" w:customStyle="1" w:styleId="AnnoPara">
    <w:name w:val="AnnoPara"/>
    <w:basedOn w:val="Normal"/>
    <w:rsid w:val="00F16E29"/>
    <w:pPr>
      <w:numPr>
        <w:ilvl w:val="4"/>
        <w:numId w:val="6"/>
      </w:numPr>
      <w:spacing w:before="180"/>
    </w:pPr>
  </w:style>
  <w:style w:type="paragraph" w:customStyle="1" w:styleId="RegHead3">
    <w:name w:val="RegHead3"/>
    <w:basedOn w:val="Normal"/>
    <w:next w:val="RegPara"/>
    <w:rsid w:val="00F16E29"/>
    <w:pPr>
      <w:numPr>
        <w:ilvl w:val="2"/>
        <w:numId w:val="7"/>
      </w:numPr>
      <w:spacing w:before="180"/>
      <w:jc w:val="center"/>
    </w:pPr>
    <w:rPr>
      <w:u w:val="single"/>
    </w:rPr>
  </w:style>
  <w:style w:type="paragraph" w:customStyle="1" w:styleId="RegPara">
    <w:name w:val="RegPara"/>
    <w:basedOn w:val="Normal"/>
    <w:rsid w:val="00F16E29"/>
    <w:pPr>
      <w:numPr>
        <w:ilvl w:val="3"/>
        <w:numId w:val="7"/>
      </w:numPr>
      <w:spacing w:before="180"/>
    </w:pPr>
  </w:style>
  <w:style w:type="paragraph" w:styleId="Header">
    <w:name w:val="header"/>
    <w:basedOn w:val="Normal"/>
    <w:rsid w:val="00F16E29"/>
    <w:pPr>
      <w:tabs>
        <w:tab w:val="center" w:pos="4320"/>
        <w:tab w:val="right" w:pos="8640"/>
      </w:tabs>
    </w:pPr>
  </w:style>
  <w:style w:type="paragraph" w:styleId="Footer">
    <w:name w:val="footer"/>
    <w:basedOn w:val="Normal"/>
    <w:rsid w:val="00F16E29"/>
    <w:pPr>
      <w:tabs>
        <w:tab w:val="center" w:pos="4320"/>
        <w:tab w:val="right" w:pos="8640"/>
      </w:tabs>
    </w:pPr>
  </w:style>
  <w:style w:type="character" w:styleId="PageNumber">
    <w:name w:val="page number"/>
    <w:basedOn w:val="DefaultParagraphFont"/>
    <w:rsid w:val="00F16E29"/>
  </w:style>
  <w:style w:type="paragraph" w:customStyle="1" w:styleId="CUB">
    <w:name w:val="CUB"/>
    <w:basedOn w:val="Normal"/>
    <w:rsid w:val="00F16E29"/>
    <w:pPr>
      <w:jc w:val="center"/>
    </w:pPr>
    <w:rPr>
      <w:b/>
      <w:u w:val="single"/>
    </w:rPr>
  </w:style>
  <w:style w:type="paragraph" w:styleId="TOC3">
    <w:name w:val="toc 3"/>
    <w:basedOn w:val="Normal"/>
    <w:next w:val="Normal"/>
    <w:autoRedefine/>
    <w:semiHidden/>
    <w:rsid w:val="00F16E29"/>
    <w:pPr>
      <w:numPr>
        <w:ilvl w:val="2"/>
        <w:numId w:val="3"/>
      </w:numPr>
      <w:tabs>
        <w:tab w:val="left" w:leader="dot" w:pos="6803"/>
        <w:tab w:val="center" w:pos="7795"/>
        <w:tab w:val="center" w:pos="9071"/>
      </w:tabs>
      <w:spacing w:before="180"/>
    </w:pPr>
  </w:style>
  <w:style w:type="paragraph" w:styleId="TOC2">
    <w:name w:val="toc 2"/>
    <w:basedOn w:val="Normal"/>
    <w:next w:val="Normal"/>
    <w:autoRedefine/>
    <w:semiHidden/>
    <w:rsid w:val="00F16E29"/>
    <w:pPr>
      <w:numPr>
        <w:ilvl w:val="1"/>
        <w:numId w:val="3"/>
      </w:numPr>
      <w:tabs>
        <w:tab w:val="left" w:leader="dot" w:pos="6803"/>
        <w:tab w:val="center" w:pos="7795"/>
        <w:tab w:val="center" w:pos="9071"/>
      </w:tabs>
      <w:spacing w:before="180"/>
    </w:pPr>
  </w:style>
  <w:style w:type="paragraph" w:customStyle="1" w:styleId="HeadLevel3">
    <w:name w:val="HeadLevel3"/>
    <w:basedOn w:val="Normal"/>
    <w:autoRedefine/>
    <w:rsid w:val="00F16E29"/>
    <w:pPr>
      <w:jc w:val="center"/>
    </w:pPr>
    <w:rPr>
      <w:b/>
      <w:bCs/>
    </w:rPr>
  </w:style>
  <w:style w:type="paragraph" w:styleId="TOC1">
    <w:name w:val="toc 1"/>
    <w:basedOn w:val="Normal"/>
    <w:next w:val="Normal"/>
    <w:autoRedefine/>
    <w:semiHidden/>
    <w:rsid w:val="00F16E29"/>
    <w:pPr>
      <w:numPr>
        <w:numId w:val="3"/>
      </w:numPr>
      <w:tabs>
        <w:tab w:val="left" w:leader="dot" w:pos="6803"/>
        <w:tab w:val="center" w:pos="7795"/>
        <w:tab w:val="center" w:pos="9071"/>
      </w:tabs>
      <w:spacing w:before="180"/>
    </w:pPr>
    <w:rPr>
      <w:caps/>
    </w:rPr>
  </w:style>
  <w:style w:type="paragraph" w:styleId="FootnoteText">
    <w:name w:val="footnote text"/>
    <w:aliases w:val="5_G,Geneva 9,Font: Geneva 9,Boston 10,f,fn,footnote text,Footnotes,Footnote ak,Char,Char Char Char Char,Default Paragraph Font Char Char,Default Paragraph Font Para Char Char Char Char,Default Paragraph Font Char Char11,Footno,single space"/>
    <w:basedOn w:val="Normal"/>
    <w:link w:val="FootnoteTextChar"/>
    <w:uiPriority w:val="99"/>
    <w:rsid w:val="00F16E29"/>
    <w:pPr>
      <w:ind w:left="113" w:hanging="113"/>
    </w:pPr>
    <w:rPr>
      <w:sz w:val="20"/>
    </w:rPr>
  </w:style>
  <w:style w:type="paragraph" w:customStyle="1" w:styleId="AgendaItem">
    <w:name w:val="AgendaItem"/>
    <w:basedOn w:val="Normal"/>
    <w:autoRedefine/>
    <w:rsid w:val="00F16E29"/>
    <w:rPr>
      <w:b/>
      <w:sz w:val="20"/>
    </w:rPr>
  </w:style>
  <w:style w:type="paragraph" w:customStyle="1" w:styleId="MainTitle">
    <w:name w:val="MainTitle"/>
    <w:basedOn w:val="Normal"/>
    <w:rsid w:val="00F16E29"/>
    <w:pPr>
      <w:jc w:val="center"/>
    </w:pPr>
    <w:rPr>
      <w:b/>
      <w:sz w:val="28"/>
    </w:rPr>
  </w:style>
  <w:style w:type="paragraph" w:customStyle="1" w:styleId="NoteSecretariat">
    <w:name w:val="NoteSecretariat"/>
    <w:basedOn w:val="Normal"/>
    <w:rsid w:val="00F16E29"/>
    <w:pPr>
      <w:jc w:val="center"/>
    </w:pPr>
    <w:rPr>
      <w:b/>
    </w:rPr>
  </w:style>
  <w:style w:type="paragraph" w:customStyle="1" w:styleId="AnnoHead1">
    <w:name w:val="AnnoHead1"/>
    <w:basedOn w:val="Normal"/>
    <w:next w:val="AnnoHead2"/>
    <w:rsid w:val="00F16E29"/>
    <w:pPr>
      <w:numPr>
        <w:numId w:val="5"/>
      </w:numPr>
      <w:spacing w:before="180"/>
      <w:jc w:val="center"/>
    </w:pPr>
    <w:rPr>
      <w:b/>
      <w:sz w:val="28"/>
    </w:rPr>
  </w:style>
  <w:style w:type="paragraph" w:customStyle="1" w:styleId="AnnoHead2">
    <w:name w:val="AnnoHead2"/>
    <w:basedOn w:val="Normal"/>
    <w:next w:val="AnnoHead3"/>
    <w:rsid w:val="00F16E29"/>
    <w:pPr>
      <w:numPr>
        <w:ilvl w:val="1"/>
        <w:numId w:val="6"/>
      </w:numPr>
      <w:spacing w:before="180"/>
      <w:jc w:val="center"/>
    </w:pPr>
    <w:rPr>
      <w:b/>
    </w:rPr>
  </w:style>
  <w:style w:type="paragraph" w:customStyle="1" w:styleId="AnnoHead3">
    <w:name w:val="AnnoHead3"/>
    <w:basedOn w:val="Normal"/>
    <w:next w:val="AnnoPara"/>
    <w:rsid w:val="00F16E29"/>
    <w:pPr>
      <w:numPr>
        <w:ilvl w:val="2"/>
        <w:numId w:val="6"/>
      </w:numPr>
      <w:spacing w:before="180"/>
    </w:pPr>
    <w:rPr>
      <w:u w:val="single"/>
    </w:rPr>
  </w:style>
  <w:style w:type="paragraph" w:customStyle="1" w:styleId="ProvHead1">
    <w:name w:val="ProvHead1"/>
    <w:basedOn w:val="Normal"/>
    <w:next w:val="ProvHead2"/>
    <w:rsid w:val="00F16E29"/>
    <w:pPr>
      <w:numPr>
        <w:numId w:val="2"/>
      </w:numPr>
      <w:spacing w:before="180"/>
      <w:jc w:val="center"/>
    </w:pPr>
    <w:rPr>
      <w:b/>
      <w:caps/>
    </w:rPr>
  </w:style>
  <w:style w:type="paragraph" w:customStyle="1" w:styleId="FootnoteTable">
    <w:name w:val="FootnoteTable"/>
    <w:rsid w:val="00F16E29"/>
    <w:pPr>
      <w:numPr>
        <w:numId w:val="4"/>
      </w:numPr>
      <w:tabs>
        <w:tab w:val="clear" w:pos="360"/>
      </w:tabs>
    </w:pPr>
    <w:rPr>
      <w:sz w:val="16"/>
      <w:lang w:val="en-GB" w:eastAsia="en-US"/>
    </w:rPr>
  </w:style>
  <w:style w:type="paragraph" w:customStyle="1" w:styleId="ProvHead2">
    <w:name w:val="ProvHead2"/>
    <w:basedOn w:val="Normal"/>
    <w:next w:val="ProvHead3"/>
    <w:rsid w:val="00F16E29"/>
    <w:pPr>
      <w:numPr>
        <w:ilvl w:val="1"/>
        <w:numId w:val="2"/>
      </w:numPr>
      <w:spacing w:before="180"/>
      <w:jc w:val="center"/>
    </w:pPr>
    <w:rPr>
      <w:b/>
      <w:u w:val="single"/>
    </w:rPr>
  </w:style>
  <w:style w:type="paragraph" w:customStyle="1" w:styleId="RegHead2">
    <w:name w:val="RegHead2"/>
    <w:basedOn w:val="Normal"/>
    <w:next w:val="RegHead3"/>
    <w:rsid w:val="00F16E29"/>
    <w:pPr>
      <w:keepNext/>
      <w:numPr>
        <w:ilvl w:val="1"/>
        <w:numId w:val="7"/>
      </w:numPr>
      <w:spacing w:before="180"/>
      <w:jc w:val="center"/>
    </w:pPr>
    <w:rPr>
      <w:b/>
    </w:rPr>
  </w:style>
  <w:style w:type="paragraph" w:customStyle="1" w:styleId="ProvHead3">
    <w:name w:val="ProvHead3"/>
    <w:basedOn w:val="Normal"/>
    <w:next w:val="ProvPara"/>
    <w:rsid w:val="00F16E29"/>
    <w:pPr>
      <w:numPr>
        <w:ilvl w:val="2"/>
        <w:numId w:val="2"/>
      </w:numPr>
      <w:tabs>
        <w:tab w:val="clear" w:pos="360"/>
      </w:tabs>
      <w:spacing w:before="180"/>
    </w:pPr>
    <w:rPr>
      <w:b/>
      <w:u w:val="single"/>
    </w:rPr>
  </w:style>
  <w:style w:type="paragraph" w:customStyle="1" w:styleId="ProvPara">
    <w:name w:val="ProvPara"/>
    <w:basedOn w:val="Normal"/>
    <w:rsid w:val="00F16E29"/>
    <w:pPr>
      <w:numPr>
        <w:ilvl w:val="3"/>
        <w:numId w:val="2"/>
      </w:numPr>
      <w:spacing w:before="180"/>
    </w:pPr>
  </w:style>
  <w:style w:type="character" w:styleId="FootnoteReference">
    <w:name w:val="footnote reference"/>
    <w:aliases w:val="4_G,16 Point,Superscript 6 Point,Ref,de nota al pie,number,Footnote text,Footnote reference number,Footnote symbol,note TESI,-E Fußnotenzeichen,SUPERS,stylish,ftref,Footnote Text1,Footnote Text Char2 Char,Footnote Text Char1 Char Char"/>
    <w:uiPriority w:val="99"/>
    <w:rsid w:val="00F16E29"/>
    <w:rPr>
      <w:vertAlign w:val="superscript"/>
    </w:rPr>
  </w:style>
  <w:style w:type="character" w:styleId="Hyperlink">
    <w:name w:val="Hyperlink"/>
    <w:rsid w:val="00F16E29"/>
    <w:rPr>
      <w:color w:val="0000FF"/>
      <w:u w:val="single"/>
    </w:rPr>
  </w:style>
  <w:style w:type="paragraph" w:styleId="BodyText3">
    <w:name w:val="Body Text 3"/>
    <w:basedOn w:val="Normal"/>
    <w:rsid w:val="00F16E29"/>
    <w:pPr>
      <w:keepNext/>
    </w:pPr>
    <w:rPr>
      <w:i/>
      <w:iCs/>
      <w:sz w:val="24"/>
    </w:rPr>
  </w:style>
  <w:style w:type="paragraph" w:styleId="BodyText">
    <w:name w:val="Body Text"/>
    <w:basedOn w:val="Normal"/>
    <w:rsid w:val="00F16E29"/>
    <w:pPr>
      <w:jc w:val="center"/>
    </w:pPr>
  </w:style>
  <w:style w:type="paragraph" w:styleId="BodyText2">
    <w:name w:val="Body Text 2"/>
    <w:basedOn w:val="Normal"/>
    <w:rsid w:val="00F16E29"/>
    <w:pPr>
      <w:pBdr>
        <w:top w:val="single" w:sz="4" w:space="1" w:color="auto" w:shadow="1"/>
        <w:left w:val="single" w:sz="4" w:space="4" w:color="auto" w:shadow="1"/>
        <w:bottom w:val="single" w:sz="4" w:space="1" w:color="auto" w:shadow="1"/>
        <w:right w:val="single" w:sz="4" w:space="4" w:color="auto" w:shadow="1"/>
      </w:pBdr>
    </w:pPr>
  </w:style>
  <w:style w:type="character" w:styleId="CommentReference">
    <w:name w:val="annotation reference"/>
    <w:rsid w:val="00F16E29"/>
    <w:rPr>
      <w:sz w:val="16"/>
      <w:szCs w:val="16"/>
    </w:rPr>
  </w:style>
  <w:style w:type="paragraph" w:styleId="CommentText">
    <w:name w:val="annotation text"/>
    <w:basedOn w:val="Normal"/>
    <w:link w:val="CommentTextChar"/>
    <w:rsid w:val="00F16E29"/>
    <w:rPr>
      <w:sz w:val="20"/>
    </w:rPr>
  </w:style>
  <w:style w:type="character" w:styleId="FollowedHyperlink">
    <w:name w:val="FollowedHyperlink"/>
    <w:rsid w:val="00F16E29"/>
    <w:rPr>
      <w:color w:val="800080"/>
      <w:u w:val="single"/>
    </w:rPr>
  </w:style>
  <w:style w:type="table" w:styleId="TableGrid">
    <w:name w:val="Table Grid"/>
    <w:basedOn w:val="TableNormal"/>
    <w:rsid w:val="00F16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16E29"/>
    <w:rPr>
      <w:rFonts w:ascii="Tahoma" w:hAnsi="Tahoma" w:cs="Tahoma"/>
      <w:sz w:val="16"/>
      <w:szCs w:val="16"/>
    </w:rPr>
  </w:style>
  <w:style w:type="paragraph" w:customStyle="1" w:styleId="AnnexTitle">
    <w:name w:val="AnnexTitle"/>
    <w:basedOn w:val="Normal"/>
    <w:rsid w:val="00F16E29"/>
    <w:pPr>
      <w:keepNext/>
      <w:pageBreakBefore/>
      <w:jc w:val="center"/>
    </w:pPr>
    <w:rPr>
      <w:rFonts w:ascii="Arial" w:hAnsi="Arial"/>
      <w:b/>
      <w:sz w:val="24"/>
    </w:rPr>
  </w:style>
  <w:style w:type="paragraph" w:customStyle="1" w:styleId="AnnexIntroText">
    <w:name w:val="AnnexIntroText"/>
    <w:basedOn w:val="Normal"/>
    <w:rsid w:val="00F16E29"/>
    <w:pPr>
      <w:keepNext/>
      <w:spacing w:before="120" w:after="120"/>
    </w:pPr>
    <w:rPr>
      <w:rFonts w:ascii="Arial" w:hAnsi="Arial"/>
      <w:b/>
      <w:sz w:val="20"/>
    </w:rPr>
  </w:style>
  <w:style w:type="paragraph" w:customStyle="1" w:styleId="SectionTitle">
    <w:name w:val="SectionTitle"/>
    <w:basedOn w:val="Normal"/>
    <w:rsid w:val="00F16E29"/>
    <w:pPr>
      <w:keepNext/>
      <w:numPr>
        <w:numId w:val="9"/>
      </w:numPr>
      <w:spacing w:before="120" w:after="120"/>
      <w:jc w:val="center"/>
    </w:pPr>
    <w:rPr>
      <w:rFonts w:ascii="Arial" w:hAnsi="Arial" w:cs="Arial"/>
      <w:b/>
      <w:bCs/>
      <w:smallCaps/>
      <w:sz w:val="20"/>
    </w:rPr>
  </w:style>
  <w:style w:type="paragraph" w:customStyle="1" w:styleId="AddRows">
    <w:name w:val="AddRows"/>
    <w:basedOn w:val="Normal"/>
    <w:rsid w:val="00F16E29"/>
    <w:pPr>
      <w:spacing w:before="60" w:after="60"/>
    </w:pPr>
    <w:rPr>
      <w:rFonts w:ascii="Arial" w:hAnsi="Arial" w:cs="Arial"/>
      <w:i/>
      <w:sz w:val="20"/>
      <w:szCs w:val="18"/>
    </w:rPr>
  </w:style>
  <w:style w:type="paragraph" w:styleId="CommentSubject">
    <w:name w:val="annotation subject"/>
    <w:basedOn w:val="CommentText"/>
    <w:next w:val="CommentText"/>
    <w:semiHidden/>
    <w:rsid w:val="00F16E29"/>
    <w:rPr>
      <w:b/>
      <w:bCs/>
    </w:rPr>
  </w:style>
  <w:style w:type="paragraph" w:customStyle="1" w:styleId="FooterForm">
    <w:name w:val="FooterForm"/>
    <w:basedOn w:val="Footer"/>
    <w:rsid w:val="00F16E29"/>
    <w:pPr>
      <w:spacing w:before="180"/>
    </w:pPr>
  </w:style>
  <w:style w:type="paragraph" w:customStyle="1" w:styleId="SubSectionTitle">
    <w:name w:val="SubSectionTitle"/>
    <w:basedOn w:val="Normal"/>
    <w:link w:val="SubSectionTitleChar"/>
    <w:rsid w:val="00F16E29"/>
    <w:pPr>
      <w:keepNext/>
      <w:keepLines/>
      <w:numPr>
        <w:ilvl w:val="1"/>
        <w:numId w:val="9"/>
      </w:numPr>
      <w:tabs>
        <w:tab w:val="clear" w:pos="0"/>
        <w:tab w:val="num" w:pos="397"/>
      </w:tabs>
      <w:spacing w:before="120" w:after="120"/>
      <w:ind w:left="397" w:hanging="340"/>
    </w:pPr>
    <w:rPr>
      <w:rFonts w:ascii="Arial" w:hAnsi="Arial" w:cs="Arial"/>
      <w:b/>
      <w:bCs/>
      <w:iCs/>
      <w:sz w:val="20"/>
    </w:rPr>
  </w:style>
  <w:style w:type="character" w:customStyle="1" w:styleId="SubSectionTitleChar">
    <w:name w:val="SubSectionTitle Char"/>
    <w:link w:val="SubSectionTitle"/>
    <w:rsid w:val="00F16E29"/>
    <w:rPr>
      <w:rFonts w:ascii="Arial" w:hAnsi="Arial" w:cs="Arial"/>
      <w:b/>
      <w:bCs/>
      <w:iCs/>
      <w:lang w:val="en-GB" w:eastAsia="de-DE"/>
    </w:rPr>
  </w:style>
  <w:style w:type="paragraph" w:customStyle="1" w:styleId="SymbolForm">
    <w:name w:val="SymbolForm"/>
    <w:basedOn w:val="Normal"/>
    <w:rsid w:val="00F16E29"/>
    <w:pPr>
      <w:jc w:val="right"/>
    </w:pPr>
    <w:rPr>
      <w:rFonts w:ascii="Arial" w:hAnsi="Arial" w:cs="Arial"/>
      <w:b/>
      <w:bCs/>
    </w:rPr>
  </w:style>
  <w:style w:type="paragraph" w:customStyle="1" w:styleId="TitleForm">
    <w:name w:val="TitleForm"/>
    <w:basedOn w:val="Normal"/>
    <w:rsid w:val="00F16E29"/>
    <w:pPr>
      <w:ind w:left="1077"/>
      <w:jc w:val="center"/>
    </w:pPr>
    <w:rPr>
      <w:rFonts w:ascii="Arial" w:hAnsi="Arial" w:cs="Arial"/>
      <w:b/>
      <w:sz w:val="24"/>
      <w:szCs w:val="24"/>
    </w:rPr>
  </w:style>
  <w:style w:type="paragraph" w:customStyle="1" w:styleId="LeftCellTickBox">
    <w:name w:val="LeftCellTickBox"/>
    <w:basedOn w:val="Normal"/>
    <w:rsid w:val="00F16E29"/>
    <w:pPr>
      <w:keepNext/>
      <w:spacing w:before="60" w:after="60"/>
      <w:ind w:left="57"/>
      <w:jc w:val="center"/>
    </w:pPr>
    <w:rPr>
      <w:rFonts w:ascii="Arial" w:hAnsi="Arial"/>
      <w:bCs/>
      <w:sz w:val="20"/>
    </w:rPr>
  </w:style>
  <w:style w:type="paragraph" w:customStyle="1" w:styleId="ParaTickBox">
    <w:name w:val="ParaTickBox"/>
    <w:basedOn w:val="Normal"/>
    <w:rsid w:val="00F16E29"/>
    <w:pPr>
      <w:tabs>
        <w:tab w:val="left" w:pos="510"/>
      </w:tabs>
      <w:spacing w:before="60" w:after="60"/>
      <w:ind w:left="511" w:hanging="454"/>
    </w:pPr>
    <w:rPr>
      <w:rFonts w:ascii="Arial" w:hAnsi="Arial" w:cs="Arial"/>
      <w:sz w:val="20"/>
      <w:szCs w:val="18"/>
    </w:rPr>
  </w:style>
  <w:style w:type="paragraph" w:customStyle="1" w:styleId="EnumaratedItem">
    <w:name w:val="EnumaratedItem"/>
    <w:basedOn w:val="Normal"/>
    <w:rsid w:val="00F16E29"/>
    <w:pPr>
      <w:keepNext/>
      <w:widowControl w:val="0"/>
      <w:numPr>
        <w:numId w:val="8"/>
      </w:numPr>
      <w:spacing w:before="120" w:after="120"/>
    </w:pPr>
    <w:rPr>
      <w:rFonts w:ascii="Arial" w:hAnsi="Arial" w:cs="Arial"/>
      <w:bCs/>
      <w:sz w:val="20"/>
    </w:rPr>
  </w:style>
  <w:style w:type="paragraph" w:customStyle="1" w:styleId="RegLeftInstructionCell">
    <w:name w:val="RegLeftInstructionCell"/>
    <w:basedOn w:val="Normal"/>
    <w:link w:val="RegLeftInstructionCellChar"/>
    <w:rsid w:val="00F16E29"/>
    <w:pPr>
      <w:spacing w:before="120" w:after="120"/>
      <w:ind w:left="57"/>
    </w:pPr>
    <w:rPr>
      <w:rFonts w:ascii="Arial" w:hAnsi="Arial" w:cs="Arial"/>
      <w:b/>
      <w:sz w:val="20"/>
      <w:szCs w:val="18"/>
    </w:rPr>
  </w:style>
  <w:style w:type="paragraph" w:customStyle="1" w:styleId="RegTypePara">
    <w:name w:val="RegTypePara"/>
    <w:basedOn w:val="Normal"/>
    <w:link w:val="RegTypeParaChar"/>
    <w:rsid w:val="00F16E29"/>
    <w:pPr>
      <w:spacing w:before="120"/>
      <w:ind w:left="57"/>
    </w:pPr>
    <w:rPr>
      <w:rFonts w:ascii="Arial" w:hAnsi="Arial" w:cs="Arial"/>
      <w:sz w:val="20"/>
      <w:szCs w:val="18"/>
    </w:rPr>
  </w:style>
  <w:style w:type="paragraph" w:customStyle="1" w:styleId="RegInstructionText">
    <w:name w:val="RegInstructionText"/>
    <w:basedOn w:val="Normal"/>
    <w:link w:val="RegInstructionTextChar"/>
    <w:rsid w:val="00F16E29"/>
    <w:pPr>
      <w:tabs>
        <w:tab w:val="left" w:pos="510"/>
      </w:tabs>
      <w:spacing w:before="60" w:after="60"/>
      <w:ind w:left="57"/>
    </w:pPr>
    <w:rPr>
      <w:rFonts w:ascii="Arial" w:hAnsi="Arial" w:cs="Arial"/>
      <w:i/>
      <w:sz w:val="20"/>
      <w:szCs w:val="18"/>
    </w:rPr>
  </w:style>
  <w:style w:type="character" w:customStyle="1" w:styleId="RegInstructionTextChar">
    <w:name w:val="RegInstructionText Char"/>
    <w:link w:val="RegInstructionText"/>
    <w:rsid w:val="00F16E29"/>
    <w:rPr>
      <w:rFonts w:ascii="Arial" w:hAnsi="Arial" w:cs="Arial"/>
      <w:i/>
      <w:szCs w:val="18"/>
      <w:lang w:val="en-GB" w:eastAsia="de-DE" w:bidi="ar-SA"/>
    </w:rPr>
  </w:style>
  <w:style w:type="paragraph" w:customStyle="1" w:styleId="HistoryBoxTitle">
    <w:name w:val="HistoryBoxTitle"/>
    <w:basedOn w:val="Heading4"/>
    <w:rsid w:val="00F16E29"/>
    <w:pPr>
      <w:spacing w:before="0" w:after="0"/>
      <w:jc w:val="center"/>
    </w:pPr>
    <w:rPr>
      <w:sz w:val="18"/>
      <w:szCs w:val="18"/>
      <w:u w:val="none"/>
      <w:lang w:eastAsia="en-US"/>
    </w:rPr>
  </w:style>
  <w:style w:type="paragraph" w:customStyle="1" w:styleId="FooterF">
    <w:name w:val="FooterF"/>
    <w:basedOn w:val="Footer"/>
    <w:rsid w:val="00F16E29"/>
    <w:pPr>
      <w:tabs>
        <w:tab w:val="clear" w:pos="4320"/>
        <w:tab w:val="clear" w:pos="8640"/>
        <w:tab w:val="right" w:pos="9639"/>
      </w:tabs>
      <w:ind w:right="-1"/>
    </w:pPr>
    <w:rPr>
      <w:rFonts w:ascii="Arial" w:hAnsi="Arial" w:cs="Arial"/>
      <w:b/>
      <w:lang w:val="en-US"/>
    </w:rPr>
  </w:style>
  <w:style w:type="paragraph" w:customStyle="1" w:styleId="RegFormPara">
    <w:name w:val="RegFormPara"/>
    <w:basedOn w:val="Normal"/>
    <w:link w:val="RegFormParaChar"/>
    <w:rsid w:val="00F16E29"/>
    <w:pPr>
      <w:tabs>
        <w:tab w:val="left" w:pos="510"/>
      </w:tabs>
      <w:spacing w:before="60" w:after="60"/>
      <w:ind w:left="57"/>
    </w:pPr>
    <w:rPr>
      <w:rFonts w:ascii="Arial" w:hAnsi="Arial" w:cs="Arial"/>
      <w:sz w:val="20"/>
      <w:szCs w:val="18"/>
    </w:rPr>
  </w:style>
  <w:style w:type="paragraph" w:customStyle="1" w:styleId="SecondLevelParaTickBox">
    <w:name w:val="SecondLevelParaTickBox"/>
    <w:basedOn w:val="ParaTickBox"/>
    <w:rsid w:val="00F16E29"/>
    <w:pPr>
      <w:keepLines/>
      <w:tabs>
        <w:tab w:val="clear" w:pos="510"/>
        <w:tab w:val="left" w:pos="794"/>
      </w:tabs>
      <w:ind w:left="794"/>
    </w:pPr>
  </w:style>
  <w:style w:type="paragraph" w:customStyle="1" w:styleId="BulletedItem">
    <w:name w:val="BulletedItem"/>
    <w:basedOn w:val="EnumaratedItem"/>
    <w:rsid w:val="00F16E29"/>
    <w:pPr>
      <w:keepNext w:val="0"/>
      <w:numPr>
        <w:numId w:val="10"/>
      </w:numPr>
      <w:ind w:left="681" w:hanging="397"/>
    </w:pPr>
  </w:style>
  <w:style w:type="paragraph" w:customStyle="1" w:styleId="autofill">
    <w:name w:val="autofill"/>
    <w:basedOn w:val="Normal"/>
    <w:link w:val="autofillChar"/>
    <w:rsid w:val="00F16E29"/>
    <w:pPr>
      <w:jc w:val="center"/>
    </w:pPr>
    <w:rPr>
      <w:rFonts w:ascii="Arial" w:hAnsi="Arial" w:cs="Arial"/>
      <w:b/>
      <w:bCs/>
      <w:i/>
      <w:iCs/>
      <w:color w:val="808080"/>
      <w:sz w:val="20"/>
    </w:rPr>
  </w:style>
  <w:style w:type="character" w:customStyle="1" w:styleId="RegLeftInstructionCellChar">
    <w:name w:val="RegLeftInstructionCell Char"/>
    <w:link w:val="RegLeftInstructionCell"/>
    <w:rsid w:val="00C82D30"/>
    <w:rPr>
      <w:rFonts w:ascii="Arial" w:hAnsi="Arial" w:cs="Arial"/>
      <w:b/>
      <w:szCs w:val="18"/>
      <w:lang w:val="en-GB" w:eastAsia="de-DE" w:bidi="ar-SA"/>
    </w:rPr>
  </w:style>
  <w:style w:type="character" w:customStyle="1" w:styleId="RegTypeParaChar">
    <w:name w:val="RegTypePara Char"/>
    <w:link w:val="RegTypePara"/>
    <w:rsid w:val="00C82D30"/>
    <w:rPr>
      <w:rFonts w:ascii="Arial" w:hAnsi="Arial" w:cs="Arial"/>
      <w:szCs w:val="18"/>
      <w:lang w:val="en-GB" w:eastAsia="de-DE" w:bidi="ar-SA"/>
    </w:rPr>
  </w:style>
  <w:style w:type="character" w:customStyle="1" w:styleId="RegFormParaChar">
    <w:name w:val="RegFormPara Char"/>
    <w:link w:val="RegFormPara"/>
    <w:rsid w:val="00310A2E"/>
    <w:rPr>
      <w:rFonts w:ascii="Arial" w:hAnsi="Arial" w:cs="Arial"/>
      <w:szCs w:val="18"/>
      <w:lang w:val="en-GB" w:eastAsia="de-DE" w:bidi="ar-SA"/>
    </w:rPr>
  </w:style>
  <w:style w:type="character" w:customStyle="1" w:styleId="autofillChar">
    <w:name w:val="autofill Char"/>
    <w:link w:val="autofill"/>
    <w:rsid w:val="00F232AA"/>
    <w:rPr>
      <w:rFonts w:ascii="Arial" w:hAnsi="Arial" w:cs="Arial"/>
      <w:b/>
      <w:bCs/>
      <w:i/>
      <w:iCs/>
      <w:color w:val="808080"/>
      <w:lang w:val="en-GB" w:eastAsia="de-DE" w:bidi="ar-SA"/>
    </w:rPr>
  </w:style>
  <w:style w:type="paragraph" w:customStyle="1" w:styleId="SDMDocInfoText">
    <w:name w:val="SDMDocInfoText"/>
    <w:basedOn w:val="Normal"/>
    <w:link w:val="SDMDocInfoTextChar"/>
    <w:rsid w:val="00F96181"/>
    <w:pPr>
      <w:keepNext/>
      <w:keepLines/>
      <w:spacing w:before="80" w:after="80"/>
      <w:jc w:val="both"/>
    </w:pPr>
    <w:rPr>
      <w:rFonts w:ascii="Arial" w:hAnsi="Arial" w:cs="Arial"/>
      <w:sz w:val="20"/>
    </w:rPr>
  </w:style>
  <w:style w:type="character" w:customStyle="1" w:styleId="SDMDocInfoTextChar">
    <w:name w:val="SDMDocInfoText Char"/>
    <w:link w:val="SDMDocInfoText"/>
    <w:rsid w:val="00F96181"/>
    <w:rPr>
      <w:rFonts w:ascii="Arial" w:hAnsi="Arial" w:cs="Arial"/>
      <w:lang w:val="en-GB" w:eastAsia="de-DE"/>
    </w:rPr>
  </w:style>
  <w:style w:type="paragraph" w:customStyle="1" w:styleId="SDMDocInfoTitle">
    <w:name w:val="SDMDocInfoTitle"/>
    <w:basedOn w:val="Normal"/>
    <w:rsid w:val="00F96181"/>
    <w:pPr>
      <w:keepNext/>
      <w:keepLines/>
      <w:spacing w:before="480" w:after="240"/>
      <w:jc w:val="center"/>
    </w:pPr>
    <w:rPr>
      <w:rFonts w:ascii="Arial" w:hAnsi="Arial" w:cs="Arial"/>
      <w:b/>
      <w:szCs w:val="22"/>
    </w:rPr>
  </w:style>
  <w:style w:type="paragraph" w:customStyle="1" w:styleId="SDMDocInfoHeadRow">
    <w:name w:val="SDMDocInfoHeadRow"/>
    <w:basedOn w:val="Normal"/>
    <w:rsid w:val="00F96181"/>
    <w:pPr>
      <w:keepNext/>
      <w:keepLines/>
      <w:jc w:val="both"/>
    </w:pPr>
    <w:rPr>
      <w:rFonts w:ascii="Arial" w:hAnsi="Arial" w:cs="Arial"/>
      <w:i/>
      <w:sz w:val="16"/>
      <w:szCs w:val="16"/>
    </w:rPr>
  </w:style>
  <w:style w:type="paragraph" w:styleId="Revision">
    <w:name w:val="Revision"/>
    <w:hidden/>
    <w:uiPriority w:val="99"/>
    <w:semiHidden/>
    <w:rsid w:val="00D03F8F"/>
    <w:rPr>
      <w:sz w:val="22"/>
      <w:lang w:val="en-GB" w:eastAsia="de-DE"/>
    </w:rPr>
  </w:style>
  <w:style w:type="paragraph" w:customStyle="1" w:styleId="Default">
    <w:name w:val="Default"/>
    <w:rsid w:val="00567717"/>
    <w:pPr>
      <w:autoSpaceDE w:val="0"/>
      <w:autoSpaceDN w:val="0"/>
      <w:adjustRightInd w:val="0"/>
    </w:pPr>
    <w:rPr>
      <w:rFonts w:ascii="Arial" w:hAnsi="Arial" w:cs="Arial"/>
      <w:color w:val="000000"/>
      <w:sz w:val="24"/>
      <w:szCs w:val="24"/>
    </w:rPr>
  </w:style>
  <w:style w:type="character" w:customStyle="1" w:styleId="FootnoteTextChar">
    <w:name w:val="Footnote Text Char"/>
    <w:aliases w:val="5_G Char,Geneva 9 Char,Font: Geneva 9 Char,Boston 10 Char,f Char,fn Char,footnote text Char,Footnotes Char,Footnote ak Char,Char Char,Char Char Char Char Char,Default Paragraph Font Char Char Char,Footno Char,single space Char"/>
    <w:basedOn w:val="DefaultParagraphFont"/>
    <w:link w:val="FootnoteText"/>
    <w:uiPriority w:val="99"/>
    <w:rsid w:val="00C7575C"/>
    <w:rPr>
      <w:lang w:val="en-GB" w:eastAsia="de-DE"/>
    </w:rPr>
  </w:style>
  <w:style w:type="character" w:customStyle="1" w:styleId="CommentTextChar">
    <w:name w:val="Comment Text Char"/>
    <w:basedOn w:val="DefaultParagraphFont"/>
    <w:link w:val="CommentText"/>
    <w:rsid w:val="00C7575C"/>
    <w:rPr>
      <w:lang w:val="en-GB" w:eastAsia="de-DE"/>
    </w:rPr>
  </w:style>
  <w:style w:type="character" w:styleId="Mention">
    <w:name w:val="Mention"/>
    <w:basedOn w:val="DefaultParagraphFont"/>
    <w:uiPriority w:val="99"/>
    <w:unhideWhenUsed/>
    <w:rsid w:val="00C7575C"/>
    <w:rPr>
      <w:color w:val="2B579A"/>
      <w:shd w:val="clear" w:color="auto" w:fill="E1DFDD"/>
    </w:rPr>
  </w:style>
  <w:style w:type="numbering" w:customStyle="1" w:styleId="SDMDocInfoTextBullets">
    <w:name w:val="SDMDocInfoTextBullets"/>
    <w:uiPriority w:val="99"/>
    <w:rsid w:val="00C7575C"/>
    <w:pPr>
      <w:numPr>
        <w:numId w:val="16"/>
      </w:numPr>
    </w:pPr>
  </w:style>
  <w:style w:type="character" w:styleId="PlaceholderText">
    <w:name w:val="Placeholder Text"/>
    <w:basedOn w:val="DefaultParagraphFont"/>
    <w:uiPriority w:val="99"/>
    <w:semiHidden/>
    <w:rsid w:val="003676F1"/>
    <w:rPr>
      <w:color w:val="808080"/>
    </w:rPr>
  </w:style>
  <w:style w:type="paragraph" w:customStyle="1" w:styleId="OutL1">
    <w:name w:val="OutL1"/>
    <w:basedOn w:val="RegFormPara"/>
    <w:rsid w:val="009D2CF5"/>
    <w:pPr>
      <w:tabs>
        <w:tab w:val="clear" w:pos="510"/>
        <w:tab w:val="left" w:pos="284"/>
      </w:tabs>
      <w:ind w:left="284" w:hanging="227"/>
    </w:pPr>
    <w:rPr>
      <w:rFonts w:eastAsia="MS Mincho"/>
      <w:b/>
      <w:lang w:eastAsia="en-US"/>
    </w:rPr>
  </w:style>
  <w:style w:type="character" w:styleId="UnresolvedMention">
    <w:name w:val="Unresolved Mention"/>
    <w:basedOn w:val="DefaultParagraphFont"/>
    <w:uiPriority w:val="99"/>
    <w:semiHidden/>
    <w:unhideWhenUsed/>
    <w:rsid w:val="002C0D30"/>
    <w:rPr>
      <w:color w:val="605E5C"/>
      <w:shd w:val="clear" w:color="auto" w:fill="E1DFDD"/>
    </w:rPr>
  </w:style>
  <w:style w:type="paragraph" w:customStyle="1" w:styleId="RegHChG">
    <w:name w:val="Reg_H__Ch_G"/>
    <w:basedOn w:val="Normal"/>
    <w:next w:val="RegH1G"/>
    <w:link w:val="RegHChGChar"/>
    <w:rsid w:val="00CF55B3"/>
    <w:pPr>
      <w:keepNext/>
      <w:keepLines/>
      <w:numPr>
        <w:numId w:val="27"/>
      </w:numPr>
      <w:suppressAutoHyphens/>
      <w:spacing w:before="360" w:after="240" w:line="300" w:lineRule="exact"/>
      <w:ind w:right="1134"/>
    </w:pPr>
    <w:rPr>
      <w:rFonts w:eastAsia="SimSun"/>
      <w:b/>
      <w:sz w:val="28"/>
      <w:lang w:eastAsia="zh-CN"/>
    </w:rPr>
  </w:style>
  <w:style w:type="character" w:styleId="EndnoteReference">
    <w:name w:val="endnote reference"/>
    <w:aliases w:val="1_G"/>
    <w:rsid w:val="00EE3F1F"/>
    <w:rPr>
      <w:rFonts w:ascii="Times New Roman" w:hAnsi="Times New Roman"/>
      <w:i/>
      <w:sz w:val="18"/>
      <w:vertAlign w:val="superscript"/>
    </w:rPr>
  </w:style>
  <w:style w:type="paragraph" w:styleId="EndnoteText">
    <w:name w:val="endnote text"/>
    <w:aliases w:val="2_G"/>
    <w:basedOn w:val="FootnoteText"/>
    <w:link w:val="EndnoteTextChar"/>
    <w:rsid w:val="00EE3F1F"/>
    <w:pPr>
      <w:tabs>
        <w:tab w:val="right" w:pos="1021"/>
      </w:tabs>
      <w:suppressAutoHyphens/>
      <w:spacing w:line="220" w:lineRule="exact"/>
      <w:ind w:left="1134" w:right="1134" w:hanging="1134"/>
    </w:pPr>
    <w:rPr>
      <w:rFonts w:eastAsia="SimSun"/>
      <w:i/>
      <w:sz w:val="18"/>
      <w:lang w:eastAsia="zh-CN"/>
    </w:rPr>
  </w:style>
  <w:style w:type="character" w:customStyle="1" w:styleId="EndnoteTextChar">
    <w:name w:val="Endnote Text Char"/>
    <w:aliases w:val="2_G Char"/>
    <w:basedOn w:val="DefaultParagraphFont"/>
    <w:link w:val="EndnoteText"/>
    <w:rsid w:val="00EE3F1F"/>
    <w:rPr>
      <w:rFonts w:eastAsia="SimSun"/>
      <w:i/>
      <w:sz w:val="18"/>
      <w:lang w:val="en-GB"/>
    </w:rPr>
  </w:style>
  <w:style w:type="paragraph" w:styleId="TOC8">
    <w:name w:val="toc 8"/>
    <w:basedOn w:val="Normal"/>
    <w:next w:val="Normal"/>
    <w:autoRedefine/>
    <w:unhideWhenUsed/>
    <w:rsid w:val="00EE3F1F"/>
    <w:pPr>
      <w:suppressAutoHyphens/>
      <w:spacing w:line="240" w:lineRule="atLeast"/>
      <w:ind w:left="1400"/>
    </w:pPr>
    <w:rPr>
      <w:rFonts w:eastAsia="SimSun"/>
      <w:sz w:val="20"/>
      <w:lang w:eastAsia="zh-CN"/>
    </w:rPr>
  </w:style>
  <w:style w:type="paragraph" w:customStyle="1" w:styleId="RegH1G">
    <w:name w:val="Reg_H_1_G"/>
    <w:basedOn w:val="Normal"/>
    <w:next w:val="RegH23G"/>
    <w:rsid w:val="00CF55B3"/>
    <w:pPr>
      <w:keepNext/>
      <w:keepLines/>
      <w:numPr>
        <w:ilvl w:val="1"/>
        <w:numId w:val="27"/>
      </w:numPr>
      <w:suppressAutoHyphens/>
      <w:spacing w:before="360" w:after="240" w:line="270" w:lineRule="exact"/>
      <w:ind w:right="1134"/>
    </w:pPr>
    <w:rPr>
      <w:rFonts w:eastAsia="SimSun"/>
      <w:b/>
      <w:sz w:val="24"/>
      <w:lang w:eastAsia="zh-CN"/>
    </w:rPr>
  </w:style>
  <w:style w:type="paragraph" w:customStyle="1" w:styleId="RegH23G">
    <w:name w:val="Reg_H_2/3_G"/>
    <w:basedOn w:val="Normal"/>
    <w:next w:val="RegH4G"/>
    <w:rsid w:val="00CF55B3"/>
    <w:pPr>
      <w:keepNext/>
      <w:keepLines/>
      <w:numPr>
        <w:ilvl w:val="2"/>
        <w:numId w:val="27"/>
      </w:numPr>
      <w:suppressAutoHyphens/>
      <w:spacing w:before="240" w:after="120" w:line="240" w:lineRule="exact"/>
      <w:ind w:right="1134"/>
    </w:pPr>
    <w:rPr>
      <w:rFonts w:eastAsia="SimSun"/>
      <w:b/>
      <w:sz w:val="20"/>
      <w:lang w:eastAsia="zh-CN"/>
    </w:rPr>
  </w:style>
  <w:style w:type="paragraph" w:customStyle="1" w:styleId="RegSingleTxtG">
    <w:name w:val="Reg_Single Txt_G"/>
    <w:basedOn w:val="Normal"/>
    <w:rsid w:val="00CF55B3"/>
    <w:pPr>
      <w:numPr>
        <w:ilvl w:val="5"/>
        <w:numId w:val="27"/>
      </w:numPr>
      <w:tabs>
        <w:tab w:val="left" w:pos="1701"/>
      </w:tabs>
      <w:suppressAutoHyphens/>
      <w:spacing w:after="120" w:line="240" w:lineRule="atLeast"/>
      <w:ind w:right="1134"/>
      <w:jc w:val="both"/>
    </w:pPr>
    <w:rPr>
      <w:rFonts w:eastAsia="SimSun"/>
      <w:sz w:val="20"/>
      <w:lang w:eastAsia="zh-CN"/>
    </w:rPr>
  </w:style>
  <w:style w:type="paragraph" w:customStyle="1" w:styleId="RegH4G">
    <w:name w:val="Reg_H_4_G"/>
    <w:basedOn w:val="RegH23G"/>
    <w:next w:val="RegH5G"/>
    <w:qFormat/>
    <w:rsid w:val="00CF55B3"/>
    <w:pPr>
      <w:numPr>
        <w:ilvl w:val="3"/>
      </w:numPr>
    </w:pPr>
  </w:style>
  <w:style w:type="paragraph" w:customStyle="1" w:styleId="RegH5G">
    <w:name w:val="Reg_H_5_G"/>
    <w:basedOn w:val="RegH4G"/>
    <w:qFormat/>
    <w:rsid w:val="00CF55B3"/>
    <w:pPr>
      <w:numPr>
        <w:ilvl w:val="4"/>
      </w:numPr>
    </w:pPr>
    <w:rPr>
      <w:b w:val="0"/>
      <w:i/>
    </w:rPr>
  </w:style>
  <w:style w:type="paragraph" w:customStyle="1" w:styleId="RegSingleTxtG2">
    <w:name w:val="Reg_Single Txt_G2"/>
    <w:basedOn w:val="RegSingleTxtG"/>
    <w:qFormat/>
    <w:rsid w:val="00CF55B3"/>
    <w:pPr>
      <w:numPr>
        <w:ilvl w:val="6"/>
      </w:numPr>
    </w:pPr>
  </w:style>
  <w:style w:type="paragraph" w:customStyle="1" w:styleId="RegSingleTxtG3">
    <w:name w:val="Reg_Single Txt_G3"/>
    <w:basedOn w:val="RegSingleTxtG"/>
    <w:qFormat/>
    <w:rsid w:val="00CF55B3"/>
    <w:pPr>
      <w:numPr>
        <w:ilvl w:val="7"/>
      </w:numPr>
    </w:pPr>
  </w:style>
  <w:style w:type="character" w:customStyle="1" w:styleId="RegHChGChar">
    <w:name w:val="Reg_H__Ch_G Char"/>
    <w:link w:val="RegHChG"/>
    <w:rsid w:val="00CF55B3"/>
    <w:rPr>
      <w:rFonts w:eastAsia="SimSun"/>
      <w:b/>
      <w:sz w:val="28"/>
      <w:lang w:val="en-GB"/>
    </w:rPr>
  </w:style>
  <w:style w:type="paragraph" w:customStyle="1" w:styleId="Bullet1G">
    <w:name w:val="_Bullet 1_G"/>
    <w:basedOn w:val="Normal"/>
    <w:rsid w:val="00503CA1"/>
    <w:pPr>
      <w:numPr>
        <w:numId w:val="29"/>
      </w:numPr>
      <w:suppressAutoHyphens/>
      <w:spacing w:after="120" w:line="240" w:lineRule="atLeast"/>
      <w:ind w:right="1134"/>
      <w:jc w:val="both"/>
    </w:pPr>
    <w:rPr>
      <w:rFonts w:eastAsia="SimSun"/>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00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documents/6244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programme.unfccc.int/drive/CDM/files/CDM07-Official%20Documents%20(CDM)/Templates/CDM_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B6730B0802B54A9F00C78B857E1443" ma:contentTypeVersion="19" ma:contentTypeDescription="Create a new document." ma:contentTypeScope="" ma:versionID="d7da099e5086f45020d60f3fef19023e">
  <xsd:schema xmlns:xsd="http://www.w3.org/2001/XMLSchema" xmlns:xs="http://www.w3.org/2001/XMLSchema" xmlns:p="http://schemas.microsoft.com/office/2006/metadata/properties" xmlns:ns2="819ae873-75e1-413b-9d00-7af9258cf281" xmlns:ns3="eb4559c4-8463-4985-927f-f0d558bff8f0" xmlns:ns4="13d80b15-5f07-43ab-b435-85767a7dac08" targetNamespace="http://schemas.microsoft.com/office/2006/metadata/properties" ma:root="true" ma:fieldsID="26d0ce5e49ef4a7433c72751346a7a42" ns2:_="" ns3:_="" ns4:_="">
    <xsd:import namespace="819ae873-75e1-413b-9d00-7af9258cf281"/>
    <xsd:import namespace="eb4559c4-8463-4985-927f-f0d558bff8f0"/>
    <xsd:import namespace="13d80b15-5f07-43ab-b435-85767a7dac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oc_x002e_SymbolNumb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Location" minOccurs="0"/>
                <xsd:element ref="ns2:MediaLengthInSeconds" minOccurs="0"/>
                <xsd:element ref="ns4:Document_x0020_Symbol"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ae873-75e1-413b-9d00-7af9258cf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_x002e_SymbolNumber" ma:index="12" nillable="true" ma:displayName="Doc. Symbol Number" ma:format="Dropdown" ma:internalName="Doc_x002e_SymbolNumber">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omments" ma:index="27"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990851-a39d-4e76-9339-d9f3f2815fa8}" ma:internalName="TaxCatchAll" ma:showField="CatchAllData" ma:web="13d80b15-5f07-43ab-b435-85767a7da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80b15-5f07-43ab-b435-85767a7dac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Document_x0020_Symbol" ma:index="24" nillable="true" ma:displayName="Document Symbol" ma:internalName="Document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19ae873-75e1-413b-9d00-7af9258cf281">
      <Terms xmlns="http://schemas.microsoft.com/office/infopath/2007/PartnerControls"/>
    </lcf76f155ced4ddcb4097134ff3c332f>
    <TaxCatchAll xmlns="eb4559c4-8463-4985-927f-f0d558bff8f0" xsi:nil="true"/>
    <Document_x0020_Symbol xmlns="13d80b15-5f07-43ab-b435-85767a7dac08">A6.2-TMPL-RPTG-001</Document_x0020_Symbol>
    <Doc_x002e_SymbolNumber xmlns="819ae873-75e1-413b-9d00-7af9258cf281">A6.2-TMPL-RPTG-001</Doc_x002e_SymbolNumber>
    <Comments xmlns="819ae873-75e1-413b-9d00-7af9258cf281" xsi:nil="true"/>
  </documentManagement>
</p:properties>
</file>

<file path=customXml/itemProps1.xml><?xml version="1.0" encoding="utf-8"?>
<ds:datastoreItem xmlns:ds="http://schemas.openxmlformats.org/officeDocument/2006/customXml" ds:itemID="{96081244-3B2B-4195-9F0E-2649759E5C82}">
  <ds:schemaRefs>
    <ds:schemaRef ds:uri="http://schemas.microsoft.com/office/2006/metadata/longProperties"/>
  </ds:schemaRefs>
</ds:datastoreItem>
</file>

<file path=customXml/itemProps2.xml><?xml version="1.0" encoding="utf-8"?>
<ds:datastoreItem xmlns:ds="http://schemas.openxmlformats.org/officeDocument/2006/customXml" ds:itemID="{7533FA2B-36EB-489D-89AC-7F69E24FE64E}">
  <ds:schemaRefs>
    <ds:schemaRef ds:uri="http://schemas.openxmlformats.org/officeDocument/2006/bibliography"/>
  </ds:schemaRefs>
</ds:datastoreItem>
</file>

<file path=customXml/itemProps3.xml><?xml version="1.0" encoding="utf-8"?>
<ds:datastoreItem xmlns:ds="http://schemas.openxmlformats.org/officeDocument/2006/customXml" ds:itemID="{BE0576E6-F1E3-4369-A0C6-6E6D97BCD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ae873-75e1-413b-9d00-7af9258cf281"/>
    <ds:schemaRef ds:uri="eb4559c4-8463-4985-927f-f0d558bff8f0"/>
    <ds:schemaRef ds:uri="13d80b15-5f07-43ab-b435-85767a7da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AB47A-92D5-477A-953F-0CA5B1819769}">
  <ds:schemaRefs>
    <ds:schemaRef ds:uri="http://schemas.microsoft.com/sharepoint/v3/contenttype/forms"/>
  </ds:schemaRefs>
</ds:datastoreItem>
</file>

<file path=customXml/itemProps5.xml><?xml version="1.0" encoding="utf-8"?>
<ds:datastoreItem xmlns:ds="http://schemas.openxmlformats.org/officeDocument/2006/customXml" ds:itemID="{A7A94EFF-3885-496C-9D5E-41C8938B4B0E}">
  <ds:schemaRefs>
    <ds:schemaRef ds:uri="http://schemas.microsoft.com/office/2006/metadata/properties"/>
    <ds:schemaRef ds:uri="http://schemas.microsoft.com/office/infopath/2007/PartnerControls"/>
    <ds:schemaRef ds:uri="819ae873-75e1-413b-9d00-7af9258cf281"/>
    <ds:schemaRef ds:uri="eb4559c4-8463-4985-927f-f0d558bff8f0"/>
    <ds:schemaRef ds:uri="13d80b15-5f07-43ab-b435-85767a7dac08"/>
  </ds:schemaRefs>
</ds:datastoreItem>
</file>

<file path=docProps/app.xml><?xml version="1.0" encoding="utf-8"?>
<Properties xmlns="http://schemas.openxmlformats.org/officeDocument/2006/extended-properties" xmlns:vt="http://schemas.openxmlformats.org/officeDocument/2006/docPropsVTypes">
  <Template>CDM_Form.dot</Template>
  <TotalTime>0</TotalTime>
  <Pages>9</Pages>
  <Words>2291</Words>
  <Characters>13062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A6.4-FORM-AC-027</vt:lpstr>
    </vt:vector>
  </TitlesOfParts>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A6.2-TMPL-RPTG-001</dc:title>
  <dc:subject>Regulatory</dc:subject>
  <dc:creator/>
  <cp:keywords>Forms, MOC</cp:keywords>
  <dc:description>EB66, 16 March 2012, version 02.1. previous/VVM track is reg_form04</dc:description>
  <cp:lastModifiedBy/>
  <cp:revision>1</cp:revision>
  <cp:lastPrinted>2012-03-18T01:52:00Z</cp:lastPrinted>
  <dcterms:created xsi:type="dcterms:W3CDTF">2025-04-15T03:39:00Z</dcterms:created>
  <dcterms:modified xsi:type="dcterms:W3CDTF">2025-06-12T08:44:00Z</dcterms:modified>
  <cp:category>Registration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NoteNo">
    <vt:i4>1</vt:i4>
  </property>
  <property fmtid="{D5CDD505-2E9C-101B-9397-08002B2CF9AE}" pid="3" name="footNoteLetter">
    <vt:lpwstr>1</vt:lpwstr>
  </property>
  <property fmtid="{D5CDD505-2E9C-101B-9397-08002B2CF9AE}" pid="4" name="docType">
    <vt:lpwstr>Draft</vt:lpwstr>
  </property>
  <property fmtid="{D5CDD505-2E9C-101B-9397-08002B2CF9AE}" pid="5" name="display_urn:schemas-microsoft-com:office:office#Editor">
    <vt:lpwstr>migrationuser</vt:lpwstr>
  </property>
  <property fmtid="{D5CDD505-2E9C-101B-9397-08002B2CF9AE}" pid="6" name="display_urn:schemas-microsoft-com:office:office#Author">
    <vt:lpwstr>migrationuser</vt:lpwstr>
  </property>
  <property fmtid="{D5CDD505-2E9C-101B-9397-08002B2CF9AE}" pid="7" name="ContentTypeId">
    <vt:lpwstr>0x0101008FB6730B0802B54A9F00C78B857E1443</vt:lpwstr>
  </property>
  <property fmtid="{D5CDD505-2E9C-101B-9397-08002B2CF9AE}" pid="8" name="MediaServiceImageTags">
    <vt:lpwstr/>
  </property>
</Properties>
</file>