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15C8" w14:textId="77777777" w:rsidR="001D66AE" w:rsidRPr="00A318EB" w:rsidRDefault="001D66AE" w:rsidP="001D66AE">
      <w:pPr>
        <w:pStyle w:val="NormalWeb"/>
        <w:spacing w:before="0" w:beforeAutospacing="0" w:after="0" w:afterAutospacing="0" w:line="292" w:lineRule="atLeast"/>
        <w:rPr>
          <w:rFonts w:asciiTheme="minorHAnsi" w:hAnsiTheme="minorHAnsi"/>
          <w:sz w:val="22"/>
          <w:szCs w:val="22"/>
          <w:lang w:val="en-GB"/>
        </w:rPr>
      </w:pPr>
    </w:p>
    <w:p w14:paraId="42264C75" w14:textId="77777777" w:rsidR="001D66AE" w:rsidRPr="00A318EB"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Template for non-Party stakeholders’ inputs </w:t>
      </w:r>
    </w:p>
    <w:p w14:paraId="52500430" w14:textId="77777777" w:rsidR="001D66AE" w:rsidRDefault="001D66AE" w:rsidP="001D66AE">
      <w:pPr>
        <w:jc w:val="center"/>
        <w:rPr>
          <w:rFonts w:asciiTheme="minorHAnsi" w:hAnsiTheme="minorHAnsi"/>
          <w:b/>
          <w:sz w:val="32"/>
          <w:szCs w:val="32"/>
        </w:rPr>
      </w:pPr>
      <w:r w:rsidRPr="00A318EB">
        <w:rPr>
          <w:rFonts w:asciiTheme="minorHAnsi" w:hAnsiTheme="minorHAnsi"/>
          <w:b/>
          <w:sz w:val="32"/>
          <w:szCs w:val="32"/>
        </w:rPr>
        <w:t xml:space="preserve">for the Talanoa Dialogue </w:t>
      </w:r>
    </w:p>
    <w:p w14:paraId="62BD7D8D" w14:textId="77777777" w:rsidR="00801E89" w:rsidRPr="00A318EB" w:rsidRDefault="00801E89" w:rsidP="00801E89">
      <w:pPr>
        <w:jc w:val="center"/>
        <w:rPr>
          <w:rFonts w:asciiTheme="minorHAnsi" w:hAnsiTheme="minorHAnsi"/>
          <w:b/>
          <w:sz w:val="24"/>
          <w:szCs w:val="24"/>
        </w:rPr>
      </w:pPr>
      <w:r>
        <w:rPr>
          <w:rFonts w:asciiTheme="minorHAnsi" w:hAnsiTheme="minorHAnsi"/>
          <w:sz w:val="32"/>
          <w:szCs w:val="32"/>
        </w:rPr>
        <w:t>Question 1</w:t>
      </w:r>
      <w:r w:rsidRPr="00AA4B66">
        <w:rPr>
          <w:rFonts w:asciiTheme="minorHAnsi" w:hAnsiTheme="minorHAnsi"/>
          <w:sz w:val="32"/>
          <w:szCs w:val="32"/>
        </w:rPr>
        <w:t xml:space="preserve"> </w:t>
      </w:r>
      <w:r>
        <w:rPr>
          <w:rFonts w:asciiTheme="minorHAnsi" w:hAnsiTheme="minorHAnsi"/>
          <w:sz w:val="32"/>
          <w:szCs w:val="32"/>
        </w:rPr>
        <w:t>–</w:t>
      </w:r>
      <w:r w:rsidRPr="00AA4B66">
        <w:rPr>
          <w:rFonts w:asciiTheme="minorHAnsi" w:hAnsiTheme="minorHAnsi"/>
          <w:sz w:val="32"/>
          <w:szCs w:val="32"/>
        </w:rPr>
        <w:t xml:space="preserve"> </w:t>
      </w:r>
      <w:r>
        <w:rPr>
          <w:rFonts w:asciiTheme="minorHAnsi" w:hAnsiTheme="minorHAnsi"/>
          <w:sz w:val="32"/>
          <w:szCs w:val="32"/>
        </w:rPr>
        <w:t>Where are we</w:t>
      </w:r>
      <w:r w:rsidRPr="00464883">
        <w:rPr>
          <w:rFonts w:asciiTheme="minorHAnsi" w:hAnsiTheme="minorHAnsi"/>
          <w:sz w:val="32"/>
          <w:szCs w:val="32"/>
        </w:rPr>
        <w:t>?</w:t>
      </w:r>
    </w:p>
    <w:p w14:paraId="1A867B71" w14:textId="77777777" w:rsidR="001D66AE" w:rsidRDefault="001D66AE" w:rsidP="001D66AE">
      <w:pPr>
        <w:rPr>
          <w:rFonts w:asciiTheme="minorHAnsi" w:hAnsiTheme="minorHAnsi"/>
          <w:b/>
          <w:sz w:val="32"/>
          <w:szCs w:val="32"/>
        </w:rPr>
      </w:pPr>
    </w:p>
    <w:p w14:paraId="343A6323" w14:textId="77777777" w:rsidR="001D66AE" w:rsidRDefault="001D66AE" w:rsidP="00B77EA8">
      <w:pPr>
        <w:tabs>
          <w:tab w:val="left" w:pos="4111"/>
        </w:tabs>
        <w:rPr>
          <w:rFonts w:asciiTheme="minorHAnsi" w:hAnsiTheme="minorHAnsi"/>
          <w:i/>
          <w:sz w:val="20"/>
        </w:rPr>
      </w:pPr>
      <w:r>
        <w:rPr>
          <w:rFonts w:asciiTheme="minorHAnsi" w:hAnsiTheme="minorHAnsi"/>
          <w:i/>
          <w:sz w:val="20"/>
        </w:rPr>
        <w:t>This template is meant to guide non-Party stakeholders</w:t>
      </w:r>
      <w:r w:rsidR="0066071D">
        <w:rPr>
          <w:rFonts w:asciiTheme="minorHAnsi" w:hAnsiTheme="minorHAnsi"/>
          <w:i/>
          <w:sz w:val="20"/>
        </w:rPr>
        <w:t xml:space="preserve"> (</w:t>
      </w:r>
      <w:r w:rsidR="0066071D" w:rsidRPr="00A318EB">
        <w:rPr>
          <w:rFonts w:asciiTheme="minorHAnsi" w:hAnsiTheme="minorHAnsi"/>
          <w:i/>
          <w:sz w:val="20"/>
        </w:rPr>
        <w:t>organization(s), coalition(s), initiative(s) and/or sector</w:t>
      </w:r>
      <w:r w:rsidR="0066071D">
        <w:rPr>
          <w:rFonts w:asciiTheme="minorHAnsi" w:hAnsiTheme="minorHAnsi"/>
          <w:i/>
          <w:sz w:val="20"/>
        </w:rPr>
        <w:t>(s) etc.)</w:t>
      </w:r>
      <w:r>
        <w:rPr>
          <w:rFonts w:asciiTheme="minorHAnsi" w:hAnsiTheme="minorHAnsi"/>
          <w:i/>
          <w:sz w:val="20"/>
        </w:rPr>
        <w:t xml:space="preserve"> in providing inputs that are relevant and impactful to the Talanoa Dialogue process. Using such the template is not mandatory, however, the High-level Champions encourage non-Party stakeholders to use such a structure to facilitate capturing and highlighting the key messages across the three questions.</w:t>
      </w:r>
    </w:p>
    <w:p w14:paraId="3EF9FB53" w14:textId="77777777" w:rsidR="001D66AE" w:rsidRPr="00A318EB" w:rsidRDefault="001D66AE" w:rsidP="001D66AE">
      <w:pPr>
        <w:rPr>
          <w:rFonts w:asciiTheme="minorHAnsi" w:hAnsiTheme="minorHAnsi"/>
          <w:b/>
          <w:sz w:val="24"/>
          <w:szCs w:val="24"/>
        </w:rPr>
      </w:pPr>
    </w:p>
    <w:p w14:paraId="172B6F2E" w14:textId="77777777" w:rsidR="001D66AE" w:rsidRPr="00A318EB" w:rsidRDefault="001D66AE" w:rsidP="001D66AE">
      <w:pPr>
        <w:rPr>
          <w:rFonts w:asciiTheme="minorHAnsi" w:hAnsiTheme="minorHAnsi"/>
          <w:b/>
          <w:sz w:val="24"/>
          <w:szCs w:val="24"/>
        </w:rPr>
      </w:pPr>
      <w:r w:rsidRPr="00A318EB">
        <w:rPr>
          <w:rFonts w:asciiTheme="minorHAnsi" w:hAnsiTheme="minorHAnsi"/>
          <w:b/>
          <w:sz w:val="24"/>
          <w:szCs w:val="24"/>
        </w:rPr>
        <w:t xml:space="preserve">Where are we? </w:t>
      </w:r>
    </w:p>
    <w:p w14:paraId="7854EAE2" w14:textId="77777777" w:rsidR="001D66AE" w:rsidRPr="00A318EB" w:rsidRDefault="001D66AE" w:rsidP="001D66AE">
      <w:pPr>
        <w:rPr>
          <w:rFonts w:asciiTheme="minorHAnsi" w:hAnsiTheme="minorHAnsi"/>
          <w:i/>
          <w:sz w:val="20"/>
        </w:rPr>
      </w:pPr>
      <w:r w:rsidRPr="00A318EB">
        <w:rPr>
          <w:rFonts w:asciiTheme="minorHAnsi" w:hAnsiTheme="minorHAnsi"/>
          <w:i/>
          <w:sz w:val="20"/>
        </w:rPr>
        <w:t>The commitment</w:t>
      </w:r>
      <w:r>
        <w:rPr>
          <w:rFonts w:asciiTheme="minorHAnsi" w:hAnsiTheme="minorHAnsi"/>
          <w:i/>
          <w:sz w:val="20"/>
        </w:rPr>
        <w:t xml:space="preserve"> </w:t>
      </w:r>
      <w:r w:rsidR="0066071D">
        <w:rPr>
          <w:rFonts w:asciiTheme="minorHAnsi" w:hAnsiTheme="minorHAnsi"/>
          <w:i/>
          <w:sz w:val="20"/>
        </w:rPr>
        <w:t>(planned and/or announced) as well as</w:t>
      </w:r>
      <w:r w:rsidRPr="00A318EB">
        <w:rPr>
          <w:rFonts w:asciiTheme="minorHAnsi" w:hAnsiTheme="minorHAnsi"/>
          <w:i/>
          <w:sz w:val="20"/>
        </w:rPr>
        <w:t xml:space="preserve"> the actions taken so far that are in line with aims of Paris Agreement</w:t>
      </w:r>
      <w:r w:rsidR="004D526B">
        <w:rPr>
          <w:rFonts w:asciiTheme="minorHAnsi" w:hAnsiTheme="minorHAnsi"/>
          <w:i/>
          <w:sz w:val="20"/>
        </w:rPr>
        <w:t>,</w:t>
      </w:r>
      <w:r w:rsidRPr="00A318EB">
        <w:rPr>
          <w:rFonts w:asciiTheme="minorHAnsi" w:hAnsiTheme="minorHAnsi"/>
          <w:i/>
          <w:sz w:val="20"/>
        </w:rPr>
        <w:t xml:space="preserve"> the 1.5/2 degrees’ goal</w:t>
      </w:r>
      <w:r w:rsidR="004D526B">
        <w:rPr>
          <w:rFonts w:asciiTheme="minorHAnsi" w:hAnsiTheme="minorHAnsi"/>
          <w:i/>
          <w:sz w:val="20"/>
        </w:rPr>
        <w:t xml:space="preserve"> and the transition towards a net-zero emission society by this mid-century</w:t>
      </w:r>
      <w:r w:rsidRPr="00A318EB">
        <w:rPr>
          <w:rFonts w:asciiTheme="minorHAnsi" w:hAnsiTheme="minorHAnsi"/>
          <w:i/>
          <w:sz w:val="20"/>
        </w:rPr>
        <w:t xml:space="preserve"> [Maximum 300 words]</w:t>
      </w:r>
    </w:p>
    <w:tbl>
      <w:tblPr>
        <w:tblStyle w:val="TableGrid"/>
        <w:tblW w:w="0" w:type="auto"/>
        <w:tblLook w:val="04A0" w:firstRow="1" w:lastRow="0" w:firstColumn="1" w:lastColumn="0" w:noHBand="0" w:noVBand="1"/>
      </w:tblPr>
      <w:tblGrid>
        <w:gridCol w:w="9016"/>
      </w:tblGrid>
      <w:tr w:rsidR="001D66AE" w:rsidRPr="00A318EB" w14:paraId="4854F710" w14:textId="77777777" w:rsidTr="00D301B9">
        <w:tc>
          <w:tcPr>
            <w:tcW w:w="9016" w:type="dxa"/>
          </w:tcPr>
          <w:p w14:paraId="441EF26F" w14:textId="5E333DF7" w:rsidR="00A7184C" w:rsidRDefault="00F23B64" w:rsidP="00D301B9">
            <w:pPr>
              <w:rPr>
                <w:sz w:val="20"/>
              </w:rPr>
            </w:pPr>
            <w:r>
              <w:rPr>
                <w:sz w:val="20"/>
              </w:rPr>
              <w:t xml:space="preserve">RE100 is a global, collaborative initiative bringing together large and influential businesses committed to 100% renewable electricity. </w:t>
            </w:r>
            <w:r w:rsidR="00587261">
              <w:rPr>
                <w:sz w:val="20"/>
              </w:rPr>
              <w:t>Led by The Climate Group in partnership with CDP, and as part of the We Mean Business Coalition, RE100 provides a platform to grow the momentum for corporate renewable electricity sourcing and accelerate the decarbonisation of the private sector through catalysing peer pressure, providing support, amplifying achievements and engaging in relevant policy conversations.</w:t>
            </w:r>
          </w:p>
          <w:p w14:paraId="39F8D5FB" w14:textId="77777777" w:rsidR="00A7184C" w:rsidRDefault="00A7184C" w:rsidP="00D301B9">
            <w:pPr>
              <w:rPr>
                <w:sz w:val="20"/>
              </w:rPr>
            </w:pPr>
          </w:p>
          <w:p w14:paraId="34D397F2" w14:textId="5057A862" w:rsidR="00F23B64" w:rsidRDefault="00F23B64" w:rsidP="00D301B9">
            <w:pPr>
              <w:rPr>
                <w:sz w:val="20"/>
              </w:rPr>
            </w:pPr>
            <w:r>
              <w:rPr>
                <w:sz w:val="20"/>
              </w:rPr>
              <w:t xml:space="preserve">Since the campaign was launched </w:t>
            </w:r>
            <w:r w:rsidR="0067725B">
              <w:rPr>
                <w:sz w:val="20"/>
              </w:rPr>
              <w:t>in 2014, it</w:t>
            </w:r>
            <w:r>
              <w:rPr>
                <w:sz w:val="20"/>
              </w:rPr>
              <w:t xml:space="preserve"> has grown to over </w:t>
            </w:r>
            <w:proofErr w:type="gramStart"/>
            <w:r>
              <w:rPr>
                <w:sz w:val="20"/>
              </w:rPr>
              <w:t>130 member</w:t>
            </w:r>
            <w:proofErr w:type="gramEnd"/>
            <w:r>
              <w:rPr>
                <w:sz w:val="20"/>
              </w:rPr>
              <w:t xml:space="preserve"> companies with a total </w:t>
            </w:r>
            <w:r w:rsidR="00663C52">
              <w:rPr>
                <w:sz w:val="20"/>
              </w:rPr>
              <w:t>electricity demand of 171</w:t>
            </w:r>
            <w:r w:rsidR="00530FB2">
              <w:rPr>
                <w:sz w:val="20"/>
              </w:rPr>
              <w:t xml:space="preserve"> </w:t>
            </w:r>
            <w:proofErr w:type="spellStart"/>
            <w:r w:rsidR="00530FB2">
              <w:rPr>
                <w:sz w:val="20"/>
              </w:rPr>
              <w:t>TWh</w:t>
            </w:r>
            <w:proofErr w:type="spellEnd"/>
            <w:r w:rsidR="00530FB2">
              <w:rPr>
                <w:sz w:val="20"/>
              </w:rPr>
              <w:t xml:space="preserve">/year – more than double the amount needed to power Belgium. If RE100 were a country, it would be the </w:t>
            </w:r>
            <w:r w:rsidR="00663C52">
              <w:rPr>
                <w:sz w:val="20"/>
              </w:rPr>
              <w:t>22</w:t>
            </w:r>
            <w:r w:rsidR="00663C52" w:rsidRPr="00663C52">
              <w:rPr>
                <w:sz w:val="20"/>
                <w:vertAlign w:val="superscript"/>
              </w:rPr>
              <w:t>nd</w:t>
            </w:r>
            <w:r w:rsidR="00663C52">
              <w:rPr>
                <w:sz w:val="20"/>
              </w:rPr>
              <w:t xml:space="preserve"> biggest in the world in terms of electricity use.</w:t>
            </w:r>
            <w:r w:rsidR="00A7184C">
              <w:rPr>
                <w:sz w:val="20"/>
              </w:rPr>
              <w:t xml:space="preserve"> The campaign has grown significantly faster than ex</w:t>
            </w:r>
            <w:r w:rsidR="0067725B">
              <w:rPr>
                <w:sz w:val="20"/>
              </w:rPr>
              <w:t>pected, reaching its</w:t>
            </w:r>
            <w:r w:rsidR="00A7184C">
              <w:rPr>
                <w:sz w:val="20"/>
              </w:rPr>
              <w:t xml:space="preserve"> </w:t>
            </w:r>
            <w:proofErr w:type="gramStart"/>
            <w:r w:rsidR="00A7184C">
              <w:rPr>
                <w:sz w:val="20"/>
              </w:rPr>
              <w:t>100 member</w:t>
            </w:r>
            <w:proofErr w:type="gramEnd"/>
            <w:r w:rsidR="00A7184C">
              <w:rPr>
                <w:sz w:val="20"/>
              </w:rPr>
              <w:t xml:space="preserve"> milestone in July 2017, three years earlier than anticipated. RE100 companies have a global reach, with operations in 122 count</w:t>
            </w:r>
            <w:r w:rsidR="0067725B">
              <w:rPr>
                <w:sz w:val="20"/>
              </w:rPr>
              <w:t>ries across six continents and whilst the majority of members are headquartered in Europe and North America, the campaign is experiencing impressive growth in Asia, particularly Japan.</w:t>
            </w:r>
            <w:r w:rsidR="00C9741D">
              <w:rPr>
                <w:sz w:val="20"/>
              </w:rPr>
              <w:t xml:space="preserve"> Members span</w:t>
            </w:r>
            <w:r w:rsidR="004D15BA">
              <w:rPr>
                <w:sz w:val="20"/>
              </w:rPr>
              <w:t xml:space="preserve"> multiple </w:t>
            </w:r>
            <w:r w:rsidR="004C2CCE">
              <w:rPr>
                <w:sz w:val="20"/>
              </w:rPr>
              <w:t>sectors, from health care</w:t>
            </w:r>
            <w:r w:rsidR="004D15BA">
              <w:rPr>
                <w:sz w:val="20"/>
              </w:rPr>
              <w:t xml:space="preserve"> and telecommunications to automobile and cement manufacturing.</w:t>
            </w:r>
            <w:r w:rsidR="004C2CCE">
              <w:rPr>
                <w:sz w:val="20"/>
              </w:rPr>
              <w:t xml:space="preserve"> Financial services </w:t>
            </w:r>
            <w:proofErr w:type="gramStart"/>
            <w:r w:rsidR="004C2CCE">
              <w:rPr>
                <w:sz w:val="20"/>
              </w:rPr>
              <w:t>is</w:t>
            </w:r>
            <w:proofErr w:type="gramEnd"/>
            <w:r w:rsidR="004C2CCE">
              <w:rPr>
                <w:sz w:val="20"/>
              </w:rPr>
              <w:t xml:space="preserve"> the most rep</w:t>
            </w:r>
            <w:r w:rsidR="006322CE">
              <w:rPr>
                <w:sz w:val="20"/>
              </w:rPr>
              <w:t>resented sector with 32 members.</w:t>
            </w:r>
          </w:p>
          <w:p w14:paraId="208FAE6A" w14:textId="77777777" w:rsidR="00663C52" w:rsidRDefault="00663C52" w:rsidP="00D301B9">
            <w:pPr>
              <w:rPr>
                <w:sz w:val="20"/>
              </w:rPr>
            </w:pPr>
          </w:p>
          <w:p w14:paraId="12F7D28C" w14:textId="5CB582F1" w:rsidR="00663C52" w:rsidRPr="00F23B64" w:rsidRDefault="00F82C7B" w:rsidP="00D301B9">
            <w:pPr>
              <w:rPr>
                <w:sz w:val="20"/>
              </w:rPr>
            </w:pPr>
            <w:r>
              <w:rPr>
                <w:sz w:val="20"/>
              </w:rPr>
              <w:t>Beyond RE100, an additional 80 CDP-reporting companies have set a 100% renewable electricity target, demonstrating that such a goal is increasingly becoming the norm for companies across the world.</w:t>
            </w:r>
            <w:r w:rsidR="00FC7A69">
              <w:rPr>
                <w:sz w:val="20"/>
              </w:rPr>
              <w:t xml:space="preserve"> This figure is exponentially increasing, and many more companies are committing to sub-100% targets. </w:t>
            </w:r>
          </w:p>
        </w:tc>
      </w:tr>
    </w:tbl>
    <w:p w14:paraId="7E96EF1C" w14:textId="77777777" w:rsidR="001D66AE" w:rsidRPr="00A318EB" w:rsidRDefault="001D66AE" w:rsidP="001D66AE">
      <w:pPr>
        <w:rPr>
          <w:rFonts w:asciiTheme="minorHAnsi" w:hAnsiTheme="minorHAnsi"/>
          <w:i/>
          <w:sz w:val="20"/>
        </w:rPr>
      </w:pPr>
    </w:p>
    <w:p w14:paraId="7F5FFE41" w14:textId="77777777" w:rsidR="001D66AE" w:rsidRPr="00A318EB" w:rsidRDefault="001D66AE" w:rsidP="001D66AE">
      <w:pPr>
        <w:rPr>
          <w:rFonts w:asciiTheme="minorHAnsi" w:hAnsiTheme="minorHAnsi"/>
          <w:i/>
          <w:sz w:val="20"/>
        </w:rPr>
      </w:pPr>
      <w:r w:rsidRPr="00A318EB">
        <w:rPr>
          <w:rFonts w:asciiTheme="minorHAnsi" w:hAnsiTheme="minorHAnsi"/>
          <w:i/>
          <w:sz w:val="20"/>
        </w:rPr>
        <w:t>Progress made so far against the above commitments</w:t>
      </w:r>
      <w:r w:rsidR="005E6302">
        <w:rPr>
          <w:rFonts w:asciiTheme="minorHAnsi" w:hAnsiTheme="minorHAnsi"/>
          <w:i/>
          <w:sz w:val="20"/>
        </w:rPr>
        <w:t xml:space="preserve">, including success </w:t>
      </w:r>
      <w:r w:rsidR="00B824E9">
        <w:rPr>
          <w:rFonts w:asciiTheme="minorHAnsi" w:hAnsiTheme="minorHAnsi"/>
          <w:i/>
          <w:sz w:val="20"/>
        </w:rPr>
        <w:t>stories</w:t>
      </w:r>
      <w:r w:rsidR="004D526B">
        <w:rPr>
          <w:rFonts w:asciiTheme="minorHAnsi" w:hAnsiTheme="minorHAnsi"/>
          <w:i/>
          <w:sz w:val="20"/>
        </w:rPr>
        <w:t>,</w:t>
      </w:r>
      <w:r w:rsidR="00B824E9">
        <w:rPr>
          <w:rFonts w:asciiTheme="minorHAnsi" w:hAnsiTheme="minorHAnsi"/>
          <w:i/>
          <w:sz w:val="20"/>
        </w:rPr>
        <w:t xml:space="preserve"> </w:t>
      </w:r>
      <w:r w:rsidR="005E6302">
        <w:rPr>
          <w:rFonts w:asciiTheme="minorHAnsi" w:hAnsiTheme="minorHAnsi"/>
          <w:i/>
          <w:sz w:val="20"/>
        </w:rPr>
        <w:t>case studies</w:t>
      </w:r>
      <w:r w:rsidRPr="00A318EB">
        <w:rPr>
          <w:rFonts w:asciiTheme="minorHAnsi" w:hAnsiTheme="minorHAnsi"/>
          <w:i/>
          <w:sz w:val="20"/>
        </w:rPr>
        <w:t xml:space="preserve"> </w:t>
      </w:r>
      <w:r w:rsidR="004D526B">
        <w:rPr>
          <w:rFonts w:asciiTheme="minorHAnsi" w:hAnsiTheme="minorHAnsi"/>
          <w:i/>
          <w:sz w:val="20"/>
        </w:rPr>
        <w:t xml:space="preserve">and gaps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1D66AE" w:rsidRPr="00A318EB" w14:paraId="1478CFE9" w14:textId="77777777" w:rsidTr="00D301B9">
        <w:tc>
          <w:tcPr>
            <w:tcW w:w="9016" w:type="dxa"/>
          </w:tcPr>
          <w:p w14:paraId="16E903ED" w14:textId="050A02CB" w:rsidR="001D66AE" w:rsidRDefault="00C9741D" w:rsidP="00D301B9">
            <w:pPr>
              <w:rPr>
                <w:sz w:val="20"/>
              </w:rPr>
            </w:pPr>
            <w:r>
              <w:rPr>
                <w:sz w:val="20"/>
              </w:rPr>
              <w:t xml:space="preserve">Out of a total consumption of 171 </w:t>
            </w:r>
            <w:proofErr w:type="spellStart"/>
            <w:r>
              <w:rPr>
                <w:sz w:val="20"/>
              </w:rPr>
              <w:t>TWh</w:t>
            </w:r>
            <w:proofErr w:type="spellEnd"/>
            <w:r>
              <w:rPr>
                <w:sz w:val="20"/>
              </w:rPr>
              <w:t xml:space="preserve">/year, RE100 members are sourcing 52 </w:t>
            </w:r>
            <w:proofErr w:type="spellStart"/>
            <w:r>
              <w:rPr>
                <w:sz w:val="20"/>
              </w:rPr>
              <w:t>TWh</w:t>
            </w:r>
            <w:proofErr w:type="spellEnd"/>
            <w:r w:rsidR="005A2D86">
              <w:rPr>
                <w:sz w:val="20"/>
              </w:rPr>
              <w:t>/year from renewable sources. This is an average share of 30% of electricity from renewables, 1.3 times the global average. Already, 28 RE100 companies have achieved their 100% goal.</w:t>
            </w:r>
          </w:p>
          <w:p w14:paraId="08F45164" w14:textId="77777777" w:rsidR="00DD74D3" w:rsidRDefault="00DD74D3" w:rsidP="00D301B9">
            <w:pPr>
              <w:rPr>
                <w:sz w:val="20"/>
              </w:rPr>
            </w:pPr>
          </w:p>
          <w:p w14:paraId="04F2910D" w14:textId="68B3543F" w:rsidR="00DD74D3" w:rsidRDefault="00DD74D3" w:rsidP="00D301B9">
            <w:pPr>
              <w:rPr>
                <w:sz w:val="20"/>
              </w:rPr>
            </w:pPr>
            <w:r>
              <w:rPr>
                <w:sz w:val="20"/>
              </w:rPr>
              <w:t xml:space="preserve">The proportion of electricity RE100 members are sourcing from renewables is highest in Europe, reaching 61% in 2016. This reflects the wide availability of Guarantees of Origin and in some markets, the ability to carry out corporate renewable PPAs. The picture is different in other parts of the world where corporate </w:t>
            </w:r>
            <w:r>
              <w:rPr>
                <w:sz w:val="20"/>
              </w:rPr>
              <w:lastRenderedPageBreak/>
              <w:t>renewable electricity is harder to come by. For example, in Asia, 15% of RE100 companies’ electricity was sourced from renewables in 2016.</w:t>
            </w:r>
          </w:p>
          <w:p w14:paraId="662061E2" w14:textId="77777777" w:rsidR="005A2D86" w:rsidRDefault="005A2D86" w:rsidP="00D301B9">
            <w:pPr>
              <w:rPr>
                <w:sz w:val="20"/>
              </w:rPr>
            </w:pPr>
          </w:p>
          <w:p w14:paraId="30EC9AE8" w14:textId="5B9E233F" w:rsidR="005A2D86" w:rsidRDefault="00D270D6" w:rsidP="00D301B9">
            <w:pPr>
              <w:rPr>
                <w:sz w:val="20"/>
              </w:rPr>
            </w:pPr>
            <w:r>
              <w:rPr>
                <w:sz w:val="20"/>
              </w:rPr>
              <w:t>RE100 members are going beyond simply meeting their target – their innovative approaches are re-writing the rulebook for renewable energy purchasing, and their investments are adding significantly to global renewable energy capacity.</w:t>
            </w:r>
            <w:r w:rsidR="00E53AEB">
              <w:rPr>
                <w:sz w:val="20"/>
              </w:rPr>
              <w:t xml:space="preserve"> Procurement of renewable power from offsite grid connected generators, otherwise known as Power Purchase Agreements (PPAs), gre</w:t>
            </w:r>
            <w:r w:rsidR="00B5530F">
              <w:rPr>
                <w:sz w:val="20"/>
              </w:rPr>
              <w:t>w fourfold between 2015 and 2016</w:t>
            </w:r>
            <w:r w:rsidR="00E53AEB">
              <w:rPr>
                <w:sz w:val="20"/>
              </w:rPr>
              <w:t>. Such a sourcing strategy is considered impactful as it directly contributes to additional renewable grid capacity.</w:t>
            </w:r>
            <w:r w:rsidR="00FC7A69">
              <w:rPr>
                <w:sz w:val="20"/>
              </w:rPr>
              <w:t xml:space="preserve"> Members are also increasing on-site generation</w:t>
            </w:r>
            <w:r w:rsidR="00DD74D3">
              <w:rPr>
                <w:sz w:val="20"/>
              </w:rPr>
              <w:t xml:space="preserve">, which increased </w:t>
            </w:r>
            <w:r w:rsidR="00FC7A69">
              <w:rPr>
                <w:sz w:val="20"/>
              </w:rPr>
              <w:t>15-fold from 2015 to 2016.</w:t>
            </w:r>
          </w:p>
          <w:p w14:paraId="09882F9A" w14:textId="77777777" w:rsidR="005A2D86" w:rsidRDefault="005A2D86" w:rsidP="00D301B9">
            <w:pPr>
              <w:rPr>
                <w:sz w:val="20"/>
              </w:rPr>
            </w:pPr>
          </w:p>
          <w:p w14:paraId="0C117316" w14:textId="7C0779A2" w:rsidR="005A2D86" w:rsidRPr="00C9741D" w:rsidRDefault="001A2882" w:rsidP="00D301B9">
            <w:pPr>
              <w:rPr>
                <w:sz w:val="20"/>
              </w:rPr>
            </w:pPr>
            <w:r>
              <w:rPr>
                <w:sz w:val="20"/>
              </w:rPr>
              <w:t>RE100 companies are taking one step further to encourage the uptake of renewable electri</w:t>
            </w:r>
            <w:r w:rsidR="00804694">
              <w:rPr>
                <w:sz w:val="20"/>
              </w:rPr>
              <w:t>city within their supply chains. The 2016 data shows that 38% of members are working with their suppliers in some way to drive this uptake.</w:t>
            </w:r>
            <w:r w:rsidR="00A72786">
              <w:rPr>
                <w:sz w:val="20"/>
              </w:rPr>
              <w:t xml:space="preserve"> RE100 member</w:t>
            </w:r>
            <w:r w:rsidR="00804694">
              <w:rPr>
                <w:sz w:val="20"/>
              </w:rPr>
              <w:t>, Apple, launched its Supplier Clean Energy Program in October 2015 and has successfully helped bring about commitments from 14 suppliers</w:t>
            </w:r>
            <w:r w:rsidR="00577842">
              <w:rPr>
                <w:sz w:val="20"/>
              </w:rPr>
              <w:t xml:space="preserve"> to achieve 100% renewable power for their Apple production by 2018/19.</w:t>
            </w:r>
          </w:p>
        </w:tc>
      </w:tr>
    </w:tbl>
    <w:p w14:paraId="79CCEAF8" w14:textId="77777777" w:rsidR="001D66AE" w:rsidRPr="00A318EB" w:rsidRDefault="001D66AE" w:rsidP="001D66AE">
      <w:pPr>
        <w:rPr>
          <w:rFonts w:asciiTheme="minorHAnsi" w:hAnsiTheme="minorHAnsi"/>
          <w:sz w:val="20"/>
        </w:rPr>
      </w:pPr>
    </w:p>
    <w:p w14:paraId="455F1751" w14:textId="77777777" w:rsidR="001D66AE" w:rsidRPr="00A318EB" w:rsidRDefault="001D66AE" w:rsidP="001D66AE">
      <w:pPr>
        <w:rPr>
          <w:rFonts w:asciiTheme="minorHAnsi" w:hAnsiTheme="minorHAnsi"/>
          <w:i/>
          <w:sz w:val="20"/>
        </w:rPr>
      </w:pPr>
      <w:r w:rsidRPr="00A318EB">
        <w:rPr>
          <w:rFonts w:asciiTheme="minorHAnsi" w:hAnsiTheme="minorHAnsi"/>
          <w:i/>
          <w:sz w:val="20"/>
        </w:rPr>
        <w:t>Quantitative impact so far with respect to mitigation, adaptation</w:t>
      </w:r>
      <w:r w:rsidR="004D526B">
        <w:rPr>
          <w:rFonts w:asciiTheme="minorHAnsi" w:hAnsiTheme="minorHAnsi"/>
          <w:i/>
          <w:sz w:val="20"/>
        </w:rPr>
        <w:t>, resilience</w:t>
      </w:r>
      <w:r w:rsidRPr="00A318EB">
        <w:rPr>
          <w:rFonts w:asciiTheme="minorHAnsi" w:hAnsiTheme="minorHAnsi"/>
          <w:i/>
          <w:sz w:val="20"/>
        </w:rPr>
        <w:t xml:space="preserve"> and/or finance [Maximum 300 words]</w:t>
      </w:r>
    </w:p>
    <w:tbl>
      <w:tblPr>
        <w:tblStyle w:val="TableGrid"/>
        <w:tblW w:w="0" w:type="auto"/>
        <w:tblLook w:val="04A0" w:firstRow="1" w:lastRow="0" w:firstColumn="1" w:lastColumn="0" w:noHBand="0" w:noVBand="1"/>
      </w:tblPr>
      <w:tblGrid>
        <w:gridCol w:w="9016"/>
      </w:tblGrid>
      <w:tr w:rsidR="001D66AE" w:rsidRPr="00A318EB" w14:paraId="20C08D72" w14:textId="77777777" w:rsidTr="00D301B9">
        <w:tc>
          <w:tcPr>
            <w:tcW w:w="9016" w:type="dxa"/>
          </w:tcPr>
          <w:p w14:paraId="763721CA" w14:textId="551857DA" w:rsidR="0065177F" w:rsidRDefault="00F54FD5" w:rsidP="00D301B9">
            <w:pPr>
              <w:rPr>
                <w:sz w:val="20"/>
              </w:rPr>
            </w:pPr>
            <w:r>
              <w:rPr>
                <w:sz w:val="20"/>
              </w:rPr>
              <w:t xml:space="preserve">With an average share of 30% of electricity consumption coming from renewables (52 </w:t>
            </w:r>
            <w:proofErr w:type="spellStart"/>
            <w:r>
              <w:rPr>
                <w:sz w:val="20"/>
              </w:rPr>
              <w:t>TWh</w:t>
            </w:r>
            <w:proofErr w:type="spellEnd"/>
            <w:r>
              <w:rPr>
                <w:sz w:val="20"/>
              </w:rPr>
              <w:t xml:space="preserve">/year of a total of 171 </w:t>
            </w:r>
            <w:proofErr w:type="spellStart"/>
            <w:r>
              <w:rPr>
                <w:sz w:val="20"/>
              </w:rPr>
              <w:t>TWh</w:t>
            </w:r>
            <w:proofErr w:type="spellEnd"/>
            <w:r>
              <w:rPr>
                <w:sz w:val="20"/>
              </w:rPr>
              <w:t xml:space="preserve">/year), RE100 members </w:t>
            </w:r>
            <w:r w:rsidR="000F557B">
              <w:rPr>
                <w:sz w:val="20"/>
              </w:rPr>
              <w:t xml:space="preserve">are directly contributing to renewable grid capacity worldwide and are consequently </w:t>
            </w:r>
            <w:r w:rsidR="00A34070">
              <w:rPr>
                <w:sz w:val="20"/>
              </w:rPr>
              <w:t>helping drive the clean energy transition</w:t>
            </w:r>
            <w:r w:rsidR="00DF4FC6">
              <w:rPr>
                <w:sz w:val="20"/>
              </w:rPr>
              <w:t xml:space="preserve"> and thus emissions reductions.</w:t>
            </w:r>
            <w:r w:rsidR="00DE1F9F">
              <w:rPr>
                <w:sz w:val="20"/>
              </w:rPr>
              <w:t xml:space="preserve"> Their demand for renewable electricity is further driving down the cost of renewables, helping more businesses to translate </w:t>
            </w:r>
            <w:r w:rsidR="00413BB9">
              <w:rPr>
                <w:sz w:val="20"/>
              </w:rPr>
              <w:t xml:space="preserve">their </w:t>
            </w:r>
            <w:r w:rsidR="00DE1F9F">
              <w:rPr>
                <w:sz w:val="20"/>
              </w:rPr>
              <w:t>commitments into tangible investments.</w:t>
            </w:r>
          </w:p>
          <w:p w14:paraId="0691CAC4" w14:textId="77777777" w:rsidR="0065177F" w:rsidRDefault="0065177F" w:rsidP="00D301B9">
            <w:pPr>
              <w:rPr>
                <w:sz w:val="20"/>
              </w:rPr>
            </w:pPr>
          </w:p>
          <w:p w14:paraId="71172A59" w14:textId="35D09A9F" w:rsidR="00CF2765" w:rsidRPr="009A6F7C" w:rsidRDefault="00CF2765" w:rsidP="00D301B9">
            <w:pPr>
              <w:rPr>
                <w:sz w:val="20"/>
              </w:rPr>
            </w:pPr>
            <w:r>
              <w:rPr>
                <w:sz w:val="20"/>
              </w:rPr>
              <w:t xml:space="preserve">In financial terms, </w:t>
            </w:r>
            <w:r w:rsidR="0065177F">
              <w:rPr>
                <w:sz w:val="20"/>
              </w:rPr>
              <w:t xml:space="preserve">RE100 members have a combined global revenue of over US$2.75 trillion, bringing a vast new source of capital and finance for renewable energy projects. RE100 aims to ensure this new opportunity is recognised by policymakers. </w:t>
            </w:r>
            <w:r w:rsidR="008F7225">
              <w:rPr>
                <w:sz w:val="20"/>
              </w:rPr>
              <w:t xml:space="preserve">A recent report by Bloomberg New Energy Finance </w:t>
            </w:r>
            <w:r w:rsidR="00A97A71">
              <w:rPr>
                <w:sz w:val="20"/>
              </w:rPr>
              <w:t>showed that RE100 members will catalyse US$94 billion in renewable electricity investment by 2030, adding up to 87 gigawatts of wind and solar energy to the grid.</w:t>
            </w:r>
          </w:p>
        </w:tc>
      </w:tr>
    </w:tbl>
    <w:p w14:paraId="15FF24A9" w14:textId="613127D0" w:rsidR="008E4FFA" w:rsidRDefault="008E4FFA" w:rsidP="001D66AE">
      <w:pPr>
        <w:rPr>
          <w:rFonts w:asciiTheme="minorHAnsi" w:hAnsiTheme="minorHAnsi"/>
          <w:b/>
          <w:sz w:val="24"/>
          <w:szCs w:val="24"/>
        </w:rPr>
      </w:pPr>
    </w:p>
    <w:p w14:paraId="35D146CE" w14:textId="77777777" w:rsidR="008E4FFA" w:rsidRDefault="008E4FFA">
      <w:pPr>
        <w:tabs>
          <w:tab w:val="clear" w:pos="709"/>
          <w:tab w:val="clear" w:pos="5245"/>
        </w:tabs>
        <w:spacing w:after="200" w:line="276" w:lineRule="auto"/>
        <w:rPr>
          <w:rFonts w:asciiTheme="minorHAnsi" w:hAnsiTheme="minorHAnsi"/>
          <w:b/>
          <w:sz w:val="24"/>
          <w:szCs w:val="24"/>
        </w:rPr>
      </w:pPr>
      <w:r>
        <w:rPr>
          <w:rFonts w:asciiTheme="minorHAnsi" w:hAnsiTheme="minorHAnsi"/>
          <w:b/>
          <w:sz w:val="24"/>
          <w:szCs w:val="24"/>
        </w:rPr>
        <w:br w:type="page"/>
      </w:r>
    </w:p>
    <w:p w14:paraId="38962A6C" w14:textId="77777777" w:rsidR="008E4FFA" w:rsidRPr="00A318EB" w:rsidRDefault="008E4FFA" w:rsidP="008E4FFA">
      <w:pPr>
        <w:pStyle w:val="NormalWeb"/>
        <w:spacing w:before="0" w:beforeAutospacing="0" w:after="0" w:afterAutospacing="0" w:line="292" w:lineRule="atLeast"/>
        <w:rPr>
          <w:rFonts w:asciiTheme="minorHAnsi" w:hAnsiTheme="minorHAnsi"/>
          <w:sz w:val="22"/>
          <w:szCs w:val="22"/>
          <w:lang w:val="en-GB"/>
        </w:rPr>
      </w:pPr>
    </w:p>
    <w:p w14:paraId="73E6460D" w14:textId="77777777" w:rsidR="008E4FFA" w:rsidRPr="00A318EB" w:rsidRDefault="008E4FFA" w:rsidP="008E4FFA">
      <w:pPr>
        <w:jc w:val="center"/>
        <w:rPr>
          <w:rFonts w:asciiTheme="minorHAnsi" w:hAnsiTheme="minorHAnsi"/>
          <w:b/>
          <w:sz w:val="32"/>
          <w:szCs w:val="32"/>
        </w:rPr>
      </w:pPr>
      <w:r w:rsidRPr="00A318EB">
        <w:rPr>
          <w:rFonts w:asciiTheme="minorHAnsi" w:hAnsiTheme="minorHAnsi"/>
          <w:b/>
          <w:sz w:val="32"/>
          <w:szCs w:val="32"/>
        </w:rPr>
        <w:t xml:space="preserve">Template for non-Party stakeholders’ inputs </w:t>
      </w:r>
    </w:p>
    <w:p w14:paraId="641A523D" w14:textId="77777777" w:rsidR="008E4FFA" w:rsidRDefault="008E4FFA" w:rsidP="008E4FFA">
      <w:pPr>
        <w:jc w:val="center"/>
        <w:rPr>
          <w:rFonts w:asciiTheme="minorHAnsi" w:hAnsiTheme="minorHAnsi"/>
          <w:b/>
          <w:sz w:val="32"/>
          <w:szCs w:val="32"/>
        </w:rPr>
      </w:pPr>
      <w:r w:rsidRPr="00A318EB">
        <w:rPr>
          <w:rFonts w:asciiTheme="minorHAnsi" w:hAnsiTheme="minorHAnsi"/>
          <w:b/>
          <w:sz w:val="32"/>
          <w:szCs w:val="32"/>
        </w:rPr>
        <w:t xml:space="preserve">for the </w:t>
      </w:r>
      <w:proofErr w:type="spellStart"/>
      <w:r w:rsidRPr="00A318EB">
        <w:rPr>
          <w:rFonts w:asciiTheme="minorHAnsi" w:hAnsiTheme="minorHAnsi"/>
          <w:b/>
          <w:sz w:val="32"/>
          <w:szCs w:val="32"/>
        </w:rPr>
        <w:t>Talanoa</w:t>
      </w:r>
      <w:proofErr w:type="spellEnd"/>
      <w:r w:rsidRPr="00A318EB">
        <w:rPr>
          <w:rFonts w:asciiTheme="minorHAnsi" w:hAnsiTheme="minorHAnsi"/>
          <w:b/>
          <w:sz w:val="32"/>
          <w:szCs w:val="32"/>
        </w:rPr>
        <w:t xml:space="preserve"> Dialogue </w:t>
      </w:r>
    </w:p>
    <w:p w14:paraId="60D1CF31" w14:textId="77777777" w:rsidR="008E4FFA" w:rsidRPr="00A318EB" w:rsidRDefault="008E4FFA" w:rsidP="008E4FFA">
      <w:pPr>
        <w:jc w:val="center"/>
        <w:rPr>
          <w:rFonts w:asciiTheme="minorHAnsi" w:hAnsiTheme="minorHAnsi"/>
          <w:b/>
          <w:sz w:val="24"/>
          <w:szCs w:val="24"/>
        </w:rPr>
      </w:pPr>
      <w:r>
        <w:rPr>
          <w:rFonts w:asciiTheme="minorHAnsi" w:hAnsiTheme="minorHAnsi"/>
          <w:sz w:val="32"/>
          <w:szCs w:val="32"/>
        </w:rPr>
        <w:t>Question 2</w:t>
      </w:r>
      <w:r w:rsidRPr="00AA4B66">
        <w:rPr>
          <w:rFonts w:asciiTheme="minorHAnsi" w:hAnsiTheme="minorHAnsi"/>
          <w:sz w:val="32"/>
          <w:szCs w:val="32"/>
        </w:rPr>
        <w:t xml:space="preserve"> - </w:t>
      </w:r>
      <w:r w:rsidRPr="000F44AD">
        <w:rPr>
          <w:rFonts w:asciiTheme="minorHAnsi" w:hAnsiTheme="minorHAnsi"/>
          <w:sz w:val="32"/>
          <w:szCs w:val="32"/>
        </w:rPr>
        <w:t>Where do we want to go?</w:t>
      </w:r>
    </w:p>
    <w:p w14:paraId="6C066D41" w14:textId="77777777" w:rsidR="008E4FFA" w:rsidRDefault="008E4FFA" w:rsidP="008E4FFA">
      <w:pPr>
        <w:rPr>
          <w:rFonts w:asciiTheme="minorHAnsi" w:hAnsiTheme="minorHAnsi"/>
          <w:b/>
          <w:sz w:val="32"/>
          <w:szCs w:val="32"/>
        </w:rPr>
      </w:pPr>
    </w:p>
    <w:p w14:paraId="4D9A4A61" w14:textId="77777777" w:rsidR="008E4FFA" w:rsidRDefault="008E4FFA" w:rsidP="008E4FFA">
      <w:pPr>
        <w:tabs>
          <w:tab w:val="left" w:pos="4111"/>
        </w:tabs>
        <w:rPr>
          <w:rFonts w:asciiTheme="minorHAnsi" w:hAnsiTheme="minorHAnsi"/>
          <w:i/>
          <w:sz w:val="20"/>
        </w:rPr>
      </w:pPr>
      <w:r>
        <w:rPr>
          <w:rFonts w:asciiTheme="minorHAnsi" w:hAnsiTheme="minorHAnsi"/>
          <w:i/>
          <w:sz w:val="20"/>
        </w:rPr>
        <w:t>This template is meant to guide non-Party stakeholders (</w:t>
      </w:r>
      <w:r w:rsidRPr="00A318EB">
        <w:rPr>
          <w:rFonts w:asciiTheme="minorHAnsi" w:hAnsiTheme="minorHAnsi"/>
          <w:i/>
          <w:sz w:val="20"/>
        </w:rPr>
        <w:t>organization(s), coalition(s), initiative(s) and/or sector</w:t>
      </w:r>
      <w:r>
        <w:rPr>
          <w:rFonts w:asciiTheme="minorHAnsi" w:hAnsiTheme="minorHAnsi"/>
          <w:i/>
          <w:sz w:val="20"/>
        </w:rPr>
        <w:t xml:space="preserve">(s) etc.) in providing inputs that are relevant and impactful to the </w:t>
      </w:r>
      <w:proofErr w:type="spellStart"/>
      <w:r>
        <w:rPr>
          <w:rFonts w:asciiTheme="minorHAnsi" w:hAnsiTheme="minorHAnsi"/>
          <w:i/>
          <w:sz w:val="20"/>
        </w:rPr>
        <w:t>Talanoa</w:t>
      </w:r>
      <w:proofErr w:type="spellEnd"/>
      <w:r>
        <w:rPr>
          <w:rFonts w:asciiTheme="minorHAnsi" w:hAnsiTheme="minorHAnsi"/>
          <w:i/>
          <w:sz w:val="20"/>
        </w:rPr>
        <w:t xml:space="preserve"> Dialogue process. Using such the template is not mandatory, however, the High-level Champions encourage non-Party stakeholders to use such a structure to facilitate capturing and highlighting the key messages across the three questions.</w:t>
      </w:r>
    </w:p>
    <w:p w14:paraId="33243724" w14:textId="77777777" w:rsidR="008E4FFA" w:rsidRPr="00A318EB" w:rsidRDefault="008E4FFA" w:rsidP="008E4FFA">
      <w:pPr>
        <w:rPr>
          <w:rFonts w:asciiTheme="minorHAnsi" w:hAnsiTheme="minorHAnsi"/>
          <w:b/>
          <w:sz w:val="24"/>
          <w:szCs w:val="24"/>
        </w:rPr>
      </w:pPr>
    </w:p>
    <w:p w14:paraId="0F6439FF" w14:textId="77777777" w:rsidR="008E4FFA" w:rsidRPr="00A318EB" w:rsidRDefault="008E4FFA" w:rsidP="008E4FFA">
      <w:pPr>
        <w:rPr>
          <w:rFonts w:asciiTheme="minorHAnsi" w:hAnsiTheme="minorHAnsi"/>
          <w:b/>
          <w:sz w:val="24"/>
          <w:szCs w:val="24"/>
        </w:rPr>
      </w:pPr>
      <w:r w:rsidRPr="00A318EB">
        <w:rPr>
          <w:rFonts w:asciiTheme="minorHAnsi" w:hAnsiTheme="minorHAnsi"/>
          <w:b/>
          <w:sz w:val="24"/>
          <w:szCs w:val="24"/>
        </w:rPr>
        <w:t>Where do we want to go?</w:t>
      </w:r>
    </w:p>
    <w:p w14:paraId="13119DEB" w14:textId="77777777" w:rsidR="008E4FFA" w:rsidRPr="00A318EB" w:rsidRDefault="008E4FFA" w:rsidP="008E4FFA">
      <w:pPr>
        <w:rPr>
          <w:rFonts w:asciiTheme="minorHAnsi" w:hAnsiTheme="minorHAnsi"/>
          <w:i/>
          <w:sz w:val="20"/>
        </w:rPr>
      </w:pPr>
      <w:r w:rsidRPr="00A318EB">
        <w:rPr>
          <w:rFonts w:asciiTheme="minorHAnsi" w:hAnsiTheme="minorHAnsi"/>
          <w:i/>
          <w:sz w:val="20"/>
        </w:rPr>
        <w:t>Vision of the future for your organization</w:t>
      </w:r>
      <w:r>
        <w:rPr>
          <w:rFonts w:asciiTheme="minorHAnsi" w:hAnsiTheme="minorHAnsi"/>
          <w:i/>
          <w:sz w:val="20"/>
        </w:rPr>
        <w:t xml:space="preserve"> </w:t>
      </w:r>
      <w:r w:rsidRPr="00A318EB">
        <w:rPr>
          <w:rFonts w:asciiTheme="minorHAnsi" w:hAnsiTheme="minorHAnsi"/>
          <w:i/>
          <w:sz w:val="20"/>
        </w:rPr>
        <w:t xml:space="preserve">and/or sector </w:t>
      </w:r>
      <w:r>
        <w:rPr>
          <w:rFonts w:asciiTheme="minorHAnsi" w:hAnsiTheme="minorHAnsi"/>
          <w:i/>
          <w:sz w:val="20"/>
        </w:rPr>
        <w:t xml:space="preserve">in terms of its possible role in achieving </w:t>
      </w:r>
      <w:r w:rsidRPr="00A318EB">
        <w:rPr>
          <w:rFonts w:asciiTheme="minorHAnsi" w:hAnsiTheme="minorHAnsi"/>
          <w:i/>
          <w:sz w:val="20"/>
        </w:rPr>
        <w:t>the 1.5/2 degrees’ goal</w:t>
      </w:r>
      <w:r>
        <w:rPr>
          <w:rFonts w:asciiTheme="minorHAnsi" w:hAnsiTheme="minorHAnsi"/>
          <w:i/>
          <w:sz w:val="20"/>
        </w:rPr>
        <w:t xml:space="preserve"> and a net-zero emission world by this mid-century</w:t>
      </w:r>
      <w:r w:rsidRPr="00A318EB">
        <w:rPr>
          <w:rFonts w:asciiTheme="minorHAnsi" w:hAnsiTheme="minorHAnsi"/>
          <w:i/>
          <w:sz w:val="20"/>
        </w:rPr>
        <w:t xml:space="preserve"> [Maximum 300 words]</w:t>
      </w:r>
    </w:p>
    <w:tbl>
      <w:tblPr>
        <w:tblStyle w:val="TableGrid"/>
        <w:tblW w:w="0" w:type="auto"/>
        <w:tblLook w:val="04A0" w:firstRow="1" w:lastRow="0" w:firstColumn="1" w:lastColumn="0" w:noHBand="0" w:noVBand="1"/>
      </w:tblPr>
      <w:tblGrid>
        <w:gridCol w:w="9016"/>
      </w:tblGrid>
      <w:tr w:rsidR="008E4FFA" w:rsidRPr="00A318EB" w14:paraId="45BDBFFE" w14:textId="77777777" w:rsidTr="00F04241">
        <w:tc>
          <w:tcPr>
            <w:tcW w:w="9016" w:type="dxa"/>
          </w:tcPr>
          <w:p w14:paraId="25E3EF47" w14:textId="77777777" w:rsidR="008E4FFA" w:rsidRDefault="008E4FFA" w:rsidP="00F04241">
            <w:pPr>
              <w:rPr>
                <w:sz w:val="20"/>
              </w:rPr>
            </w:pPr>
            <w:r>
              <w:rPr>
                <w:sz w:val="20"/>
              </w:rPr>
              <w:t xml:space="preserve">RE100’s vision is the full decarbonisation of the power sector between 2040 and 2050 to achieve a world of under 2°C of global warming and greater prosperity for all, without delay. </w:t>
            </w:r>
          </w:p>
          <w:p w14:paraId="345F4565" w14:textId="77777777" w:rsidR="008E4FFA" w:rsidRDefault="008E4FFA" w:rsidP="00F04241">
            <w:pPr>
              <w:rPr>
                <w:sz w:val="20"/>
              </w:rPr>
            </w:pPr>
          </w:p>
          <w:p w14:paraId="45F5FBEC" w14:textId="77777777" w:rsidR="008E4FFA" w:rsidRDefault="008E4FFA" w:rsidP="00F04241">
            <w:pPr>
              <w:rPr>
                <w:sz w:val="20"/>
              </w:rPr>
            </w:pPr>
            <w:r>
              <w:rPr>
                <w:sz w:val="20"/>
              </w:rPr>
              <w:t>RE100 envisions a future clean energy landscape where renewables are the mainstream energy of choice for all businesses globally, and where businesses are active participants in the energy markets and policy conversations. The commitments of 130+ corporates demonstrate that 100% renewable power is not only possible but it makes business sense. A recent RE100 publication showed that 40.5% of members reported that switching to renewable electricity was cost competitive or resulted in cost savings on their energy bills.</w:t>
            </w:r>
          </w:p>
          <w:p w14:paraId="08CE6A79" w14:textId="77777777" w:rsidR="008E4FFA" w:rsidRDefault="008E4FFA" w:rsidP="00F04241">
            <w:pPr>
              <w:rPr>
                <w:sz w:val="20"/>
              </w:rPr>
            </w:pPr>
          </w:p>
          <w:p w14:paraId="71D76059" w14:textId="77777777" w:rsidR="008E4FFA" w:rsidRDefault="008E4FFA" w:rsidP="00F04241">
            <w:pPr>
              <w:rPr>
                <w:sz w:val="20"/>
              </w:rPr>
            </w:pPr>
            <w:r>
              <w:rPr>
                <w:sz w:val="20"/>
              </w:rPr>
              <w:t xml:space="preserve">The private sector accounts for around half of the world’s electricity consumption. Switching this demand to renewables will accelerate the transformation of the global energy market and aid the transition to a low carbon economy. Bringing together multinational companies with global operations, the potential to do so truly spans across continents, even in regions where renewable energy is at a less mature stage. </w:t>
            </w:r>
          </w:p>
          <w:p w14:paraId="6E981F9B" w14:textId="77777777" w:rsidR="008E4FFA" w:rsidRDefault="008E4FFA" w:rsidP="00F04241">
            <w:pPr>
              <w:rPr>
                <w:sz w:val="20"/>
              </w:rPr>
            </w:pPr>
          </w:p>
          <w:p w14:paraId="5D015F17" w14:textId="77777777" w:rsidR="008E4FFA" w:rsidRDefault="008E4FFA" w:rsidP="00F04241">
            <w:pPr>
              <w:rPr>
                <w:sz w:val="20"/>
              </w:rPr>
            </w:pPr>
            <w:r>
              <w:rPr>
                <w:sz w:val="20"/>
              </w:rPr>
              <w:t>RE100 believes that governments and corporates can and must be allies in order to reach their clean energy goals. By leveraging the voice of its members, RE100 aims to work with policymakers to remove barriers to corporate renewable electricity sourcing. By doing so, the campaign hopes to enable its members to not only reach their goals, but to reach them sooner and with the most impactful electricity sourcing strategy.</w:t>
            </w:r>
          </w:p>
          <w:p w14:paraId="18A9D0D8" w14:textId="77777777" w:rsidR="008E4FFA" w:rsidRPr="00C55451" w:rsidRDefault="008E4FFA" w:rsidP="00F04241">
            <w:pPr>
              <w:rPr>
                <w:sz w:val="20"/>
              </w:rPr>
            </w:pPr>
          </w:p>
        </w:tc>
      </w:tr>
    </w:tbl>
    <w:p w14:paraId="1B7B3EBB" w14:textId="77777777" w:rsidR="008E4FFA" w:rsidRPr="00A318EB" w:rsidRDefault="008E4FFA" w:rsidP="008E4FFA">
      <w:pPr>
        <w:rPr>
          <w:rFonts w:asciiTheme="minorHAnsi" w:hAnsiTheme="minorHAnsi"/>
          <w:i/>
          <w:sz w:val="20"/>
        </w:rPr>
      </w:pPr>
    </w:p>
    <w:p w14:paraId="62223C09" w14:textId="77777777" w:rsidR="008E4FFA" w:rsidRPr="00A318EB" w:rsidRDefault="008E4FFA" w:rsidP="008E4FFA">
      <w:pPr>
        <w:rPr>
          <w:rFonts w:asciiTheme="minorHAnsi" w:hAnsiTheme="minorHAnsi"/>
          <w:i/>
          <w:sz w:val="20"/>
        </w:rPr>
      </w:pPr>
      <w:r>
        <w:rPr>
          <w:rFonts w:asciiTheme="minorHAnsi" w:hAnsiTheme="minorHAnsi"/>
          <w:i/>
          <w:sz w:val="20"/>
        </w:rPr>
        <w:t>Possible and potential n</w:t>
      </w:r>
      <w:r w:rsidRPr="00A318EB">
        <w:rPr>
          <w:rFonts w:asciiTheme="minorHAnsi" w:hAnsiTheme="minorHAnsi"/>
          <w:i/>
          <w:sz w:val="20"/>
        </w:rPr>
        <w:t>ew commitments</w:t>
      </w:r>
      <w:r>
        <w:rPr>
          <w:rFonts w:asciiTheme="minorHAnsi" w:hAnsiTheme="minorHAnsi"/>
          <w:i/>
          <w:sz w:val="20"/>
        </w:rPr>
        <w:t xml:space="preserve"> </w:t>
      </w:r>
      <w:r w:rsidRPr="00A318EB">
        <w:rPr>
          <w:rFonts w:asciiTheme="minorHAnsi" w:hAnsiTheme="minorHAnsi"/>
          <w:i/>
          <w:sz w:val="20"/>
        </w:rPr>
        <w:t xml:space="preserve">and pledges of </w:t>
      </w:r>
      <w:r>
        <w:rPr>
          <w:rFonts w:asciiTheme="minorHAnsi" w:hAnsiTheme="minorHAnsi"/>
          <w:i/>
          <w:sz w:val="20"/>
        </w:rPr>
        <w:t xml:space="preserve">to achieve </w:t>
      </w:r>
      <w:r w:rsidRPr="00A318EB">
        <w:rPr>
          <w:rFonts w:asciiTheme="minorHAnsi" w:hAnsiTheme="minorHAnsi"/>
          <w:i/>
          <w:sz w:val="20"/>
        </w:rPr>
        <w:t>the 1.5/2 degrees’ goal</w:t>
      </w:r>
      <w:r>
        <w:rPr>
          <w:rFonts w:asciiTheme="minorHAnsi" w:hAnsiTheme="minorHAnsi"/>
          <w:i/>
          <w:sz w:val="20"/>
        </w:rPr>
        <w:t xml:space="preserve"> and a net-zero emission world by this mid-century</w:t>
      </w:r>
      <w:r w:rsidRPr="00A318EB">
        <w:rPr>
          <w:rFonts w:asciiTheme="minorHAnsi" w:hAnsiTheme="minorHAnsi"/>
          <w:i/>
          <w:sz w:val="20"/>
        </w:rPr>
        <w:t xml:space="preserve"> [Maximum 300 words]</w:t>
      </w:r>
    </w:p>
    <w:tbl>
      <w:tblPr>
        <w:tblStyle w:val="TableGrid"/>
        <w:tblW w:w="0" w:type="auto"/>
        <w:tblLook w:val="04A0" w:firstRow="1" w:lastRow="0" w:firstColumn="1" w:lastColumn="0" w:noHBand="0" w:noVBand="1"/>
      </w:tblPr>
      <w:tblGrid>
        <w:gridCol w:w="9016"/>
      </w:tblGrid>
      <w:tr w:rsidR="008E4FFA" w:rsidRPr="00A318EB" w14:paraId="4C0F627B" w14:textId="77777777" w:rsidTr="00F04241">
        <w:tc>
          <w:tcPr>
            <w:tcW w:w="9016" w:type="dxa"/>
          </w:tcPr>
          <w:p w14:paraId="566616A3" w14:textId="77777777" w:rsidR="008E4FFA" w:rsidRPr="00395DE1" w:rsidRDefault="008E4FFA" w:rsidP="00F04241">
            <w:pPr>
              <w:rPr>
                <w:sz w:val="20"/>
              </w:rPr>
            </w:pPr>
            <w:r>
              <w:rPr>
                <w:sz w:val="20"/>
              </w:rPr>
              <w:t xml:space="preserve">RE100 aims to continue to increase its membership and at a faster pace, growing the movement for the decarbonisation of the private sector’s power consumption. </w:t>
            </w:r>
          </w:p>
          <w:p w14:paraId="257F3E3D" w14:textId="77777777" w:rsidR="008E4FFA" w:rsidRDefault="008E4FFA" w:rsidP="00F04241">
            <w:pPr>
              <w:rPr>
                <w:sz w:val="20"/>
              </w:rPr>
            </w:pPr>
          </w:p>
          <w:p w14:paraId="1D836787" w14:textId="77777777" w:rsidR="008E4FFA" w:rsidRDefault="008E4FFA" w:rsidP="00F04241">
            <w:pPr>
              <w:rPr>
                <w:sz w:val="20"/>
              </w:rPr>
            </w:pPr>
            <w:r>
              <w:rPr>
                <w:sz w:val="20"/>
              </w:rPr>
              <w:t>Beyond making the RE100 commitment, companies are increasing their ambition and positive impact in several ways. Firstly, by selecting more and more renewable electricity sourcing strategies that directly contribute to renewable capacity added to the grid. Secondly, RE100 members are working to influence their major stakeholders - their peers, their suppliers, their consumers, policymakers, etc. – to accelerate the uptake of renewable power across the value chain.</w:t>
            </w:r>
          </w:p>
          <w:p w14:paraId="552776D1" w14:textId="77777777" w:rsidR="008E4FFA" w:rsidRDefault="008E4FFA" w:rsidP="00F04241">
            <w:pPr>
              <w:rPr>
                <w:sz w:val="20"/>
              </w:rPr>
            </w:pPr>
          </w:p>
          <w:p w14:paraId="6606026B" w14:textId="77777777" w:rsidR="008E4FFA" w:rsidRPr="00A76B19" w:rsidRDefault="008E4FFA" w:rsidP="00F04241">
            <w:pPr>
              <w:rPr>
                <w:sz w:val="20"/>
              </w:rPr>
            </w:pPr>
            <w:r>
              <w:rPr>
                <w:sz w:val="20"/>
              </w:rPr>
              <w:t>Beyond RE100, companies are looking at broader decarbonisation plans. More and more of them are joining The Climate Group’s EV100 (electric vehicles) and EP100 (energy productivity) campaigns. By doing so, they broaden the scope of their low carbon goals – helping to decarbonise all areas of the energy system.</w:t>
            </w:r>
          </w:p>
          <w:p w14:paraId="0F97C28D" w14:textId="77777777" w:rsidR="008E4FFA" w:rsidRPr="00A318EB" w:rsidRDefault="008E4FFA" w:rsidP="00F04241">
            <w:pPr>
              <w:rPr>
                <w:i/>
                <w:sz w:val="20"/>
              </w:rPr>
            </w:pPr>
          </w:p>
        </w:tc>
      </w:tr>
    </w:tbl>
    <w:p w14:paraId="0541D890" w14:textId="77777777" w:rsidR="008E4FFA" w:rsidRPr="00A318EB" w:rsidRDefault="008E4FFA" w:rsidP="008E4FFA">
      <w:pPr>
        <w:rPr>
          <w:rFonts w:asciiTheme="minorHAnsi" w:hAnsiTheme="minorHAnsi"/>
          <w:i/>
          <w:sz w:val="20"/>
        </w:rPr>
      </w:pPr>
    </w:p>
    <w:p w14:paraId="4A1DB18D" w14:textId="77777777" w:rsidR="008E4FFA" w:rsidRPr="00A318EB" w:rsidRDefault="008E4FFA" w:rsidP="008E4FFA">
      <w:pPr>
        <w:rPr>
          <w:rFonts w:asciiTheme="minorHAnsi" w:hAnsiTheme="minorHAnsi"/>
          <w:i/>
          <w:sz w:val="20"/>
        </w:rPr>
      </w:pPr>
      <w:r>
        <w:rPr>
          <w:rFonts w:asciiTheme="minorHAnsi" w:hAnsiTheme="minorHAnsi"/>
          <w:i/>
          <w:sz w:val="20"/>
        </w:rPr>
        <w:t>Foreseen positive i</w:t>
      </w:r>
      <w:r w:rsidRPr="00A318EB">
        <w:rPr>
          <w:rFonts w:asciiTheme="minorHAnsi" w:hAnsiTheme="minorHAnsi"/>
          <w:i/>
          <w:sz w:val="20"/>
        </w:rPr>
        <w:t>mpact of these commitments once they are realized</w:t>
      </w:r>
      <w:r>
        <w:rPr>
          <w:rFonts w:asciiTheme="minorHAnsi" w:hAnsiTheme="minorHAnsi"/>
          <w:i/>
          <w:sz w:val="20"/>
        </w:rPr>
        <w:t>, including contributions to the sustainable development agenda</w:t>
      </w:r>
      <w:r w:rsidRPr="00A318EB">
        <w:rPr>
          <w:rFonts w:asciiTheme="minorHAnsi" w:hAnsiTheme="minorHAnsi"/>
          <w:i/>
          <w:sz w:val="20"/>
        </w:rPr>
        <w:t xml:space="preserve"> [Maximum 300 words]</w:t>
      </w:r>
    </w:p>
    <w:tbl>
      <w:tblPr>
        <w:tblStyle w:val="TableGrid"/>
        <w:tblW w:w="0" w:type="auto"/>
        <w:tblLook w:val="04A0" w:firstRow="1" w:lastRow="0" w:firstColumn="1" w:lastColumn="0" w:noHBand="0" w:noVBand="1"/>
      </w:tblPr>
      <w:tblGrid>
        <w:gridCol w:w="9016"/>
      </w:tblGrid>
      <w:tr w:rsidR="008E4FFA" w:rsidRPr="00A318EB" w14:paraId="78F23856" w14:textId="77777777" w:rsidTr="00F04241">
        <w:tc>
          <w:tcPr>
            <w:tcW w:w="9016" w:type="dxa"/>
          </w:tcPr>
          <w:p w14:paraId="703152A0" w14:textId="77777777" w:rsidR="008E4FFA" w:rsidRDefault="008E4FFA" w:rsidP="00F04241">
            <w:pPr>
              <w:rPr>
                <w:sz w:val="20"/>
              </w:rPr>
            </w:pPr>
            <w:r>
              <w:rPr>
                <w:sz w:val="20"/>
              </w:rPr>
              <w:t>RE</w:t>
            </w:r>
            <w:r w:rsidRPr="00C04F61">
              <w:rPr>
                <w:sz w:val="20"/>
              </w:rPr>
              <w:t>100</w:t>
            </w:r>
            <w:r>
              <w:rPr>
                <w:sz w:val="20"/>
              </w:rPr>
              <w:t>’s</w:t>
            </w:r>
            <w:r w:rsidRPr="00C04F61">
              <w:rPr>
                <w:sz w:val="20"/>
              </w:rPr>
              <w:t xml:space="preserve"> analysis shows that getting all businesses to source 100% of their electricity from renewable sources would enable to reduce global CO</w:t>
            </w:r>
            <w:r w:rsidRPr="00C04F61">
              <w:rPr>
                <w:sz w:val="20"/>
                <w:vertAlign w:val="subscript"/>
              </w:rPr>
              <w:t>2</w:t>
            </w:r>
            <w:r w:rsidRPr="00C04F61">
              <w:rPr>
                <w:sz w:val="20"/>
              </w:rPr>
              <w:t xml:space="preserve"> emissions by 15%, contributing significantly to the objectives of the Paris Agreement</w:t>
            </w:r>
            <w:r>
              <w:rPr>
                <w:sz w:val="20"/>
              </w:rPr>
              <w:t xml:space="preserve"> (</w:t>
            </w:r>
            <w:r>
              <w:rPr>
                <w:b/>
                <w:sz w:val="20"/>
              </w:rPr>
              <w:t>Sustainable Development goal 13</w:t>
            </w:r>
            <w:r>
              <w:rPr>
                <w:sz w:val="20"/>
              </w:rPr>
              <w:t>). Analysis by Bloomberg New Energy Finance estimates that current RE100 members could be adding up to 87GW of wind and solar capacity by 2030 – while the number of companies joining the campaign keeps growing.</w:t>
            </w:r>
          </w:p>
          <w:p w14:paraId="2F3BAD40" w14:textId="77777777" w:rsidR="008E4FFA" w:rsidRDefault="008E4FFA" w:rsidP="00F04241">
            <w:pPr>
              <w:rPr>
                <w:sz w:val="20"/>
              </w:rPr>
            </w:pPr>
          </w:p>
          <w:p w14:paraId="1F724419" w14:textId="77777777" w:rsidR="008E4FFA" w:rsidRDefault="008E4FFA" w:rsidP="00F04241">
            <w:pPr>
              <w:rPr>
                <w:sz w:val="20"/>
              </w:rPr>
            </w:pPr>
            <w:r>
              <w:rPr>
                <w:sz w:val="20"/>
              </w:rPr>
              <w:t xml:space="preserve">Companies are seeing more and more that those achieving those commitments are also beneficial from a business perspective, with the economics of renewable energy being a major driver of their commitments. In addition to resulting in potential cost savings, achieving 100% renewable electricity can also provide more control over one’s energy supply and better protection against fluctuating energy prices. </w:t>
            </w:r>
          </w:p>
          <w:p w14:paraId="7DAB305F" w14:textId="77777777" w:rsidR="008E4FFA" w:rsidRDefault="008E4FFA" w:rsidP="00F04241">
            <w:pPr>
              <w:rPr>
                <w:sz w:val="20"/>
              </w:rPr>
            </w:pPr>
          </w:p>
          <w:p w14:paraId="2B6B9CAE" w14:textId="77777777" w:rsidR="008E4FFA" w:rsidRDefault="008E4FFA" w:rsidP="00F04241">
            <w:pPr>
              <w:rPr>
                <w:sz w:val="20"/>
              </w:rPr>
            </w:pPr>
            <w:r>
              <w:rPr>
                <w:sz w:val="20"/>
              </w:rPr>
              <w:t>Finally, those commitments generate significant benefits relating to other Sustainable Development Goals:</w:t>
            </w:r>
          </w:p>
          <w:p w14:paraId="5A6695E7" w14:textId="77777777" w:rsidR="008E4FFA" w:rsidRDefault="008E4FFA" w:rsidP="00F04241">
            <w:pPr>
              <w:pStyle w:val="ListParagraph"/>
              <w:numPr>
                <w:ilvl w:val="0"/>
                <w:numId w:val="2"/>
              </w:numPr>
              <w:rPr>
                <w:rFonts w:ascii="Times New Roman" w:hAnsi="Times New Roman" w:cs="Times New Roman"/>
                <w:sz w:val="20"/>
              </w:rPr>
            </w:pPr>
            <w:r w:rsidRPr="00E765C8">
              <w:rPr>
                <w:rFonts w:ascii="Times New Roman" w:hAnsi="Times New Roman" w:cs="Times New Roman"/>
                <w:sz w:val="20"/>
                <w:u w:val="single"/>
              </w:rPr>
              <w:t>SDG 3 – Good Health and well-being for people:</w:t>
            </w:r>
            <w:r w:rsidRPr="00E765C8">
              <w:rPr>
                <w:rFonts w:ascii="Times New Roman" w:hAnsi="Times New Roman" w:cs="Times New Roman"/>
                <w:sz w:val="20"/>
              </w:rPr>
              <w:t xml:space="preserve"> RE100 members help to displace fossil fuel power generation that has massive impact on ambient air quality (ambient air pollution being responsible for 3 million deaths every year according to the World Health Organisation).</w:t>
            </w:r>
          </w:p>
          <w:p w14:paraId="2C919ED4" w14:textId="77777777" w:rsidR="008E4FFA" w:rsidRDefault="008E4FFA" w:rsidP="00F04241">
            <w:pPr>
              <w:pStyle w:val="ListParagraph"/>
              <w:numPr>
                <w:ilvl w:val="0"/>
                <w:numId w:val="2"/>
              </w:numPr>
              <w:rPr>
                <w:rFonts w:ascii="Times New Roman" w:hAnsi="Times New Roman" w:cs="Times New Roman"/>
                <w:sz w:val="20"/>
              </w:rPr>
            </w:pPr>
            <w:r w:rsidRPr="00E765C8">
              <w:rPr>
                <w:rFonts w:ascii="Times New Roman" w:hAnsi="Times New Roman" w:cs="Times New Roman"/>
                <w:sz w:val="20"/>
                <w:u w:val="single"/>
              </w:rPr>
              <w:t>SDG 7 – Affordable and clean energy:</w:t>
            </w:r>
            <w:r>
              <w:rPr>
                <w:rFonts w:ascii="Times New Roman" w:hAnsi="Times New Roman" w:cs="Times New Roman"/>
                <w:sz w:val="20"/>
              </w:rPr>
              <w:t xml:space="preserve"> Through procuring massive amounts of renewable electricity, companies help to bring the costs down of those technologies, making it easier and cheaper for everyone to access clean and affordable energy.</w:t>
            </w:r>
          </w:p>
          <w:p w14:paraId="6986F1AC" w14:textId="77777777" w:rsidR="008E4FFA" w:rsidRPr="000C016F" w:rsidRDefault="008E4FFA" w:rsidP="00F04241">
            <w:pPr>
              <w:pStyle w:val="ListParagraph"/>
              <w:numPr>
                <w:ilvl w:val="0"/>
                <w:numId w:val="2"/>
              </w:numPr>
              <w:rPr>
                <w:rFonts w:ascii="Times New Roman" w:hAnsi="Times New Roman" w:cs="Times New Roman"/>
                <w:sz w:val="20"/>
              </w:rPr>
            </w:pPr>
            <w:r>
              <w:rPr>
                <w:rFonts w:ascii="Times New Roman" w:hAnsi="Times New Roman" w:cs="Times New Roman"/>
                <w:sz w:val="20"/>
                <w:u w:val="single"/>
              </w:rPr>
              <w:t>SDG 8- Decent work and economic growth:</w:t>
            </w:r>
            <w:r>
              <w:rPr>
                <w:rFonts w:ascii="Times New Roman" w:hAnsi="Times New Roman" w:cs="Times New Roman"/>
                <w:sz w:val="20"/>
              </w:rPr>
              <w:t xml:space="preserve"> The renewable energy industry is rapidly creating hundreds of thousands of jobs around the World, with an estimated 9.8 million people working in renewable energy in 2016 (IRENA). A number of studies (including </w:t>
            </w:r>
            <w:hyperlink r:id="rId10" w:history="1">
              <w:r w:rsidRPr="00C20180">
                <w:rPr>
                  <w:rStyle w:val="Hyperlink"/>
                  <w:rFonts w:ascii="Times New Roman" w:hAnsi="Times New Roman" w:cs="Times New Roman"/>
                  <w:sz w:val="20"/>
                </w:rPr>
                <w:t>this one</w:t>
              </w:r>
            </w:hyperlink>
            <w:r>
              <w:rPr>
                <w:rFonts w:ascii="Times New Roman" w:hAnsi="Times New Roman" w:cs="Times New Roman"/>
                <w:sz w:val="20"/>
              </w:rPr>
              <w:t xml:space="preserve">) have highlighted that clean power is more jobs intensive than </w:t>
            </w:r>
            <w:r w:rsidRPr="00C20180">
              <w:rPr>
                <w:rFonts w:ascii="Times New Roman" w:hAnsi="Times New Roman" w:cs="Times New Roman"/>
                <w:sz w:val="20"/>
              </w:rPr>
              <w:t>traditional fossil fuel power generation.</w:t>
            </w:r>
          </w:p>
        </w:tc>
      </w:tr>
    </w:tbl>
    <w:p w14:paraId="7F6827CF" w14:textId="77777777" w:rsidR="008E4FFA" w:rsidRDefault="008E4FFA" w:rsidP="008E4FFA">
      <w:pPr>
        <w:rPr>
          <w:rFonts w:asciiTheme="minorHAnsi" w:hAnsiTheme="minorHAnsi"/>
          <w:b/>
          <w:sz w:val="24"/>
          <w:szCs w:val="24"/>
        </w:rPr>
      </w:pPr>
    </w:p>
    <w:p w14:paraId="45BF912C" w14:textId="59CC380B" w:rsidR="008E4FFA" w:rsidRDefault="008E4FFA">
      <w:pPr>
        <w:tabs>
          <w:tab w:val="clear" w:pos="709"/>
          <w:tab w:val="clear" w:pos="5245"/>
        </w:tabs>
        <w:spacing w:after="200" w:line="276" w:lineRule="auto"/>
        <w:rPr>
          <w:rFonts w:asciiTheme="minorHAnsi" w:hAnsiTheme="minorHAnsi"/>
          <w:b/>
          <w:sz w:val="24"/>
          <w:szCs w:val="24"/>
        </w:rPr>
      </w:pPr>
      <w:r>
        <w:rPr>
          <w:rFonts w:asciiTheme="minorHAnsi" w:hAnsiTheme="minorHAnsi"/>
          <w:b/>
          <w:sz w:val="24"/>
          <w:szCs w:val="24"/>
        </w:rPr>
        <w:br w:type="page"/>
      </w:r>
    </w:p>
    <w:p w14:paraId="46BE7AC9" w14:textId="77777777" w:rsidR="008E4FFA" w:rsidRPr="00A318EB" w:rsidRDefault="008E4FFA" w:rsidP="008E4FFA">
      <w:pPr>
        <w:pStyle w:val="NormalWeb"/>
        <w:spacing w:before="0" w:beforeAutospacing="0" w:after="0" w:afterAutospacing="0" w:line="292" w:lineRule="atLeast"/>
        <w:rPr>
          <w:rFonts w:asciiTheme="minorHAnsi" w:hAnsiTheme="minorHAnsi"/>
          <w:sz w:val="22"/>
          <w:szCs w:val="22"/>
          <w:lang w:val="en-GB"/>
        </w:rPr>
      </w:pPr>
    </w:p>
    <w:p w14:paraId="14794BC3" w14:textId="77777777" w:rsidR="008E4FFA" w:rsidRPr="00A318EB" w:rsidRDefault="008E4FFA" w:rsidP="008E4FFA">
      <w:pPr>
        <w:jc w:val="center"/>
        <w:rPr>
          <w:rFonts w:asciiTheme="minorHAnsi" w:hAnsiTheme="minorHAnsi"/>
          <w:b/>
          <w:sz w:val="32"/>
          <w:szCs w:val="32"/>
        </w:rPr>
      </w:pPr>
      <w:r w:rsidRPr="00A318EB">
        <w:rPr>
          <w:rFonts w:asciiTheme="minorHAnsi" w:hAnsiTheme="minorHAnsi"/>
          <w:b/>
          <w:sz w:val="32"/>
          <w:szCs w:val="32"/>
        </w:rPr>
        <w:t xml:space="preserve">Template for non-Party stakeholders’ inputs </w:t>
      </w:r>
    </w:p>
    <w:p w14:paraId="0C5C2A0C" w14:textId="77777777" w:rsidR="008E4FFA" w:rsidRDefault="008E4FFA" w:rsidP="008E4FFA">
      <w:pPr>
        <w:jc w:val="center"/>
        <w:rPr>
          <w:rFonts w:asciiTheme="minorHAnsi" w:hAnsiTheme="minorHAnsi"/>
          <w:b/>
          <w:sz w:val="32"/>
          <w:szCs w:val="32"/>
        </w:rPr>
      </w:pPr>
      <w:r w:rsidRPr="00A318EB">
        <w:rPr>
          <w:rFonts w:asciiTheme="minorHAnsi" w:hAnsiTheme="minorHAnsi"/>
          <w:b/>
          <w:sz w:val="32"/>
          <w:szCs w:val="32"/>
        </w:rPr>
        <w:t xml:space="preserve">for the </w:t>
      </w:r>
      <w:proofErr w:type="spellStart"/>
      <w:r w:rsidRPr="00A318EB">
        <w:rPr>
          <w:rFonts w:asciiTheme="minorHAnsi" w:hAnsiTheme="minorHAnsi"/>
          <w:b/>
          <w:sz w:val="32"/>
          <w:szCs w:val="32"/>
        </w:rPr>
        <w:t>Talanoa</w:t>
      </w:r>
      <w:proofErr w:type="spellEnd"/>
      <w:r w:rsidRPr="00A318EB">
        <w:rPr>
          <w:rFonts w:asciiTheme="minorHAnsi" w:hAnsiTheme="minorHAnsi"/>
          <w:b/>
          <w:sz w:val="32"/>
          <w:szCs w:val="32"/>
        </w:rPr>
        <w:t xml:space="preserve"> Dialogue </w:t>
      </w:r>
    </w:p>
    <w:p w14:paraId="46C5B64C" w14:textId="77777777" w:rsidR="008E4FFA" w:rsidRPr="00A318EB" w:rsidRDefault="008E4FFA" w:rsidP="008E4FFA">
      <w:pPr>
        <w:jc w:val="center"/>
        <w:rPr>
          <w:rFonts w:asciiTheme="minorHAnsi" w:hAnsiTheme="minorHAnsi"/>
          <w:b/>
          <w:sz w:val="24"/>
          <w:szCs w:val="24"/>
        </w:rPr>
      </w:pPr>
      <w:r>
        <w:rPr>
          <w:rFonts w:asciiTheme="minorHAnsi" w:hAnsiTheme="minorHAnsi"/>
          <w:sz w:val="32"/>
          <w:szCs w:val="32"/>
        </w:rPr>
        <w:t>Question 3</w:t>
      </w:r>
      <w:r w:rsidRPr="00AA4B66">
        <w:rPr>
          <w:rFonts w:asciiTheme="minorHAnsi" w:hAnsiTheme="minorHAnsi"/>
          <w:sz w:val="32"/>
          <w:szCs w:val="32"/>
        </w:rPr>
        <w:t xml:space="preserve"> - </w:t>
      </w:r>
      <w:r w:rsidRPr="00464883">
        <w:rPr>
          <w:rFonts w:asciiTheme="minorHAnsi" w:hAnsiTheme="minorHAnsi"/>
          <w:sz w:val="32"/>
          <w:szCs w:val="32"/>
        </w:rPr>
        <w:t>How do we get there?</w:t>
      </w:r>
    </w:p>
    <w:p w14:paraId="29EF5455" w14:textId="77777777" w:rsidR="008E4FFA" w:rsidRDefault="008E4FFA" w:rsidP="008E4FFA">
      <w:pPr>
        <w:rPr>
          <w:rFonts w:asciiTheme="minorHAnsi" w:hAnsiTheme="minorHAnsi"/>
          <w:b/>
          <w:sz w:val="32"/>
          <w:szCs w:val="32"/>
        </w:rPr>
      </w:pPr>
    </w:p>
    <w:p w14:paraId="5D8308BC" w14:textId="77777777" w:rsidR="008E4FFA" w:rsidRDefault="008E4FFA" w:rsidP="008E4FFA">
      <w:pPr>
        <w:tabs>
          <w:tab w:val="left" w:pos="4111"/>
        </w:tabs>
        <w:rPr>
          <w:rFonts w:asciiTheme="minorHAnsi" w:hAnsiTheme="minorHAnsi"/>
          <w:i/>
          <w:sz w:val="20"/>
        </w:rPr>
      </w:pPr>
      <w:r>
        <w:rPr>
          <w:rFonts w:asciiTheme="minorHAnsi" w:hAnsiTheme="minorHAnsi"/>
          <w:i/>
          <w:sz w:val="20"/>
        </w:rPr>
        <w:t>This template is meant to guide non-Party stakeholders (</w:t>
      </w:r>
      <w:r w:rsidRPr="00A318EB">
        <w:rPr>
          <w:rFonts w:asciiTheme="minorHAnsi" w:hAnsiTheme="minorHAnsi"/>
          <w:i/>
          <w:sz w:val="20"/>
        </w:rPr>
        <w:t>organization(s), coalition(s), initiative(s) and/or sector</w:t>
      </w:r>
      <w:r>
        <w:rPr>
          <w:rFonts w:asciiTheme="minorHAnsi" w:hAnsiTheme="minorHAnsi"/>
          <w:i/>
          <w:sz w:val="20"/>
        </w:rPr>
        <w:t xml:space="preserve">(s) etc.) in providing inputs that are relevant and impactful to the </w:t>
      </w:r>
      <w:proofErr w:type="spellStart"/>
      <w:r>
        <w:rPr>
          <w:rFonts w:asciiTheme="minorHAnsi" w:hAnsiTheme="minorHAnsi"/>
          <w:i/>
          <w:sz w:val="20"/>
        </w:rPr>
        <w:t>Talanoa</w:t>
      </w:r>
      <w:proofErr w:type="spellEnd"/>
      <w:r>
        <w:rPr>
          <w:rFonts w:asciiTheme="minorHAnsi" w:hAnsiTheme="minorHAnsi"/>
          <w:i/>
          <w:sz w:val="20"/>
        </w:rPr>
        <w:t xml:space="preserve"> Dialogue process. Using such the template is not mandatory, however, the High-level Champions encourage non-Party stakeholders to use such a structure to facilitate capturing and highlighting the key messages across the three questions.</w:t>
      </w:r>
    </w:p>
    <w:p w14:paraId="06F2F58F" w14:textId="77777777" w:rsidR="008E4FFA" w:rsidRPr="00A318EB" w:rsidRDefault="008E4FFA" w:rsidP="008E4FFA">
      <w:pPr>
        <w:rPr>
          <w:rFonts w:asciiTheme="minorHAnsi" w:hAnsiTheme="minorHAnsi"/>
          <w:b/>
          <w:sz w:val="24"/>
          <w:szCs w:val="24"/>
        </w:rPr>
      </w:pPr>
    </w:p>
    <w:p w14:paraId="31C31996" w14:textId="77777777" w:rsidR="008E4FFA" w:rsidRPr="00A318EB" w:rsidRDefault="008E4FFA" w:rsidP="008E4FFA">
      <w:pPr>
        <w:rPr>
          <w:rFonts w:asciiTheme="minorHAnsi" w:hAnsiTheme="minorHAnsi"/>
          <w:b/>
          <w:sz w:val="24"/>
          <w:szCs w:val="24"/>
        </w:rPr>
      </w:pPr>
      <w:r w:rsidRPr="00A318EB">
        <w:rPr>
          <w:rFonts w:asciiTheme="minorHAnsi" w:hAnsiTheme="minorHAnsi"/>
          <w:b/>
          <w:sz w:val="24"/>
          <w:szCs w:val="24"/>
        </w:rPr>
        <w:t>How do we get there?</w:t>
      </w:r>
    </w:p>
    <w:p w14:paraId="24B95088" w14:textId="77777777" w:rsidR="008E4FFA" w:rsidRPr="00A318EB" w:rsidRDefault="008E4FFA" w:rsidP="008E4FFA">
      <w:pPr>
        <w:rPr>
          <w:rFonts w:asciiTheme="minorHAnsi" w:hAnsiTheme="minorHAnsi"/>
          <w:i/>
          <w:sz w:val="20"/>
        </w:rPr>
      </w:pPr>
      <w:r>
        <w:rPr>
          <w:rFonts w:asciiTheme="minorHAnsi" w:hAnsiTheme="minorHAnsi"/>
          <w:i/>
          <w:sz w:val="20"/>
        </w:rPr>
        <w:t xml:space="preserve">Ways in which the UN Climate Change process can help you achieve your vision and goals, and how your actions can help in expediting sustainable transitions to climate neutral societies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8E4FFA" w:rsidRPr="00A318EB" w14:paraId="3E64C2F6" w14:textId="77777777" w:rsidTr="00F04241">
        <w:tc>
          <w:tcPr>
            <w:tcW w:w="9016" w:type="dxa"/>
          </w:tcPr>
          <w:p w14:paraId="74533E5B" w14:textId="77777777" w:rsidR="008E4FFA" w:rsidRDefault="008E4FFA" w:rsidP="00F04241">
            <w:pPr>
              <w:rPr>
                <w:sz w:val="20"/>
              </w:rPr>
            </w:pPr>
            <w:r>
              <w:rPr>
                <w:sz w:val="20"/>
              </w:rPr>
              <w:t xml:space="preserve">Pioneer businesses are already leading the energy transition through their sourcing and investment decisions in renewables. RE100 and its members can accelerate the decarbonisation of the private sector’s energy consumption: </w:t>
            </w:r>
          </w:p>
          <w:p w14:paraId="388C17CE" w14:textId="77777777" w:rsidR="008E4FFA" w:rsidRPr="006A34B6" w:rsidRDefault="008E4FFA" w:rsidP="008E4FFA">
            <w:pPr>
              <w:pStyle w:val="ListParagraph"/>
              <w:numPr>
                <w:ilvl w:val="0"/>
                <w:numId w:val="3"/>
              </w:numPr>
              <w:rPr>
                <w:rFonts w:ascii="Times New Roman" w:hAnsi="Times New Roman" w:cs="Times New Roman"/>
                <w:sz w:val="20"/>
              </w:rPr>
            </w:pPr>
            <w:r>
              <w:rPr>
                <w:rFonts w:ascii="Times New Roman" w:hAnsi="Times New Roman" w:cs="Times New Roman"/>
                <w:sz w:val="20"/>
                <w:lang w:val="en-GB"/>
              </w:rPr>
              <w:t>b</w:t>
            </w:r>
            <w:r w:rsidRPr="006A34B6">
              <w:rPr>
                <w:rFonts w:ascii="Times New Roman" w:hAnsi="Times New Roman" w:cs="Times New Roman"/>
                <w:sz w:val="20"/>
              </w:rPr>
              <w:t>y bringing those corporates together to amplify their voice and the market signa</w:t>
            </w:r>
            <w:r>
              <w:rPr>
                <w:rFonts w:ascii="Times New Roman" w:hAnsi="Times New Roman" w:cs="Times New Roman"/>
                <w:sz w:val="20"/>
              </w:rPr>
              <w:t>l it represents;</w:t>
            </w:r>
            <w:r w:rsidRPr="006A34B6">
              <w:rPr>
                <w:rFonts w:ascii="Times New Roman" w:hAnsi="Times New Roman" w:cs="Times New Roman"/>
                <w:sz w:val="20"/>
              </w:rPr>
              <w:t xml:space="preserve"> </w:t>
            </w:r>
          </w:p>
          <w:p w14:paraId="7179FF4B" w14:textId="77777777" w:rsidR="008E4FFA" w:rsidRPr="006A34B6" w:rsidRDefault="008E4FFA" w:rsidP="008E4FFA">
            <w:pPr>
              <w:pStyle w:val="ListParagraph"/>
              <w:numPr>
                <w:ilvl w:val="0"/>
                <w:numId w:val="3"/>
              </w:numPr>
              <w:rPr>
                <w:rFonts w:ascii="Times New Roman" w:hAnsi="Times New Roman" w:cs="Times New Roman"/>
                <w:sz w:val="20"/>
              </w:rPr>
            </w:pPr>
            <w:r w:rsidRPr="006A34B6">
              <w:rPr>
                <w:rFonts w:ascii="Times New Roman" w:hAnsi="Times New Roman" w:cs="Times New Roman"/>
                <w:sz w:val="20"/>
              </w:rPr>
              <w:t>by inspiring others to follow</w:t>
            </w:r>
            <w:r>
              <w:rPr>
                <w:rFonts w:ascii="Times New Roman" w:hAnsi="Times New Roman" w:cs="Times New Roman"/>
                <w:sz w:val="20"/>
              </w:rPr>
              <w:t xml:space="preserve"> and to scale up their ambition;</w:t>
            </w:r>
            <w:r w:rsidRPr="006A34B6">
              <w:rPr>
                <w:rFonts w:ascii="Times New Roman" w:hAnsi="Times New Roman" w:cs="Times New Roman"/>
                <w:sz w:val="20"/>
              </w:rPr>
              <w:t xml:space="preserve"> </w:t>
            </w:r>
          </w:p>
          <w:p w14:paraId="7043C8B2" w14:textId="77777777" w:rsidR="008E4FFA" w:rsidRPr="006A34B6" w:rsidRDefault="008E4FFA" w:rsidP="008E4FFA">
            <w:pPr>
              <w:pStyle w:val="ListParagraph"/>
              <w:numPr>
                <w:ilvl w:val="0"/>
                <w:numId w:val="3"/>
              </w:numPr>
              <w:rPr>
                <w:rFonts w:ascii="Times New Roman" w:hAnsi="Times New Roman" w:cs="Times New Roman"/>
                <w:sz w:val="20"/>
              </w:rPr>
            </w:pPr>
            <w:r w:rsidRPr="006A34B6">
              <w:rPr>
                <w:rFonts w:ascii="Times New Roman" w:hAnsi="Times New Roman" w:cs="Times New Roman"/>
                <w:sz w:val="20"/>
              </w:rPr>
              <w:t xml:space="preserve">by enabling peer-to-peer learning </w:t>
            </w:r>
            <w:r>
              <w:rPr>
                <w:rFonts w:ascii="Times New Roman" w:hAnsi="Times New Roman" w:cs="Times New Roman"/>
                <w:sz w:val="20"/>
              </w:rPr>
              <w:t xml:space="preserve">between companies </w:t>
            </w:r>
            <w:r w:rsidRPr="006A34B6">
              <w:rPr>
                <w:rFonts w:ascii="Times New Roman" w:hAnsi="Times New Roman" w:cs="Times New Roman"/>
                <w:sz w:val="20"/>
              </w:rPr>
              <w:t>and the dissemination of best practices</w:t>
            </w:r>
            <w:r>
              <w:rPr>
                <w:rFonts w:ascii="Times New Roman" w:hAnsi="Times New Roman" w:cs="Times New Roman"/>
                <w:sz w:val="20"/>
              </w:rPr>
              <w:t>;</w:t>
            </w:r>
            <w:r w:rsidRPr="006A34B6">
              <w:rPr>
                <w:rFonts w:ascii="Times New Roman" w:hAnsi="Times New Roman" w:cs="Times New Roman"/>
                <w:sz w:val="20"/>
              </w:rPr>
              <w:t xml:space="preserve"> and </w:t>
            </w:r>
          </w:p>
          <w:p w14:paraId="73773698" w14:textId="77777777" w:rsidR="008E4FFA" w:rsidRPr="006A34B6" w:rsidRDefault="008E4FFA" w:rsidP="008E4FFA">
            <w:pPr>
              <w:pStyle w:val="ListParagraph"/>
              <w:numPr>
                <w:ilvl w:val="0"/>
                <w:numId w:val="3"/>
              </w:numPr>
              <w:rPr>
                <w:rFonts w:ascii="Times New Roman" w:hAnsi="Times New Roman" w:cs="Times New Roman"/>
                <w:sz w:val="20"/>
              </w:rPr>
            </w:pPr>
            <w:r w:rsidRPr="006A34B6">
              <w:rPr>
                <w:rFonts w:ascii="Times New Roman" w:hAnsi="Times New Roman" w:cs="Times New Roman"/>
                <w:sz w:val="20"/>
              </w:rPr>
              <w:t>by facilitating relevant policy co</w:t>
            </w:r>
            <w:r>
              <w:rPr>
                <w:rFonts w:ascii="Times New Roman" w:hAnsi="Times New Roman" w:cs="Times New Roman"/>
                <w:sz w:val="20"/>
              </w:rPr>
              <w:t>nversations.</w:t>
            </w:r>
            <w:r w:rsidRPr="006A34B6">
              <w:rPr>
                <w:rFonts w:ascii="Times New Roman" w:hAnsi="Times New Roman" w:cs="Times New Roman"/>
                <w:sz w:val="20"/>
              </w:rPr>
              <w:t xml:space="preserve"> </w:t>
            </w:r>
          </w:p>
          <w:p w14:paraId="3F764EA5" w14:textId="77777777" w:rsidR="008E4FFA" w:rsidRDefault="008E4FFA" w:rsidP="00F04241">
            <w:pPr>
              <w:rPr>
                <w:sz w:val="20"/>
              </w:rPr>
            </w:pPr>
            <w:r>
              <w:rPr>
                <w:sz w:val="20"/>
              </w:rPr>
              <w:t>The UN Climate Change process can help to accelerate this movement and grow the momentum. The UN should champion the role of businesses – and encourage their active participation – in the energy transition to inspire others to follow. Highlighting the business case for going 100% renewables is particularly critical.</w:t>
            </w:r>
          </w:p>
          <w:p w14:paraId="38B3D94C" w14:textId="77777777" w:rsidR="008E4FFA" w:rsidRDefault="008E4FFA" w:rsidP="00F04241">
            <w:pPr>
              <w:rPr>
                <w:sz w:val="20"/>
              </w:rPr>
            </w:pPr>
          </w:p>
          <w:p w14:paraId="66A40BC7" w14:textId="77777777" w:rsidR="008E4FFA" w:rsidRPr="00DE0448" w:rsidRDefault="008E4FFA" w:rsidP="00F04241">
            <w:pPr>
              <w:rPr>
                <w:sz w:val="20"/>
              </w:rPr>
            </w:pPr>
            <w:r>
              <w:rPr>
                <w:sz w:val="20"/>
              </w:rPr>
              <w:t>In addition, the UN Climate Change process provides a platform for businesses and other non-party stakeholders to engage with national governments about the barriers they face to fully play their part in the implementation of the NDCs. The latest RE100 Insight and Progress Report shows that policy barriers – not costs or lack of subsidies – are the most common challenge for committed companies. Facilitated conversations between businesses and national governments will help to outline the contribution that the private sector can play to support a country’s clean energy plans. But they should also identify the correct enabling policies and frameworks necessary to unlock corporate sourcing of renewables and support their dissemination through inter-governmental cooperation.</w:t>
            </w:r>
          </w:p>
        </w:tc>
      </w:tr>
    </w:tbl>
    <w:p w14:paraId="3A981FE6" w14:textId="77777777" w:rsidR="008E4FFA" w:rsidRDefault="008E4FFA" w:rsidP="008E4FFA">
      <w:pPr>
        <w:rPr>
          <w:rFonts w:asciiTheme="minorHAnsi" w:hAnsiTheme="minorHAnsi"/>
          <w:i/>
          <w:sz w:val="20"/>
        </w:rPr>
      </w:pPr>
    </w:p>
    <w:p w14:paraId="790C8DCC" w14:textId="77777777" w:rsidR="008E4FFA" w:rsidRPr="00A318EB" w:rsidRDefault="008E4FFA" w:rsidP="008E4FFA">
      <w:pPr>
        <w:rPr>
          <w:rFonts w:asciiTheme="minorHAnsi" w:hAnsiTheme="minorHAnsi"/>
          <w:i/>
          <w:sz w:val="20"/>
        </w:rPr>
      </w:pPr>
      <w:r w:rsidRPr="00A318EB">
        <w:rPr>
          <w:rFonts w:asciiTheme="minorHAnsi" w:hAnsiTheme="minorHAnsi"/>
          <w:i/>
          <w:sz w:val="20"/>
        </w:rPr>
        <w:t xml:space="preserve">Concrete solutions </w:t>
      </w:r>
      <w:r>
        <w:rPr>
          <w:rFonts w:asciiTheme="minorHAnsi" w:hAnsiTheme="minorHAnsi"/>
          <w:i/>
          <w:sz w:val="20"/>
        </w:rPr>
        <w:t>that have been realized while implementing your commitments, including lessons learnt from</w:t>
      </w:r>
      <w:r w:rsidRPr="00A318EB">
        <w:rPr>
          <w:rFonts w:asciiTheme="minorHAnsi" w:hAnsiTheme="minorHAnsi"/>
          <w:i/>
          <w:sz w:val="20"/>
        </w:rPr>
        <w:t xml:space="preserve"> success stories</w:t>
      </w:r>
      <w:r>
        <w:rPr>
          <w:rFonts w:asciiTheme="minorHAnsi" w:hAnsiTheme="minorHAnsi"/>
          <w:i/>
          <w:sz w:val="20"/>
        </w:rPr>
        <w:t xml:space="preserve"> and challenges</w:t>
      </w:r>
      <w:r w:rsidRPr="00A318EB">
        <w:rPr>
          <w:rFonts w:asciiTheme="minorHAnsi" w:hAnsiTheme="minorHAnsi"/>
          <w:i/>
          <w:sz w:val="20"/>
        </w:rPr>
        <w:t xml:space="preserve">, </w:t>
      </w:r>
      <w:r>
        <w:rPr>
          <w:rFonts w:asciiTheme="minorHAnsi" w:hAnsiTheme="minorHAnsi"/>
          <w:i/>
          <w:sz w:val="20"/>
        </w:rPr>
        <w:t xml:space="preserve">and </w:t>
      </w:r>
      <w:r w:rsidRPr="00A318EB">
        <w:rPr>
          <w:rFonts w:asciiTheme="minorHAnsi" w:hAnsiTheme="minorHAnsi"/>
          <w:i/>
          <w:sz w:val="20"/>
        </w:rPr>
        <w:t>case studie</w:t>
      </w:r>
      <w:r>
        <w:rPr>
          <w:rFonts w:asciiTheme="minorHAnsi" w:hAnsiTheme="minorHAnsi"/>
          <w:i/>
          <w:sz w:val="20"/>
        </w:rPr>
        <w:t>s</w:t>
      </w:r>
      <w:r w:rsidRPr="00A318EB">
        <w:rPr>
          <w:rFonts w:asciiTheme="minorHAnsi" w:hAnsiTheme="minorHAnsi"/>
          <w:i/>
          <w:sz w:val="20"/>
        </w:rPr>
        <w:t xml:space="preserve"> that are in line with the 1.5/2 degrees’ goal and </w:t>
      </w:r>
      <w:r>
        <w:rPr>
          <w:rFonts w:asciiTheme="minorHAnsi" w:hAnsiTheme="minorHAnsi"/>
          <w:i/>
          <w:sz w:val="20"/>
        </w:rPr>
        <w:t>can support</w:t>
      </w:r>
      <w:r w:rsidRPr="00A318EB">
        <w:rPr>
          <w:rFonts w:asciiTheme="minorHAnsi" w:hAnsiTheme="minorHAnsi"/>
          <w:i/>
          <w:sz w:val="20"/>
        </w:rPr>
        <w:t xml:space="preserve"> </w:t>
      </w:r>
      <w:r>
        <w:rPr>
          <w:rFonts w:asciiTheme="minorHAnsi" w:hAnsiTheme="minorHAnsi"/>
          <w:i/>
          <w:sz w:val="20"/>
        </w:rPr>
        <w:t xml:space="preserve">the </w:t>
      </w:r>
      <w:r w:rsidRPr="00A318EB">
        <w:rPr>
          <w:rFonts w:asciiTheme="minorHAnsi" w:hAnsiTheme="minorHAnsi"/>
          <w:i/>
          <w:sz w:val="20"/>
        </w:rPr>
        <w:t xml:space="preserve">Parties </w:t>
      </w:r>
      <w:r>
        <w:rPr>
          <w:rFonts w:asciiTheme="minorHAnsi" w:hAnsiTheme="minorHAnsi"/>
          <w:i/>
          <w:sz w:val="20"/>
        </w:rPr>
        <w:t xml:space="preserve">in </w:t>
      </w:r>
      <w:r w:rsidRPr="00A318EB">
        <w:rPr>
          <w:rFonts w:asciiTheme="minorHAnsi" w:hAnsiTheme="minorHAnsi"/>
          <w:i/>
          <w:sz w:val="20"/>
        </w:rPr>
        <w:t>achiev</w:t>
      </w:r>
      <w:r>
        <w:rPr>
          <w:rFonts w:asciiTheme="minorHAnsi" w:hAnsiTheme="minorHAnsi"/>
          <w:i/>
          <w:sz w:val="20"/>
        </w:rPr>
        <w:t>ing</w:t>
      </w:r>
      <w:r w:rsidRPr="00A318EB">
        <w:rPr>
          <w:rFonts w:asciiTheme="minorHAnsi" w:hAnsiTheme="minorHAnsi"/>
          <w:i/>
          <w:sz w:val="20"/>
        </w:rPr>
        <w:t xml:space="preserve"> their </w:t>
      </w:r>
      <w:r>
        <w:rPr>
          <w:rFonts w:asciiTheme="minorHAnsi" w:hAnsiTheme="minorHAnsi"/>
          <w:i/>
          <w:sz w:val="20"/>
        </w:rPr>
        <w:t xml:space="preserve">NDC goals, </w:t>
      </w:r>
      <w:r w:rsidRPr="00A318EB">
        <w:rPr>
          <w:rFonts w:asciiTheme="minorHAnsi" w:hAnsiTheme="minorHAnsi"/>
          <w:i/>
          <w:sz w:val="20"/>
        </w:rPr>
        <w:t xml:space="preserve">enable higher ambition </w:t>
      </w:r>
      <w:r>
        <w:rPr>
          <w:rFonts w:asciiTheme="minorHAnsi" w:hAnsiTheme="minorHAnsi"/>
          <w:i/>
          <w:sz w:val="20"/>
        </w:rPr>
        <w:t xml:space="preserve">and inspire engagement of other non-state actors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8E4FFA" w:rsidRPr="00A318EB" w14:paraId="44E02ABC" w14:textId="77777777" w:rsidTr="00F04241">
        <w:tc>
          <w:tcPr>
            <w:tcW w:w="9016" w:type="dxa"/>
          </w:tcPr>
          <w:p w14:paraId="71A8C3BE" w14:textId="77777777" w:rsidR="008E4FFA" w:rsidRDefault="008E4FFA" w:rsidP="00F04241">
            <w:pPr>
              <w:rPr>
                <w:sz w:val="20"/>
              </w:rPr>
            </w:pPr>
            <w:r>
              <w:rPr>
                <w:sz w:val="20"/>
              </w:rPr>
              <w:t>RE100 members have been progressing rapidly towards their goals and have been adding renewable capacity to the grid – either directly or indirectly – in every market where they operate, supporting Parties to fulfil their energy and climate commitments under the Paris Agreement. Inspiring case studies include:</w:t>
            </w:r>
          </w:p>
          <w:p w14:paraId="726A3AF2" w14:textId="77777777" w:rsidR="008E4FFA" w:rsidRDefault="008E4FFA" w:rsidP="00F04241">
            <w:pPr>
              <w:rPr>
                <w:sz w:val="20"/>
              </w:rPr>
            </w:pPr>
          </w:p>
          <w:p w14:paraId="7064378B" w14:textId="77777777" w:rsidR="008E4FFA" w:rsidRDefault="008E4FFA" w:rsidP="008E4FFA">
            <w:pPr>
              <w:pStyle w:val="ListParagraph"/>
              <w:numPr>
                <w:ilvl w:val="0"/>
                <w:numId w:val="3"/>
              </w:numPr>
              <w:rPr>
                <w:rFonts w:ascii="Times New Roman" w:hAnsi="Times New Roman" w:cs="Times New Roman"/>
                <w:sz w:val="20"/>
              </w:rPr>
            </w:pPr>
            <w:r w:rsidRPr="003E3664">
              <w:rPr>
                <w:rFonts w:ascii="Times New Roman" w:hAnsi="Times New Roman" w:cs="Times New Roman"/>
                <w:sz w:val="20"/>
              </w:rPr>
              <w:t xml:space="preserve">The work done by </w:t>
            </w:r>
            <w:hyperlink r:id="rId11" w:history="1">
              <w:r w:rsidRPr="003E3664">
                <w:rPr>
                  <w:rStyle w:val="Hyperlink"/>
                  <w:rFonts w:ascii="Times New Roman" w:hAnsi="Times New Roman" w:cs="Times New Roman"/>
                  <w:sz w:val="20"/>
                </w:rPr>
                <w:t>Apple, Ikea, Apple</w:t>
              </w:r>
            </w:hyperlink>
            <w:r w:rsidRPr="003E3664">
              <w:rPr>
                <w:rFonts w:ascii="Times New Roman" w:hAnsi="Times New Roman" w:cs="Times New Roman"/>
                <w:sz w:val="20"/>
              </w:rPr>
              <w:t xml:space="preserve"> and many others to</w:t>
            </w:r>
            <w:r>
              <w:rPr>
                <w:rFonts w:ascii="Times New Roman" w:hAnsi="Times New Roman" w:cs="Times New Roman"/>
                <w:sz w:val="20"/>
              </w:rPr>
              <w:t xml:space="preserve"> increase the uptake of renewable power among their suppliers;</w:t>
            </w:r>
          </w:p>
          <w:p w14:paraId="4FB3C369" w14:textId="77777777" w:rsidR="008E4FFA" w:rsidRDefault="008E4FFA" w:rsidP="008E4FFA">
            <w:pPr>
              <w:pStyle w:val="ListParagraph"/>
              <w:numPr>
                <w:ilvl w:val="0"/>
                <w:numId w:val="3"/>
              </w:numPr>
              <w:rPr>
                <w:rFonts w:ascii="Times New Roman" w:hAnsi="Times New Roman" w:cs="Times New Roman"/>
                <w:sz w:val="20"/>
              </w:rPr>
            </w:pPr>
            <w:r>
              <w:rPr>
                <w:rFonts w:ascii="Times New Roman" w:hAnsi="Times New Roman" w:cs="Times New Roman"/>
                <w:sz w:val="20"/>
              </w:rPr>
              <w:lastRenderedPageBreak/>
              <w:t xml:space="preserve">The </w:t>
            </w:r>
            <w:hyperlink r:id="rId12" w:history="1">
              <w:r w:rsidRPr="00A735DC">
                <w:rPr>
                  <w:rStyle w:val="Hyperlink"/>
                  <w:rFonts w:ascii="Times New Roman" w:hAnsi="Times New Roman" w:cs="Times New Roman"/>
                  <w:sz w:val="20"/>
                </w:rPr>
                <w:t>Dutch Consortium</w:t>
              </w:r>
            </w:hyperlink>
            <w:r>
              <w:rPr>
                <w:rFonts w:ascii="Times New Roman" w:hAnsi="Times New Roman" w:cs="Times New Roman"/>
                <w:sz w:val="20"/>
              </w:rPr>
              <w:t xml:space="preserve">, made of Google, DSM, Philips and </w:t>
            </w:r>
            <w:proofErr w:type="spellStart"/>
            <w:r>
              <w:rPr>
                <w:rFonts w:ascii="Times New Roman" w:hAnsi="Times New Roman" w:cs="Times New Roman"/>
                <w:sz w:val="20"/>
              </w:rPr>
              <w:t>AkzoNobel</w:t>
            </w:r>
            <w:proofErr w:type="spellEnd"/>
            <w:r>
              <w:rPr>
                <w:rFonts w:ascii="Times New Roman" w:hAnsi="Times New Roman" w:cs="Times New Roman"/>
                <w:sz w:val="20"/>
              </w:rPr>
              <w:t xml:space="preserve"> Specialty Chemicals, that aggregated their demand to sign 2 corporate PPAs in the Netherlands amounting to 140MW of additional wind capacity</w:t>
            </w:r>
          </w:p>
          <w:p w14:paraId="3E5C6CFC" w14:textId="77777777" w:rsidR="008E4FFA" w:rsidRDefault="008E4FFA" w:rsidP="008E4FFA">
            <w:pPr>
              <w:pStyle w:val="ListParagraph"/>
              <w:numPr>
                <w:ilvl w:val="0"/>
                <w:numId w:val="3"/>
              </w:numPr>
              <w:rPr>
                <w:rFonts w:ascii="Times New Roman" w:hAnsi="Times New Roman" w:cs="Times New Roman"/>
                <w:sz w:val="20"/>
              </w:rPr>
            </w:pPr>
            <w:hyperlink r:id="rId13" w:history="1">
              <w:r w:rsidRPr="00A735DC">
                <w:rPr>
                  <w:rStyle w:val="Hyperlink"/>
                  <w:rFonts w:ascii="Times New Roman" w:hAnsi="Times New Roman" w:cs="Times New Roman"/>
                  <w:sz w:val="20"/>
                </w:rPr>
                <w:t>Microsoft</w:t>
              </w:r>
            </w:hyperlink>
            <w:r>
              <w:rPr>
                <w:rFonts w:ascii="Times New Roman" w:hAnsi="Times New Roman" w:cs="Times New Roman"/>
                <w:sz w:val="20"/>
              </w:rPr>
              <w:t xml:space="preserve"> signing the single largest corporate purchase of solar power ever seen in the US, with a 315MW farm in Virginia. Microsoft’s total renewable energy portfolio totals 1.2GW of capacity.</w:t>
            </w:r>
          </w:p>
          <w:p w14:paraId="7ACDD137" w14:textId="77777777" w:rsidR="008E4FFA" w:rsidRPr="00A735DC" w:rsidRDefault="008E4FFA" w:rsidP="008E4FFA">
            <w:pPr>
              <w:pStyle w:val="ListParagraph"/>
              <w:numPr>
                <w:ilvl w:val="0"/>
                <w:numId w:val="3"/>
              </w:numPr>
              <w:rPr>
                <w:rFonts w:ascii="Times New Roman" w:hAnsi="Times New Roman" w:cs="Times New Roman"/>
                <w:sz w:val="20"/>
              </w:rPr>
            </w:pPr>
            <w:hyperlink r:id="rId14" w:history="1">
              <w:r w:rsidRPr="00A735DC">
                <w:rPr>
                  <w:rStyle w:val="Hyperlink"/>
                  <w:rFonts w:ascii="Times New Roman" w:hAnsi="Times New Roman" w:cs="Times New Roman"/>
                  <w:sz w:val="20"/>
                </w:rPr>
                <w:t>T-Mobile US</w:t>
              </w:r>
            </w:hyperlink>
            <w:r>
              <w:rPr>
                <w:rFonts w:ascii="Times New Roman" w:hAnsi="Times New Roman" w:cs="Times New Roman"/>
                <w:sz w:val="20"/>
              </w:rPr>
              <w:t xml:space="preserve"> forecasting $100 million of energy costs savings over 15 years through meeting their RE100 commitment.</w:t>
            </w:r>
          </w:p>
        </w:tc>
      </w:tr>
    </w:tbl>
    <w:p w14:paraId="66D43C98" w14:textId="77777777" w:rsidR="008E4FFA" w:rsidRPr="00A318EB" w:rsidRDefault="008E4FFA" w:rsidP="008E4FFA">
      <w:pPr>
        <w:spacing w:line="240" w:lineRule="auto"/>
        <w:rPr>
          <w:rFonts w:asciiTheme="minorHAnsi" w:hAnsiTheme="minorHAnsi"/>
          <w:i/>
          <w:sz w:val="20"/>
        </w:rPr>
      </w:pPr>
    </w:p>
    <w:p w14:paraId="77258C4D" w14:textId="77777777" w:rsidR="008E4FFA" w:rsidRPr="00A318EB" w:rsidRDefault="008E4FFA" w:rsidP="008E4FFA">
      <w:pPr>
        <w:rPr>
          <w:rFonts w:asciiTheme="minorHAnsi" w:hAnsiTheme="minorHAnsi"/>
          <w:i/>
          <w:sz w:val="20"/>
        </w:rPr>
      </w:pPr>
      <w:r>
        <w:rPr>
          <w:rFonts w:asciiTheme="minorHAnsi" w:hAnsiTheme="minorHAnsi"/>
          <w:i/>
          <w:sz w:val="20"/>
        </w:rPr>
        <w:t>C</w:t>
      </w:r>
      <w:r w:rsidRPr="00A318EB">
        <w:rPr>
          <w:rFonts w:asciiTheme="minorHAnsi" w:hAnsiTheme="minorHAnsi"/>
          <w:i/>
          <w:sz w:val="20"/>
        </w:rPr>
        <w:t xml:space="preserve">ollaboration models with other stakeholders and, in particular, between non-Party stakeholders, national governments and the UN Climate Change process </w:t>
      </w:r>
      <w:r>
        <w:rPr>
          <w:rFonts w:asciiTheme="minorHAnsi" w:hAnsiTheme="minorHAnsi"/>
          <w:i/>
          <w:sz w:val="20"/>
        </w:rPr>
        <w:t xml:space="preserve">that have been successful in helping you, or can help you, achieve your commitments </w:t>
      </w:r>
      <w:r w:rsidRPr="00A318EB">
        <w:rPr>
          <w:rFonts w:asciiTheme="minorHAnsi" w:hAnsiTheme="minorHAnsi"/>
          <w:i/>
          <w:sz w:val="20"/>
        </w:rPr>
        <w:t>[Maximum 300 words]</w:t>
      </w:r>
    </w:p>
    <w:tbl>
      <w:tblPr>
        <w:tblStyle w:val="TableGrid"/>
        <w:tblW w:w="0" w:type="auto"/>
        <w:tblLook w:val="04A0" w:firstRow="1" w:lastRow="0" w:firstColumn="1" w:lastColumn="0" w:noHBand="0" w:noVBand="1"/>
      </w:tblPr>
      <w:tblGrid>
        <w:gridCol w:w="9016"/>
      </w:tblGrid>
      <w:tr w:rsidR="008E4FFA" w:rsidRPr="00A318EB" w14:paraId="5DCA9964" w14:textId="77777777" w:rsidTr="00F04241">
        <w:tc>
          <w:tcPr>
            <w:tcW w:w="9016" w:type="dxa"/>
          </w:tcPr>
          <w:p w14:paraId="76845430" w14:textId="77777777" w:rsidR="008E4FFA" w:rsidRPr="00024148" w:rsidRDefault="008E4FFA" w:rsidP="00F04241">
            <w:pPr>
              <w:rPr>
                <w:sz w:val="20"/>
              </w:rPr>
            </w:pPr>
            <w:r>
              <w:rPr>
                <w:sz w:val="20"/>
              </w:rPr>
              <w:t>See below.</w:t>
            </w:r>
          </w:p>
          <w:p w14:paraId="4D9EBD22" w14:textId="77777777" w:rsidR="008E4FFA" w:rsidRPr="00A318EB" w:rsidRDefault="008E4FFA" w:rsidP="00F04241">
            <w:pPr>
              <w:rPr>
                <w:i/>
                <w:sz w:val="20"/>
              </w:rPr>
            </w:pPr>
          </w:p>
        </w:tc>
      </w:tr>
    </w:tbl>
    <w:p w14:paraId="406B7B94" w14:textId="77777777" w:rsidR="008E4FFA" w:rsidRPr="00A318EB" w:rsidRDefault="008E4FFA" w:rsidP="008E4FFA">
      <w:pPr>
        <w:rPr>
          <w:rFonts w:asciiTheme="minorHAnsi" w:hAnsiTheme="minorHAnsi"/>
          <w:i/>
          <w:sz w:val="20"/>
        </w:rPr>
      </w:pPr>
    </w:p>
    <w:p w14:paraId="7670A5F8" w14:textId="77777777" w:rsidR="008E4FFA" w:rsidRPr="00A318EB" w:rsidRDefault="008E4FFA" w:rsidP="008E4FFA">
      <w:pPr>
        <w:rPr>
          <w:rFonts w:asciiTheme="minorHAnsi" w:hAnsiTheme="minorHAnsi"/>
          <w:i/>
          <w:sz w:val="20"/>
        </w:rPr>
      </w:pPr>
      <w:r w:rsidRPr="00A318EB">
        <w:rPr>
          <w:rFonts w:asciiTheme="minorHAnsi" w:hAnsiTheme="minorHAnsi"/>
          <w:i/>
          <w:sz w:val="20"/>
        </w:rPr>
        <w:t>Opportunities to further scale up action and means to address barriers that can enable even further action by non-Party stakeholders</w:t>
      </w:r>
      <w:r>
        <w:rPr>
          <w:rFonts w:asciiTheme="minorHAnsi" w:hAnsiTheme="minorHAnsi"/>
          <w:i/>
          <w:sz w:val="20"/>
        </w:rPr>
        <w:t xml:space="preserve"> based on the actions you have taken to implement your commitments.</w:t>
      </w:r>
      <w:r w:rsidRPr="00A318EB">
        <w:rPr>
          <w:rFonts w:asciiTheme="minorHAnsi" w:hAnsiTheme="minorHAnsi"/>
          <w:i/>
          <w:sz w:val="20"/>
        </w:rPr>
        <w:t xml:space="preserve"> </w:t>
      </w:r>
      <w:r w:rsidRPr="001D66AE">
        <w:rPr>
          <w:rFonts w:asciiTheme="minorHAnsi" w:hAnsiTheme="minorHAnsi"/>
          <w:i/>
          <w:sz w:val="20"/>
        </w:rPr>
        <w:t>(“We’ve made progress and have made new commitments as described above. This is what I need from national governments</w:t>
      </w:r>
      <w:r>
        <w:rPr>
          <w:rFonts w:asciiTheme="minorHAnsi" w:hAnsiTheme="minorHAnsi"/>
          <w:i/>
          <w:sz w:val="20"/>
        </w:rPr>
        <w:t>, other non-Party stakeholders</w:t>
      </w:r>
      <w:r w:rsidRPr="001D66AE">
        <w:rPr>
          <w:rFonts w:asciiTheme="minorHAnsi" w:hAnsiTheme="minorHAnsi"/>
          <w:i/>
          <w:sz w:val="20"/>
        </w:rPr>
        <w:t xml:space="preserve"> and the UN Climate Change process to take even further action…”)</w:t>
      </w:r>
      <w:r w:rsidRPr="00A318EB">
        <w:rPr>
          <w:rFonts w:asciiTheme="minorHAnsi" w:hAnsiTheme="minorHAnsi"/>
          <w:i/>
          <w:sz w:val="20"/>
        </w:rPr>
        <w:t xml:space="preserve"> [Maximum 200 words for each item below]:</w:t>
      </w:r>
    </w:p>
    <w:p w14:paraId="5A9C06B1" w14:textId="77777777" w:rsidR="008E4FFA" w:rsidRPr="00A318EB" w:rsidRDefault="008E4FFA" w:rsidP="008E4FFA">
      <w:pPr>
        <w:spacing w:line="240" w:lineRule="auto"/>
        <w:rPr>
          <w:rFonts w:asciiTheme="minorHAnsi" w:hAnsiTheme="minorHAnsi"/>
          <w:i/>
          <w:sz w:val="20"/>
        </w:rPr>
      </w:pPr>
    </w:p>
    <w:p w14:paraId="2EB987D9" w14:textId="77777777" w:rsidR="008E4FFA" w:rsidRPr="00A318EB" w:rsidRDefault="008E4FFA" w:rsidP="008E4FFA">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Policy levers </w:t>
      </w:r>
    </w:p>
    <w:tbl>
      <w:tblPr>
        <w:tblStyle w:val="TableGrid"/>
        <w:tblW w:w="0" w:type="auto"/>
        <w:tblLook w:val="04A0" w:firstRow="1" w:lastRow="0" w:firstColumn="1" w:lastColumn="0" w:noHBand="0" w:noVBand="1"/>
      </w:tblPr>
      <w:tblGrid>
        <w:gridCol w:w="9016"/>
      </w:tblGrid>
      <w:tr w:rsidR="008E4FFA" w:rsidRPr="00A318EB" w14:paraId="62710844" w14:textId="77777777" w:rsidTr="00F04241">
        <w:tc>
          <w:tcPr>
            <w:tcW w:w="9016" w:type="dxa"/>
          </w:tcPr>
          <w:p w14:paraId="1E9D579E" w14:textId="77777777" w:rsidR="008E4FFA" w:rsidRDefault="008E4FFA" w:rsidP="00F04241">
            <w:pPr>
              <w:rPr>
                <w:sz w:val="20"/>
              </w:rPr>
            </w:pPr>
            <w:r>
              <w:rPr>
                <w:sz w:val="20"/>
              </w:rPr>
              <w:t>Policy barriers are the main challenge identified by RE100 members to progress rapidly towards their commitment.  Those need to be addressed mostly by national governments, although sub-national governments might also have suitable powers in some countries (</w:t>
            </w:r>
            <w:proofErr w:type="spellStart"/>
            <w:r>
              <w:rPr>
                <w:sz w:val="20"/>
              </w:rPr>
              <w:t>eg</w:t>
            </w:r>
            <w:proofErr w:type="spellEnd"/>
            <w:r>
              <w:rPr>
                <w:sz w:val="20"/>
              </w:rPr>
              <w:t>. the US or India). The three main policy levers to accelerate corporate renewable sourcing and move towards a zero-carbon power system are summarised below:</w:t>
            </w:r>
          </w:p>
          <w:p w14:paraId="1536FC54" w14:textId="77777777" w:rsidR="008E4FFA" w:rsidRPr="00263D63" w:rsidRDefault="008E4FFA" w:rsidP="008E4FFA">
            <w:pPr>
              <w:pStyle w:val="ListParagraph"/>
              <w:numPr>
                <w:ilvl w:val="0"/>
                <w:numId w:val="4"/>
              </w:numPr>
              <w:rPr>
                <w:rFonts w:ascii="Times New Roman" w:hAnsi="Times New Roman" w:cs="Times New Roman"/>
                <w:sz w:val="20"/>
              </w:rPr>
            </w:pPr>
            <w:r w:rsidRPr="00263D63">
              <w:rPr>
                <w:rFonts w:ascii="Times New Roman" w:hAnsi="Times New Roman" w:cs="Times New Roman"/>
                <w:sz w:val="20"/>
              </w:rPr>
              <w:t>Policy visibility, certainty and stability are essential for companies to make long-term decisions about their electricity supply. National ambitious, long-term and credible renewable energy targets as well as plans to get there are critical.</w:t>
            </w:r>
          </w:p>
          <w:p w14:paraId="797AD145" w14:textId="77777777" w:rsidR="008E4FFA" w:rsidRDefault="008E4FFA" w:rsidP="008E4FFA">
            <w:pPr>
              <w:pStyle w:val="ListParagraph"/>
              <w:numPr>
                <w:ilvl w:val="0"/>
                <w:numId w:val="4"/>
              </w:numPr>
              <w:rPr>
                <w:rFonts w:ascii="Times New Roman" w:hAnsi="Times New Roman" w:cs="Times New Roman"/>
                <w:sz w:val="20"/>
              </w:rPr>
            </w:pPr>
            <w:r w:rsidRPr="00263D63">
              <w:rPr>
                <w:rFonts w:ascii="Times New Roman" w:hAnsi="Times New Roman" w:cs="Times New Roman"/>
                <w:sz w:val="20"/>
              </w:rPr>
              <w:t>The ability to directly participate in electricity markets</w:t>
            </w:r>
            <w:r>
              <w:rPr>
                <w:rFonts w:ascii="Times New Roman" w:hAnsi="Times New Roman" w:cs="Times New Roman"/>
                <w:sz w:val="20"/>
              </w:rPr>
              <w:t xml:space="preserve"> enables companies to have a more direct impact on renewable capacity deployment. Countries with the most favourable environments have seen the largest uptake in corporate renewable PPAs.</w:t>
            </w:r>
          </w:p>
          <w:p w14:paraId="77BB2B17" w14:textId="77777777" w:rsidR="008E4FFA" w:rsidRPr="00D37908" w:rsidRDefault="008E4FFA" w:rsidP="008E4FFA">
            <w:pPr>
              <w:pStyle w:val="ListParagraph"/>
              <w:numPr>
                <w:ilvl w:val="0"/>
                <w:numId w:val="4"/>
              </w:numPr>
              <w:rPr>
                <w:rFonts w:ascii="Times New Roman" w:hAnsi="Times New Roman" w:cs="Times New Roman"/>
                <w:sz w:val="20"/>
              </w:rPr>
            </w:pPr>
            <w:r>
              <w:rPr>
                <w:rFonts w:ascii="Times New Roman" w:hAnsi="Times New Roman" w:cs="Times New Roman"/>
                <w:sz w:val="20"/>
              </w:rPr>
              <w:t>Sound and transparent tracking systems for renewable electricity facilitate corporate renewable sourcing as it provides companies a credible way of claiming progress and showcase their ambition.</w:t>
            </w:r>
          </w:p>
        </w:tc>
      </w:tr>
    </w:tbl>
    <w:p w14:paraId="2556FCBC" w14:textId="77777777" w:rsidR="008E4FFA" w:rsidRPr="00A318EB" w:rsidRDefault="008E4FFA" w:rsidP="008E4FFA">
      <w:pPr>
        <w:pStyle w:val="ListParagraph"/>
        <w:spacing w:after="0" w:line="240" w:lineRule="auto"/>
        <w:rPr>
          <w:rFonts w:eastAsia="Times New Roman"/>
          <w:i/>
          <w:sz w:val="20"/>
          <w:szCs w:val="20"/>
        </w:rPr>
      </w:pPr>
    </w:p>
    <w:p w14:paraId="152A7E95" w14:textId="77777777" w:rsidR="008E4FFA" w:rsidRPr="00A318EB" w:rsidRDefault="008E4FFA" w:rsidP="008E4FFA">
      <w:pPr>
        <w:pStyle w:val="ListParagraph"/>
        <w:numPr>
          <w:ilvl w:val="0"/>
          <w:numId w:val="1"/>
        </w:numPr>
        <w:spacing w:after="0" w:line="240" w:lineRule="auto"/>
        <w:rPr>
          <w:rFonts w:eastAsia="Times New Roman"/>
          <w:i/>
          <w:sz w:val="20"/>
          <w:szCs w:val="20"/>
        </w:rPr>
      </w:pPr>
      <w:r w:rsidRPr="00A318EB">
        <w:rPr>
          <w:rFonts w:eastAsia="Times New Roman"/>
          <w:i/>
          <w:sz w:val="20"/>
          <w:szCs w:val="20"/>
        </w:rPr>
        <w:t>Collaboration</w:t>
      </w:r>
      <w:r>
        <w:rPr>
          <w:rFonts w:eastAsia="Times New Roman"/>
          <w:i/>
          <w:sz w:val="20"/>
          <w:szCs w:val="20"/>
        </w:rPr>
        <w:t>/cooperation</w:t>
      </w:r>
      <w:r w:rsidRPr="00A318EB">
        <w:rPr>
          <w:rFonts w:eastAsia="Times New Roman"/>
          <w:i/>
          <w:sz w:val="20"/>
          <w:szCs w:val="20"/>
        </w:rPr>
        <w:t xml:space="preserve"> opportunities </w:t>
      </w:r>
    </w:p>
    <w:tbl>
      <w:tblPr>
        <w:tblStyle w:val="TableGrid"/>
        <w:tblW w:w="0" w:type="auto"/>
        <w:tblLook w:val="04A0" w:firstRow="1" w:lastRow="0" w:firstColumn="1" w:lastColumn="0" w:noHBand="0" w:noVBand="1"/>
      </w:tblPr>
      <w:tblGrid>
        <w:gridCol w:w="9016"/>
      </w:tblGrid>
      <w:tr w:rsidR="008E4FFA" w:rsidRPr="00A318EB" w14:paraId="3C38A95D" w14:textId="77777777" w:rsidTr="00F04241">
        <w:tc>
          <w:tcPr>
            <w:tcW w:w="9016" w:type="dxa"/>
          </w:tcPr>
          <w:p w14:paraId="1A46DC25" w14:textId="77777777" w:rsidR="008E4FFA" w:rsidRDefault="008E4FFA" w:rsidP="00F04241">
            <w:pPr>
              <w:rPr>
                <w:sz w:val="20"/>
              </w:rPr>
            </w:pPr>
            <w:r>
              <w:rPr>
                <w:sz w:val="20"/>
              </w:rPr>
              <w:t xml:space="preserve">Collaboration between businesses, cities, sub-national governments, national governments and international organisations can help to pilot new, innovative business models through electricity demand aggregation between various stakeholders. </w:t>
            </w:r>
          </w:p>
          <w:p w14:paraId="2B782BE5" w14:textId="77777777" w:rsidR="008E4FFA" w:rsidRPr="00C67809" w:rsidRDefault="008E4FFA" w:rsidP="00F04241">
            <w:pPr>
              <w:rPr>
                <w:sz w:val="20"/>
              </w:rPr>
            </w:pPr>
            <w:r>
              <w:rPr>
                <w:sz w:val="20"/>
              </w:rPr>
              <w:t>It is also essential that national governments have a platform to exchange best practices and coordinate approaches from a policy perspective. The end of the CEM campaign dedicated to corporate sourcing leaves a void that needs to be filled.</w:t>
            </w:r>
          </w:p>
        </w:tc>
      </w:tr>
    </w:tbl>
    <w:p w14:paraId="64C61EF6" w14:textId="77777777" w:rsidR="008E4FFA" w:rsidRPr="00A318EB" w:rsidRDefault="008E4FFA" w:rsidP="008E4FFA">
      <w:pPr>
        <w:spacing w:line="240" w:lineRule="auto"/>
        <w:rPr>
          <w:rFonts w:asciiTheme="minorHAnsi" w:hAnsiTheme="minorHAnsi"/>
          <w:i/>
          <w:sz w:val="20"/>
        </w:rPr>
      </w:pPr>
    </w:p>
    <w:p w14:paraId="1F9EBCD4" w14:textId="77777777" w:rsidR="008E4FFA" w:rsidRPr="00A318EB" w:rsidRDefault="008E4FFA" w:rsidP="008E4FFA">
      <w:pPr>
        <w:pStyle w:val="ListParagraph"/>
        <w:numPr>
          <w:ilvl w:val="0"/>
          <w:numId w:val="1"/>
        </w:numPr>
        <w:spacing w:after="0" w:line="240" w:lineRule="auto"/>
        <w:rPr>
          <w:rFonts w:eastAsia="Times New Roman"/>
          <w:i/>
          <w:sz w:val="20"/>
          <w:szCs w:val="20"/>
        </w:rPr>
      </w:pPr>
      <w:r w:rsidRPr="00A318EB">
        <w:rPr>
          <w:rFonts w:eastAsia="Times New Roman"/>
          <w:i/>
          <w:sz w:val="20"/>
          <w:szCs w:val="20"/>
        </w:rPr>
        <w:t xml:space="preserve">Lessons learned based on the experience and progress so far </w:t>
      </w:r>
    </w:p>
    <w:tbl>
      <w:tblPr>
        <w:tblStyle w:val="TableGrid"/>
        <w:tblW w:w="0" w:type="auto"/>
        <w:tblLook w:val="04A0" w:firstRow="1" w:lastRow="0" w:firstColumn="1" w:lastColumn="0" w:noHBand="0" w:noVBand="1"/>
      </w:tblPr>
      <w:tblGrid>
        <w:gridCol w:w="9016"/>
      </w:tblGrid>
      <w:tr w:rsidR="008E4FFA" w:rsidRPr="00A318EB" w14:paraId="6855FFAE" w14:textId="77777777" w:rsidTr="00F04241">
        <w:tc>
          <w:tcPr>
            <w:tcW w:w="9016" w:type="dxa"/>
          </w:tcPr>
          <w:p w14:paraId="27BED55A" w14:textId="77777777" w:rsidR="008E4FFA" w:rsidRPr="00A318EB" w:rsidRDefault="008E4FFA" w:rsidP="00F04241">
            <w:pPr>
              <w:rPr>
                <w:i/>
                <w:sz w:val="20"/>
              </w:rPr>
            </w:pPr>
          </w:p>
          <w:p w14:paraId="5F0BAA58" w14:textId="77777777" w:rsidR="008E4FFA" w:rsidRPr="00A318EB" w:rsidRDefault="008E4FFA" w:rsidP="00F04241">
            <w:pPr>
              <w:rPr>
                <w:i/>
                <w:sz w:val="20"/>
              </w:rPr>
            </w:pPr>
          </w:p>
          <w:p w14:paraId="5D92EB34" w14:textId="77777777" w:rsidR="008E4FFA" w:rsidRPr="00A318EB" w:rsidRDefault="008E4FFA" w:rsidP="00F04241">
            <w:pPr>
              <w:rPr>
                <w:i/>
                <w:sz w:val="20"/>
              </w:rPr>
            </w:pPr>
          </w:p>
        </w:tc>
      </w:tr>
    </w:tbl>
    <w:p w14:paraId="463EB597" w14:textId="77777777" w:rsidR="008E4FFA" w:rsidRDefault="008E4FFA" w:rsidP="008E4FFA">
      <w:pPr>
        <w:rPr>
          <w:rFonts w:asciiTheme="minorHAnsi" w:hAnsiTheme="minorHAnsi"/>
          <w:i/>
          <w:sz w:val="20"/>
        </w:rPr>
      </w:pPr>
    </w:p>
    <w:p w14:paraId="6EC9339A" w14:textId="77777777" w:rsidR="008E4FFA" w:rsidRPr="00A318EB" w:rsidRDefault="008E4FFA" w:rsidP="008E4FFA">
      <w:pPr>
        <w:pStyle w:val="ListParagraph"/>
        <w:numPr>
          <w:ilvl w:val="0"/>
          <w:numId w:val="1"/>
        </w:numPr>
        <w:spacing w:after="0" w:line="240" w:lineRule="auto"/>
        <w:rPr>
          <w:rFonts w:eastAsia="Times New Roman"/>
          <w:sz w:val="20"/>
          <w:szCs w:val="20"/>
        </w:rPr>
      </w:pPr>
      <w:r>
        <w:rPr>
          <w:rFonts w:eastAsia="Times New Roman"/>
          <w:i/>
          <w:sz w:val="20"/>
          <w:szCs w:val="20"/>
        </w:rPr>
        <w:t>Public and private financing models</w:t>
      </w:r>
    </w:p>
    <w:tbl>
      <w:tblPr>
        <w:tblStyle w:val="TableGrid"/>
        <w:tblW w:w="0" w:type="auto"/>
        <w:tblLook w:val="04A0" w:firstRow="1" w:lastRow="0" w:firstColumn="1" w:lastColumn="0" w:noHBand="0" w:noVBand="1"/>
      </w:tblPr>
      <w:tblGrid>
        <w:gridCol w:w="9016"/>
      </w:tblGrid>
      <w:tr w:rsidR="008E4FFA" w:rsidRPr="00A318EB" w14:paraId="1994A0F3" w14:textId="77777777" w:rsidTr="00F04241">
        <w:tc>
          <w:tcPr>
            <w:tcW w:w="9016" w:type="dxa"/>
          </w:tcPr>
          <w:p w14:paraId="37CD7B4E" w14:textId="77777777" w:rsidR="008E4FFA" w:rsidRDefault="008E4FFA" w:rsidP="00F04241">
            <w:pPr>
              <w:rPr>
                <w:sz w:val="20"/>
              </w:rPr>
            </w:pPr>
            <w:r>
              <w:rPr>
                <w:sz w:val="20"/>
              </w:rPr>
              <w:t xml:space="preserve">As the business case for renewables become clearer and clearer globally, </w:t>
            </w:r>
            <w:r w:rsidRPr="00AC6A4D">
              <w:rPr>
                <w:sz w:val="20"/>
              </w:rPr>
              <w:t>RE100 members have</w:t>
            </w:r>
            <w:r>
              <w:rPr>
                <w:sz w:val="20"/>
              </w:rPr>
              <w:t xml:space="preserve"> shown that with the right policy framework in place, companies can bring a large amount of private capital into the deployment of renewable energy capacity. Research by BNEF shows that current RE100 members could invest up to $94 billion into wind and solar deployment through PPAs by 2030.</w:t>
            </w:r>
          </w:p>
          <w:p w14:paraId="61002997" w14:textId="77777777" w:rsidR="008E4FFA" w:rsidRDefault="008E4FFA" w:rsidP="00F04241">
            <w:pPr>
              <w:rPr>
                <w:sz w:val="20"/>
              </w:rPr>
            </w:pPr>
          </w:p>
          <w:p w14:paraId="5E485FEB" w14:textId="77777777" w:rsidR="008E4FFA" w:rsidRPr="00AC6A4D" w:rsidRDefault="008E4FFA" w:rsidP="00F04241">
            <w:pPr>
              <w:rPr>
                <w:sz w:val="20"/>
              </w:rPr>
            </w:pPr>
            <w:r>
              <w:rPr>
                <w:sz w:val="20"/>
              </w:rPr>
              <w:t>However, public funding could be used to de-risk long term investment made by companies, especially in regions where the energy policy environment is less stable and certain.</w:t>
            </w:r>
          </w:p>
        </w:tc>
      </w:tr>
    </w:tbl>
    <w:p w14:paraId="75EF574D" w14:textId="77777777" w:rsidR="008E4FFA" w:rsidRDefault="008E4FFA" w:rsidP="008E4FFA">
      <w:pPr>
        <w:rPr>
          <w:rFonts w:asciiTheme="minorHAnsi" w:hAnsiTheme="minorHAnsi"/>
          <w:i/>
          <w:sz w:val="20"/>
        </w:rPr>
      </w:pPr>
    </w:p>
    <w:p w14:paraId="79F51AAF" w14:textId="77777777" w:rsidR="008E4FFA" w:rsidRPr="00A318EB" w:rsidRDefault="008E4FFA" w:rsidP="008E4FFA">
      <w:pPr>
        <w:pStyle w:val="ListParagraph"/>
        <w:numPr>
          <w:ilvl w:val="0"/>
          <w:numId w:val="1"/>
        </w:numPr>
        <w:spacing w:after="0" w:line="240" w:lineRule="auto"/>
        <w:rPr>
          <w:rFonts w:eastAsia="Times New Roman"/>
          <w:sz w:val="20"/>
          <w:szCs w:val="20"/>
        </w:rPr>
      </w:pPr>
      <w:r w:rsidRPr="00A318EB">
        <w:rPr>
          <w:rFonts w:eastAsia="Times New Roman"/>
          <w:i/>
          <w:sz w:val="20"/>
          <w:szCs w:val="20"/>
        </w:rPr>
        <w:t>Impact on non-Party stakeholders if these actions by national level governments and the UN Climate Change process and other opportunities are implemented and how much further they could go</w:t>
      </w:r>
    </w:p>
    <w:tbl>
      <w:tblPr>
        <w:tblStyle w:val="TableGrid"/>
        <w:tblW w:w="0" w:type="auto"/>
        <w:tblLook w:val="04A0" w:firstRow="1" w:lastRow="0" w:firstColumn="1" w:lastColumn="0" w:noHBand="0" w:noVBand="1"/>
      </w:tblPr>
      <w:tblGrid>
        <w:gridCol w:w="9016"/>
      </w:tblGrid>
      <w:tr w:rsidR="008E4FFA" w:rsidRPr="00A318EB" w14:paraId="1929B5DF" w14:textId="77777777" w:rsidTr="00F04241">
        <w:tc>
          <w:tcPr>
            <w:tcW w:w="9016" w:type="dxa"/>
          </w:tcPr>
          <w:p w14:paraId="4B0D9333" w14:textId="77777777" w:rsidR="008E4FFA" w:rsidRDefault="008E4FFA" w:rsidP="00F04241">
            <w:pPr>
              <w:rPr>
                <w:sz w:val="20"/>
              </w:rPr>
            </w:pPr>
            <w:r>
              <w:rPr>
                <w:sz w:val="20"/>
              </w:rPr>
              <w:t xml:space="preserve">Actions </w:t>
            </w:r>
            <w:r w:rsidRPr="00724558">
              <w:rPr>
                <w:sz w:val="20"/>
              </w:rPr>
              <w:t xml:space="preserve">described above – and more particularly the policy levers – have the potential to massively scale up the uptake of renewable energy through unlocking the potential of corporate sourcing. </w:t>
            </w:r>
            <w:r>
              <w:rPr>
                <w:sz w:val="20"/>
              </w:rPr>
              <w:t>More businesses are likely to take aggressive action on renewables as a smart business decision, and many are likely to ratchet up their ambition and accelerate the delivery of the commitments they have made. Our analysis shows that by all switching to 100% renewable power, businesses can cut global CO</w:t>
            </w:r>
            <w:r w:rsidRPr="00DC42B8">
              <w:rPr>
                <w:sz w:val="20"/>
                <w:vertAlign w:val="subscript"/>
              </w:rPr>
              <w:t>2</w:t>
            </w:r>
            <w:r>
              <w:rPr>
                <w:sz w:val="20"/>
              </w:rPr>
              <w:t xml:space="preserve"> emissions by 15%.</w:t>
            </w:r>
          </w:p>
          <w:p w14:paraId="62D4ED75" w14:textId="77777777" w:rsidR="008E4FFA" w:rsidRDefault="008E4FFA" w:rsidP="00F04241">
            <w:pPr>
              <w:rPr>
                <w:sz w:val="20"/>
              </w:rPr>
            </w:pPr>
          </w:p>
          <w:p w14:paraId="1DA68ADB" w14:textId="77777777" w:rsidR="008E4FFA" w:rsidRPr="00A318EB" w:rsidRDefault="008E4FFA" w:rsidP="00F04241">
            <w:pPr>
              <w:rPr>
                <w:i/>
              </w:rPr>
            </w:pPr>
            <w:r>
              <w:rPr>
                <w:sz w:val="20"/>
              </w:rPr>
              <w:t xml:space="preserve">Moreover, this could provide a framework and a model for other constituencies to follow suite. </w:t>
            </w:r>
          </w:p>
        </w:tc>
      </w:tr>
    </w:tbl>
    <w:p w14:paraId="7032FC55" w14:textId="77777777" w:rsidR="008E4FFA" w:rsidRDefault="008E4FFA" w:rsidP="008E4FFA">
      <w:pPr>
        <w:tabs>
          <w:tab w:val="clear" w:pos="709"/>
          <w:tab w:val="clear" w:pos="5245"/>
        </w:tabs>
        <w:spacing w:line="240" w:lineRule="auto"/>
      </w:pPr>
    </w:p>
    <w:p w14:paraId="0A8EE3FA" w14:textId="77777777" w:rsidR="001D66AE" w:rsidRDefault="001D66AE" w:rsidP="001D66AE">
      <w:pPr>
        <w:rPr>
          <w:rFonts w:asciiTheme="minorHAnsi" w:hAnsiTheme="minorHAnsi"/>
          <w:b/>
          <w:sz w:val="24"/>
          <w:szCs w:val="24"/>
        </w:rPr>
      </w:pPr>
      <w:bookmarkStart w:id="0" w:name="_GoBack"/>
      <w:bookmarkEnd w:id="0"/>
    </w:p>
    <w:p w14:paraId="782E1D7D" w14:textId="77777777" w:rsidR="005E6302" w:rsidRDefault="005E6302" w:rsidP="001D66AE">
      <w:pPr>
        <w:rPr>
          <w:rFonts w:asciiTheme="minorHAnsi" w:hAnsiTheme="minorHAnsi"/>
          <w:b/>
          <w:sz w:val="24"/>
          <w:szCs w:val="24"/>
        </w:rPr>
      </w:pPr>
    </w:p>
    <w:sectPr w:rsidR="005E6302" w:rsidSect="009B6C10">
      <w:headerReference w:type="default" r:id="rId15"/>
      <w:pgSz w:w="12240" w:h="15840"/>
      <w:pgMar w:top="1440" w:right="1440" w:bottom="1440" w:left="1440" w:header="119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417D2" w14:textId="77777777" w:rsidR="00E75272" w:rsidRDefault="00E75272" w:rsidP="005339CC">
      <w:pPr>
        <w:spacing w:line="240" w:lineRule="auto"/>
      </w:pPr>
      <w:r>
        <w:separator/>
      </w:r>
    </w:p>
  </w:endnote>
  <w:endnote w:type="continuationSeparator" w:id="0">
    <w:p w14:paraId="04C881B5" w14:textId="77777777" w:rsidR="00E75272" w:rsidRDefault="00E75272" w:rsidP="00533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11F34" w14:textId="77777777" w:rsidR="00E75272" w:rsidRDefault="00E75272" w:rsidP="005339CC">
      <w:pPr>
        <w:spacing w:line="240" w:lineRule="auto"/>
      </w:pPr>
      <w:r>
        <w:separator/>
      </w:r>
    </w:p>
  </w:footnote>
  <w:footnote w:type="continuationSeparator" w:id="0">
    <w:p w14:paraId="6FC5ED06" w14:textId="77777777" w:rsidR="00E75272" w:rsidRDefault="00E75272" w:rsidP="00533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80E51" w14:textId="77777777" w:rsidR="00D301B9" w:rsidRDefault="00D301B9" w:rsidP="00AA4B66">
    <w:pPr>
      <w:pStyle w:val="Header"/>
      <w:widowControl w:val="0"/>
    </w:pPr>
    <w:r w:rsidRPr="000A100E">
      <w:rPr>
        <w:noProof/>
        <w:lang w:val="en-US"/>
      </w:rPr>
      <w:drawing>
        <wp:anchor distT="0" distB="0" distL="114300" distR="114300" simplePos="0" relativeHeight="251660288" behindDoc="0" locked="0" layoutInCell="1" allowOverlap="1" wp14:anchorId="4B2EDB85" wp14:editId="5FA8501C">
          <wp:simplePos x="0" y="0"/>
          <wp:positionH relativeFrom="margin">
            <wp:posOffset>3152140</wp:posOffset>
          </wp:positionH>
          <wp:positionV relativeFrom="paragraph">
            <wp:posOffset>-697534</wp:posOffset>
          </wp:positionV>
          <wp:extent cx="2762250" cy="8616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861695"/>
                  </a:xfrm>
                  <a:prstGeom prst="rect">
                    <a:avLst/>
                  </a:prstGeom>
                </pic:spPr>
              </pic:pic>
            </a:graphicData>
          </a:graphic>
        </wp:anchor>
      </w:drawing>
    </w:r>
    <w:r w:rsidRPr="000A100E">
      <w:rPr>
        <w:noProof/>
        <w:lang w:val="en-US"/>
      </w:rPr>
      <w:drawing>
        <wp:anchor distT="0" distB="0" distL="114300" distR="114300" simplePos="0" relativeHeight="251659264" behindDoc="0" locked="0" layoutInCell="1" allowOverlap="1" wp14:anchorId="5716375C" wp14:editId="0A56A190">
          <wp:simplePos x="0" y="0"/>
          <wp:positionH relativeFrom="margin">
            <wp:posOffset>-201416</wp:posOffset>
          </wp:positionH>
          <wp:positionV relativeFrom="topMargin">
            <wp:align>bottom</wp:align>
          </wp:positionV>
          <wp:extent cx="929640" cy="752475"/>
          <wp:effectExtent l="0" t="0" r="381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9640"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858CE"/>
    <w:multiLevelType w:val="hybridMultilevel"/>
    <w:tmpl w:val="515EEAEE"/>
    <w:lvl w:ilvl="0" w:tplc="2DDC9F2A">
      <w:start w:val="1"/>
      <w:numFmt w:val="decimal"/>
      <w:lvlText w:val="%1."/>
      <w:lvlJc w:val="left"/>
      <w:pPr>
        <w:ind w:left="720" w:hanging="360"/>
      </w:pPr>
      <w:rPr>
        <w:rFonts w:ascii="Times New Roman" w:hAnsi="Times New Roman" w:cs="Times New Roman" w:hint="default"/>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77C25"/>
    <w:multiLevelType w:val="hybridMultilevel"/>
    <w:tmpl w:val="726C1B84"/>
    <w:lvl w:ilvl="0" w:tplc="FBBA906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C7356"/>
    <w:multiLevelType w:val="hybridMultilevel"/>
    <w:tmpl w:val="CAA6E394"/>
    <w:lvl w:ilvl="0" w:tplc="FB2C88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B2EE7"/>
    <w:multiLevelType w:val="hybridMultilevel"/>
    <w:tmpl w:val="BD5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6AE"/>
    <w:rsid w:val="000F557B"/>
    <w:rsid w:val="00176EE2"/>
    <w:rsid w:val="001A2882"/>
    <w:rsid w:val="001C774C"/>
    <w:rsid w:val="001D66AE"/>
    <w:rsid w:val="00216A9B"/>
    <w:rsid w:val="00237713"/>
    <w:rsid w:val="00283365"/>
    <w:rsid w:val="002A0875"/>
    <w:rsid w:val="002A543E"/>
    <w:rsid w:val="00315F0E"/>
    <w:rsid w:val="00396682"/>
    <w:rsid w:val="003D371E"/>
    <w:rsid w:val="003E28D3"/>
    <w:rsid w:val="00413BB9"/>
    <w:rsid w:val="004C2CCE"/>
    <w:rsid w:val="004D15BA"/>
    <w:rsid w:val="004D526B"/>
    <w:rsid w:val="00530FB2"/>
    <w:rsid w:val="005339CC"/>
    <w:rsid w:val="00577842"/>
    <w:rsid w:val="00587261"/>
    <w:rsid w:val="00595EAB"/>
    <w:rsid w:val="005A2D86"/>
    <w:rsid w:val="005B43AB"/>
    <w:rsid w:val="005C7ACC"/>
    <w:rsid w:val="005E6302"/>
    <w:rsid w:val="006209FE"/>
    <w:rsid w:val="006322CE"/>
    <w:rsid w:val="0065177F"/>
    <w:rsid w:val="0066071D"/>
    <w:rsid w:val="00663C52"/>
    <w:rsid w:val="0067725B"/>
    <w:rsid w:val="00687DB2"/>
    <w:rsid w:val="006C27A5"/>
    <w:rsid w:val="007C35D6"/>
    <w:rsid w:val="00801E89"/>
    <w:rsid w:val="00804694"/>
    <w:rsid w:val="0087125E"/>
    <w:rsid w:val="008E4FFA"/>
    <w:rsid w:val="008F7225"/>
    <w:rsid w:val="009A6F7C"/>
    <w:rsid w:val="009B6C10"/>
    <w:rsid w:val="00A34070"/>
    <w:rsid w:val="00A717EC"/>
    <w:rsid w:val="00A7184C"/>
    <w:rsid w:val="00A72786"/>
    <w:rsid w:val="00A919B1"/>
    <w:rsid w:val="00A97A71"/>
    <w:rsid w:val="00AA4B66"/>
    <w:rsid w:val="00B5530F"/>
    <w:rsid w:val="00B77EA8"/>
    <w:rsid w:val="00B824E9"/>
    <w:rsid w:val="00C9741D"/>
    <w:rsid w:val="00CF2765"/>
    <w:rsid w:val="00D270D6"/>
    <w:rsid w:val="00D301B9"/>
    <w:rsid w:val="00DD74D3"/>
    <w:rsid w:val="00DE1F9F"/>
    <w:rsid w:val="00DF4FC6"/>
    <w:rsid w:val="00DF5156"/>
    <w:rsid w:val="00E3533E"/>
    <w:rsid w:val="00E53AEB"/>
    <w:rsid w:val="00E75272"/>
    <w:rsid w:val="00EA6C1F"/>
    <w:rsid w:val="00F23B64"/>
    <w:rsid w:val="00F54FD5"/>
    <w:rsid w:val="00F82C7B"/>
    <w:rsid w:val="00FC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79AB"/>
  <w15:chartTrackingRefBased/>
  <w15:docId w15:val="{CDDAFE38-227A-4F1F-87C4-4F9EF065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302"/>
    <w:pPr>
      <w:tabs>
        <w:tab w:val="left" w:pos="709"/>
        <w:tab w:val="left" w:pos="5245"/>
      </w:tabs>
      <w:spacing w:after="0" w:line="284" w:lineRule="atLeast"/>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1D66AE"/>
    <w:rPr>
      <w:sz w:val="16"/>
    </w:rPr>
  </w:style>
  <w:style w:type="paragraph" w:styleId="CommentText">
    <w:name w:val="annotation text"/>
    <w:basedOn w:val="Normal"/>
    <w:link w:val="CommentTextChar"/>
    <w:uiPriority w:val="99"/>
    <w:semiHidden/>
    <w:rsid w:val="001D66AE"/>
  </w:style>
  <w:style w:type="character" w:customStyle="1" w:styleId="CommentTextChar">
    <w:name w:val="Comment Text Char"/>
    <w:basedOn w:val="DefaultParagraphFont"/>
    <w:link w:val="CommentText"/>
    <w:uiPriority w:val="99"/>
    <w:semiHidden/>
    <w:rsid w:val="001D66AE"/>
    <w:rPr>
      <w:rFonts w:ascii="Times New Roman" w:eastAsia="Times New Roman" w:hAnsi="Times New Roman" w:cs="Times New Roman"/>
      <w:szCs w:val="20"/>
      <w:lang w:val="en-GB"/>
    </w:rPr>
  </w:style>
  <w:style w:type="paragraph" w:styleId="NormalWeb">
    <w:name w:val="Normal (Web)"/>
    <w:basedOn w:val="Normal"/>
    <w:uiPriority w:val="99"/>
    <w:unhideWhenUsed/>
    <w:rsid w:val="001D66AE"/>
    <w:pPr>
      <w:tabs>
        <w:tab w:val="clear" w:pos="709"/>
        <w:tab w:val="clear" w:pos="5245"/>
      </w:tabs>
      <w:spacing w:before="100" w:beforeAutospacing="1" w:after="100" w:afterAutospacing="1" w:line="240" w:lineRule="auto"/>
    </w:pPr>
    <w:rPr>
      <w:rFonts w:eastAsia="Calibri"/>
      <w:sz w:val="24"/>
      <w:szCs w:val="24"/>
      <w:lang w:val="en-US"/>
    </w:rPr>
  </w:style>
  <w:style w:type="paragraph" w:styleId="ListParagraph">
    <w:name w:val="List Paragraph"/>
    <w:basedOn w:val="Normal"/>
    <w:uiPriority w:val="34"/>
    <w:qFormat/>
    <w:rsid w:val="001D66AE"/>
    <w:pPr>
      <w:tabs>
        <w:tab w:val="clear" w:pos="709"/>
        <w:tab w:val="clear" w:pos="5245"/>
      </w:tabs>
      <w:spacing w:after="160" w:line="259" w:lineRule="auto"/>
      <w:ind w:left="720"/>
      <w:contextualSpacing/>
    </w:pPr>
    <w:rPr>
      <w:rFonts w:asciiTheme="minorHAnsi" w:eastAsiaTheme="minorHAnsi" w:hAnsiTheme="minorHAnsi" w:cstheme="minorBidi"/>
      <w:szCs w:val="22"/>
      <w:lang w:val="en-IE"/>
    </w:rPr>
  </w:style>
  <w:style w:type="table" w:styleId="TableGrid">
    <w:name w:val="Table Grid"/>
    <w:basedOn w:val="TableNormal"/>
    <w:uiPriority w:val="39"/>
    <w:rsid w:val="001D66AE"/>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6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AE"/>
    <w:rPr>
      <w:rFonts w:ascii="Segoe UI" w:eastAsia="Times New Roman" w:hAnsi="Segoe UI" w:cs="Segoe UI"/>
      <w:sz w:val="18"/>
      <w:szCs w:val="18"/>
      <w:lang w:val="en-GB"/>
    </w:rPr>
  </w:style>
  <w:style w:type="paragraph" w:styleId="Header">
    <w:name w:val="header"/>
    <w:basedOn w:val="Normal"/>
    <w:link w:val="HeaderChar"/>
    <w:uiPriority w:val="99"/>
    <w:unhideWhenUsed/>
    <w:rsid w:val="005339CC"/>
    <w:pPr>
      <w:tabs>
        <w:tab w:val="clear" w:pos="709"/>
        <w:tab w:val="clear" w:pos="5245"/>
        <w:tab w:val="center" w:pos="4680"/>
        <w:tab w:val="right" w:pos="9360"/>
      </w:tabs>
      <w:spacing w:line="240" w:lineRule="auto"/>
    </w:pPr>
  </w:style>
  <w:style w:type="character" w:customStyle="1" w:styleId="HeaderChar">
    <w:name w:val="Header Char"/>
    <w:basedOn w:val="DefaultParagraphFont"/>
    <w:link w:val="Header"/>
    <w:uiPriority w:val="99"/>
    <w:rsid w:val="005339C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339CC"/>
    <w:pPr>
      <w:tabs>
        <w:tab w:val="clear" w:pos="709"/>
        <w:tab w:val="clear" w:pos="5245"/>
        <w:tab w:val="center" w:pos="4680"/>
        <w:tab w:val="right" w:pos="9360"/>
      </w:tabs>
      <w:spacing w:line="240" w:lineRule="auto"/>
    </w:pPr>
  </w:style>
  <w:style w:type="character" w:customStyle="1" w:styleId="FooterChar">
    <w:name w:val="Footer Char"/>
    <w:basedOn w:val="DefaultParagraphFont"/>
    <w:link w:val="Footer"/>
    <w:uiPriority w:val="99"/>
    <w:rsid w:val="005339CC"/>
    <w:rPr>
      <w:rFonts w:ascii="Times New Roman" w:eastAsia="Times New Roman" w:hAnsi="Times New Roman" w:cs="Times New Roman"/>
      <w:szCs w:val="20"/>
      <w:lang w:val="en-GB"/>
    </w:rPr>
  </w:style>
  <w:style w:type="character" w:styleId="Hyperlink">
    <w:name w:val="Hyperlink"/>
    <w:basedOn w:val="DefaultParagraphFont"/>
    <w:uiPriority w:val="99"/>
    <w:unhideWhenUsed/>
    <w:rsid w:val="008E4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here100.org/news/1427638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re100.org/news/142763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dia.virbcdn.com/files/97/930dc6de1a8be898-RE100GOINGBEYOND.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rael.berkeley.edu/old_drupal/sites/default/files/very-old-site/renewables.jobs.20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here100.org/news/142705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FA0FBAE9B274DBAF460EE7726A4A9" ma:contentTypeVersion="10" ma:contentTypeDescription="Create a new document." ma:contentTypeScope="" ma:versionID="da1e618fa4cf9b83269ec337c20741fa">
  <xsd:schema xmlns:xsd="http://www.w3.org/2001/XMLSchema" xmlns:xs="http://www.w3.org/2001/XMLSchema" xmlns:p="http://schemas.microsoft.com/office/2006/metadata/properties" xmlns:ns1="http://schemas.microsoft.com/sharepoint/v3" xmlns:ns2="07cc6b92-0b5e-41cd-96a4-2c1258f4aa25" xmlns:ns3="5b729e1a-2b56-47ae-acad-b7fcec056902" targetNamespace="http://schemas.microsoft.com/office/2006/metadata/properties" ma:root="true" ma:fieldsID="e97ef63a6d50faa65d2d7ac0e4454644" ns1:_="" ns2:_="" ns3:_="">
    <xsd:import namespace="http://schemas.microsoft.com/sharepoint/v3"/>
    <xsd:import namespace="07cc6b92-0b5e-41cd-96a4-2c1258f4aa25"/>
    <xsd:import namespace="5b729e1a-2b56-47ae-acad-b7fcec05690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cc6b92-0b5e-41cd-96a4-2c1258f4aa2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29e1a-2b56-47ae-acad-b7fcec05690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41B36-0E7B-4074-B8DA-7F1B586C5660}">
  <ds:schemaRefs>
    <ds:schemaRef ds:uri="http://schemas.microsoft.com/sharepoint/v3/contenttype/forms"/>
  </ds:schemaRefs>
</ds:datastoreItem>
</file>

<file path=customXml/itemProps2.xml><?xml version="1.0" encoding="utf-8"?>
<ds:datastoreItem xmlns:ds="http://schemas.openxmlformats.org/officeDocument/2006/customXml" ds:itemID="{586DA3B1-6A97-4F6B-BF63-62EA29151E5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931FA3-CB79-46A8-B214-723E74FA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cc6b92-0b5e-41cd-96a4-2c1258f4aa25"/>
    <ds:schemaRef ds:uri="5b729e1a-2b56-47ae-acad-b7fcec056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2792</Words>
  <Characters>15917</Characters>
  <Application>Microsoft Office Word</Application>
  <DocSecurity>0</DocSecurity>
  <Lines>132</Lines>
  <Paragraphs>37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Magalhaes</dc:creator>
  <cp:keywords/>
  <dc:description/>
  <cp:lastModifiedBy>Constant Alarcon</cp:lastModifiedBy>
  <cp:revision>2</cp:revision>
  <dcterms:created xsi:type="dcterms:W3CDTF">2018-03-30T14:40:00Z</dcterms:created>
  <dcterms:modified xsi:type="dcterms:W3CDTF">2018-03-30T14:40:00Z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0x0101001CEFA0FBAE9B274DBAF460EE7726A4A9</vt:lpwstr>
  </property>
</Properties>
</file>