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AE" w:rsidRPr="00A318EB" w:rsidRDefault="001D66AE" w:rsidP="001D66AE">
      <w:pPr>
        <w:pStyle w:val="NormalWeb"/>
        <w:spacing w:before="0" w:beforeAutospacing="0" w:after="0" w:afterAutospacing="0" w:line="292" w:lineRule="atLeast"/>
        <w:rPr>
          <w:rFonts w:asciiTheme="minorHAnsi" w:hAnsiTheme="minorHAnsi"/>
          <w:sz w:val="22"/>
          <w:szCs w:val="22"/>
          <w:lang w:val="en-GB"/>
        </w:rPr>
      </w:pPr>
    </w:p>
    <w:p w:rsidR="008F7CA8" w:rsidRDefault="008F7CA8" w:rsidP="00464883">
      <w:pPr>
        <w:jc w:val="center"/>
        <w:rPr>
          <w:rFonts w:asciiTheme="minorHAnsi" w:hAnsiTheme="minorHAnsi"/>
          <w:sz w:val="32"/>
          <w:szCs w:val="32"/>
          <w:lang w:val="fr-FR"/>
        </w:rPr>
      </w:pPr>
      <w:bookmarkStart w:id="0" w:name="_GoBack"/>
      <w:r w:rsidRPr="008F7CA8">
        <w:rPr>
          <w:rFonts w:asciiTheme="minorHAnsi" w:hAnsiTheme="minorHAnsi"/>
          <w:sz w:val="32"/>
          <w:szCs w:val="32"/>
          <w:lang w:val="fr-FR"/>
        </w:rPr>
        <w:t xml:space="preserve">Soumission des </w:t>
      </w:r>
      <w:r>
        <w:rPr>
          <w:rFonts w:asciiTheme="minorHAnsi" w:hAnsiTheme="minorHAnsi"/>
          <w:sz w:val="32"/>
          <w:szCs w:val="32"/>
          <w:lang w:val="fr-FR"/>
        </w:rPr>
        <w:t xml:space="preserve">organisations membres des </w:t>
      </w:r>
      <w:r w:rsidRPr="008F7CA8">
        <w:rPr>
          <w:rFonts w:asciiTheme="minorHAnsi" w:hAnsiTheme="minorHAnsi"/>
          <w:sz w:val="32"/>
          <w:szCs w:val="32"/>
          <w:lang w:val="fr-FR"/>
        </w:rPr>
        <w:t>plateformes de la société civile d’</w:t>
      </w:r>
      <w:r>
        <w:rPr>
          <w:rFonts w:asciiTheme="minorHAnsi" w:hAnsiTheme="minorHAnsi"/>
          <w:sz w:val="32"/>
          <w:szCs w:val="32"/>
          <w:lang w:val="fr-FR"/>
        </w:rPr>
        <w:t>Afrique centrale</w:t>
      </w:r>
      <w:r w:rsidR="004468C0">
        <w:rPr>
          <w:rFonts w:asciiTheme="minorHAnsi" w:hAnsiTheme="minorHAnsi"/>
          <w:sz w:val="32"/>
          <w:szCs w:val="32"/>
          <w:lang w:val="fr-FR"/>
        </w:rPr>
        <w:t> :</w:t>
      </w:r>
    </w:p>
    <w:p w:rsidR="008F7CA8" w:rsidRDefault="004468C0" w:rsidP="008F7CA8">
      <w:pPr>
        <w:pStyle w:val="ListParagraph"/>
        <w:numPr>
          <w:ilvl w:val="0"/>
          <w:numId w:val="3"/>
        </w:numPr>
        <w:jc w:val="center"/>
        <w:rPr>
          <w:sz w:val="32"/>
          <w:szCs w:val="32"/>
          <w:lang w:val="fr-FR"/>
        </w:rPr>
      </w:pPr>
      <w:r>
        <w:rPr>
          <w:sz w:val="32"/>
          <w:szCs w:val="32"/>
          <w:lang w:val="fr-FR"/>
        </w:rPr>
        <w:t>Plateforme pour la</w:t>
      </w:r>
      <w:r w:rsidR="008F7CA8">
        <w:rPr>
          <w:sz w:val="32"/>
          <w:szCs w:val="32"/>
          <w:lang w:val="fr-FR"/>
        </w:rPr>
        <w:t xml:space="preserve"> gestion durable des forêts (GDRNE)</w:t>
      </w:r>
      <w:r>
        <w:rPr>
          <w:sz w:val="32"/>
          <w:szCs w:val="32"/>
          <w:lang w:val="fr-FR"/>
        </w:rPr>
        <w:t xml:space="preserve"> en République centrafricaine</w:t>
      </w:r>
    </w:p>
    <w:p w:rsidR="004468C0" w:rsidRPr="004468C0" w:rsidRDefault="008F7CA8" w:rsidP="004468C0">
      <w:pPr>
        <w:pStyle w:val="ListParagraph"/>
        <w:numPr>
          <w:ilvl w:val="0"/>
          <w:numId w:val="3"/>
        </w:numPr>
        <w:jc w:val="center"/>
        <w:rPr>
          <w:sz w:val="32"/>
          <w:szCs w:val="32"/>
          <w:lang w:val="fr-FR"/>
        </w:rPr>
      </w:pPr>
      <w:r w:rsidRPr="004468C0">
        <w:rPr>
          <w:sz w:val="32"/>
          <w:szCs w:val="32"/>
          <w:lang w:val="fr-FR"/>
        </w:rPr>
        <w:t>P</w:t>
      </w:r>
      <w:r w:rsidR="004468C0" w:rsidRPr="004468C0">
        <w:rPr>
          <w:sz w:val="32"/>
          <w:szCs w:val="32"/>
          <w:lang w:val="fr-FR"/>
        </w:rPr>
        <w:t>lateforme CACO REDD et Plateforme P</w:t>
      </w:r>
      <w:r w:rsidR="004468C0">
        <w:rPr>
          <w:sz w:val="32"/>
          <w:szCs w:val="32"/>
          <w:lang w:val="fr-FR"/>
        </w:rPr>
        <w:t>almier à Huile en République du Congo</w:t>
      </w:r>
    </w:p>
    <w:bookmarkEnd w:id="0"/>
    <w:p w:rsidR="009D5D01" w:rsidRPr="004468C0" w:rsidRDefault="00973D02" w:rsidP="004468C0">
      <w:pPr>
        <w:ind w:left="360"/>
        <w:jc w:val="center"/>
        <w:rPr>
          <w:b/>
          <w:sz w:val="32"/>
          <w:szCs w:val="32"/>
          <w:lang w:val="en-US"/>
        </w:rPr>
      </w:pPr>
      <w:r w:rsidRPr="004468C0">
        <w:rPr>
          <w:b/>
          <w:sz w:val="32"/>
          <w:szCs w:val="32"/>
          <w:lang w:val="en-US"/>
        </w:rPr>
        <w:t>Question 3</w:t>
      </w:r>
      <w:r w:rsidR="00AA4B66" w:rsidRPr="004468C0">
        <w:rPr>
          <w:b/>
          <w:sz w:val="32"/>
          <w:szCs w:val="32"/>
          <w:lang w:val="en-US"/>
        </w:rPr>
        <w:t xml:space="preserve"> - </w:t>
      </w:r>
      <w:r w:rsidR="009D5D01" w:rsidRPr="004468C0">
        <w:rPr>
          <w:b/>
          <w:sz w:val="32"/>
          <w:szCs w:val="32"/>
          <w:lang w:val="en-US"/>
        </w:rPr>
        <w:t>How do we get there?</w:t>
      </w:r>
    </w:p>
    <w:p w:rsidR="001D66AE" w:rsidRPr="008F7CA8" w:rsidRDefault="001D66AE" w:rsidP="001D66AE">
      <w:pPr>
        <w:rPr>
          <w:rFonts w:asciiTheme="minorHAnsi" w:hAnsiTheme="minorHAnsi"/>
          <w:b/>
          <w:sz w:val="32"/>
          <w:szCs w:val="32"/>
          <w:lang w:val="en-US"/>
        </w:rPr>
      </w:pPr>
    </w:p>
    <w:p w:rsidR="001D66AE" w:rsidRPr="008F7CA8" w:rsidRDefault="001D66AE" w:rsidP="001D66AE">
      <w:pPr>
        <w:rPr>
          <w:rFonts w:asciiTheme="minorHAnsi" w:hAnsiTheme="minorHAnsi"/>
          <w:b/>
          <w:sz w:val="24"/>
          <w:szCs w:val="24"/>
          <w:lang w:val="en-US"/>
        </w:rPr>
      </w:pPr>
    </w:p>
    <w:p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How do we get there?</w:t>
      </w:r>
    </w:p>
    <w:p w:rsidR="001D66AE" w:rsidRPr="00A318EB" w:rsidRDefault="001D66AE" w:rsidP="001D66AE">
      <w:pPr>
        <w:rPr>
          <w:rFonts w:asciiTheme="minorHAnsi" w:hAnsiTheme="minorHAnsi"/>
          <w:i/>
          <w:sz w:val="20"/>
        </w:rPr>
      </w:pPr>
      <w:r>
        <w:rPr>
          <w:rFonts w:asciiTheme="minorHAnsi" w:hAnsiTheme="minorHAnsi"/>
          <w:i/>
          <w:sz w:val="20"/>
        </w:rPr>
        <w:t>Ways in which the UN Climate Change process can help you achieve your vision and goals</w:t>
      </w:r>
      <w:r w:rsidR="0066071D">
        <w:rPr>
          <w:rFonts w:asciiTheme="minorHAnsi" w:hAnsiTheme="minorHAnsi"/>
          <w:i/>
          <w:sz w:val="20"/>
        </w:rPr>
        <w:t xml:space="preserve">, and how your actions can help in </w:t>
      </w:r>
      <w:r w:rsidR="00396682">
        <w:rPr>
          <w:rFonts w:asciiTheme="minorHAnsi" w:hAnsiTheme="minorHAnsi"/>
          <w:i/>
          <w:sz w:val="20"/>
        </w:rPr>
        <w:t xml:space="preserve">expediting sustainable transitions to climate neutral societies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1D66AE" w:rsidRPr="008F7CA8" w:rsidTr="00614DCB">
        <w:tc>
          <w:tcPr>
            <w:tcW w:w="9016" w:type="dxa"/>
          </w:tcPr>
          <w:p w:rsidR="008F7CA8" w:rsidRPr="008F7CA8" w:rsidRDefault="008F7CA8" w:rsidP="008F7CA8">
            <w:pPr>
              <w:pStyle w:val="Default"/>
              <w:rPr>
                <w:sz w:val="22"/>
                <w:szCs w:val="22"/>
                <w:lang w:val="fr-FR"/>
              </w:rPr>
            </w:pPr>
            <w:r w:rsidRPr="008F7CA8">
              <w:rPr>
                <w:sz w:val="22"/>
                <w:szCs w:val="22"/>
                <w:lang w:val="fr-FR"/>
              </w:rPr>
              <w:t xml:space="preserve">Pour accroître la contribution des forêts communautaires à la lutte contre le changement climatique il est nécessaire de : </w:t>
            </w:r>
          </w:p>
          <w:p w:rsidR="008F7CA8" w:rsidRPr="008F7CA8" w:rsidRDefault="008F7CA8" w:rsidP="008F7CA8">
            <w:pPr>
              <w:pStyle w:val="Default"/>
              <w:spacing w:after="34"/>
              <w:rPr>
                <w:sz w:val="22"/>
                <w:szCs w:val="22"/>
                <w:lang w:val="fr-FR"/>
              </w:rPr>
            </w:pPr>
            <w:r>
              <w:rPr>
                <w:rFonts w:ascii="Wingdings" w:hAnsi="Wingdings" w:cs="Wingdings"/>
                <w:sz w:val="22"/>
                <w:szCs w:val="22"/>
              </w:rPr>
              <w:t></w:t>
            </w:r>
            <w:r>
              <w:rPr>
                <w:rFonts w:ascii="Wingdings" w:hAnsi="Wingdings" w:cs="Wingdings"/>
                <w:sz w:val="22"/>
                <w:szCs w:val="22"/>
              </w:rPr>
              <w:t></w:t>
            </w:r>
            <w:r w:rsidRPr="008F7CA8">
              <w:rPr>
                <w:sz w:val="22"/>
                <w:szCs w:val="22"/>
                <w:lang w:val="fr-FR"/>
              </w:rPr>
              <w:t xml:space="preserve">Renforcer les capacités techniques et opérationnelles des communautés dans la gestion de leur forêt et de diversifier les sources de création des richesses, d’activités génératrices de revenus et de microentreprises autour des forêts communautaires ; </w:t>
            </w:r>
          </w:p>
          <w:p w:rsidR="008F7CA8" w:rsidRPr="008F7CA8" w:rsidRDefault="008F7CA8" w:rsidP="008F7CA8">
            <w:pPr>
              <w:pStyle w:val="Default"/>
              <w:spacing w:after="34"/>
              <w:rPr>
                <w:sz w:val="22"/>
                <w:szCs w:val="22"/>
                <w:lang w:val="fr-FR"/>
              </w:rPr>
            </w:pPr>
            <w:r>
              <w:rPr>
                <w:rFonts w:ascii="Wingdings" w:hAnsi="Wingdings" w:cs="Wingdings"/>
                <w:sz w:val="22"/>
                <w:szCs w:val="22"/>
              </w:rPr>
              <w:t></w:t>
            </w:r>
            <w:r>
              <w:rPr>
                <w:rFonts w:ascii="Wingdings" w:hAnsi="Wingdings" w:cs="Wingdings"/>
                <w:sz w:val="22"/>
                <w:szCs w:val="22"/>
              </w:rPr>
              <w:t></w:t>
            </w:r>
            <w:r w:rsidRPr="008F7CA8">
              <w:rPr>
                <w:sz w:val="22"/>
                <w:szCs w:val="22"/>
                <w:lang w:val="fr-FR"/>
              </w:rPr>
              <w:t xml:space="preserve">Prendre en compte dans l’élaboration des plans climat territoriaux climat les espaces ainsi que les besoins vitaux et de développement des communautés locales dépendantes des forêts ; </w:t>
            </w:r>
          </w:p>
          <w:p w:rsidR="008F7CA8" w:rsidRPr="008F7CA8" w:rsidRDefault="008F7CA8" w:rsidP="008F7CA8">
            <w:pPr>
              <w:pStyle w:val="Default"/>
              <w:spacing w:after="34"/>
              <w:rPr>
                <w:sz w:val="22"/>
                <w:szCs w:val="22"/>
                <w:lang w:val="fr-FR"/>
              </w:rPr>
            </w:pPr>
            <w:r>
              <w:rPr>
                <w:rFonts w:ascii="Wingdings" w:hAnsi="Wingdings" w:cs="Wingdings"/>
                <w:sz w:val="22"/>
                <w:szCs w:val="22"/>
              </w:rPr>
              <w:t></w:t>
            </w:r>
            <w:r>
              <w:rPr>
                <w:rFonts w:ascii="Wingdings" w:hAnsi="Wingdings" w:cs="Wingdings"/>
                <w:sz w:val="22"/>
                <w:szCs w:val="22"/>
              </w:rPr>
              <w:t></w:t>
            </w:r>
            <w:r w:rsidRPr="008F7CA8">
              <w:rPr>
                <w:sz w:val="22"/>
                <w:szCs w:val="22"/>
                <w:lang w:val="fr-FR"/>
              </w:rPr>
              <w:t>I</w:t>
            </w:r>
            <w:r>
              <w:rPr>
                <w:sz w:val="22"/>
                <w:szCs w:val="22"/>
                <w:lang w:val="fr-FR"/>
              </w:rPr>
              <w:t xml:space="preserve">nstaurer </w:t>
            </w:r>
            <w:r w:rsidRPr="008F7CA8">
              <w:rPr>
                <w:sz w:val="22"/>
                <w:szCs w:val="22"/>
                <w:lang w:val="fr-FR"/>
              </w:rPr>
              <w:t xml:space="preserve">une clause préférentielle pour les produits des forêts communautaires ainsi que biens et services des acteurs locaux dans les commandes publiques au niveau local et national ; </w:t>
            </w:r>
          </w:p>
          <w:p w:rsidR="008F7CA8" w:rsidRPr="008F7CA8" w:rsidRDefault="008F7CA8" w:rsidP="008F7CA8">
            <w:pPr>
              <w:pStyle w:val="Default"/>
              <w:rPr>
                <w:lang w:val="fr-FR"/>
              </w:rPr>
            </w:pPr>
            <w:r>
              <w:rPr>
                <w:rFonts w:ascii="Wingdings" w:hAnsi="Wingdings" w:cs="Wingdings"/>
                <w:sz w:val="22"/>
                <w:szCs w:val="22"/>
              </w:rPr>
              <w:t></w:t>
            </w:r>
            <w:r>
              <w:rPr>
                <w:rFonts w:ascii="Wingdings" w:hAnsi="Wingdings" w:cs="Wingdings"/>
                <w:sz w:val="22"/>
                <w:szCs w:val="22"/>
              </w:rPr>
              <w:t></w:t>
            </w:r>
            <w:r w:rsidRPr="008F7CA8">
              <w:rPr>
                <w:sz w:val="22"/>
                <w:szCs w:val="22"/>
                <w:lang w:val="fr-FR"/>
              </w:rPr>
              <w:t>Faciliter et encourager la mise en place et la gestion des forêts communautaires comme outil de restauration des forêts, de conservation de la biodiversité, de lutte contre l’exploitation illégale du bois et la lutte contre le changement climatique. A cet effet il convient de valoriser et promouvoir les utilisations d</w:t>
            </w:r>
            <w:r>
              <w:rPr>
                <w:sz w:val="22"/>
                <w:szCs w:val="22"/>
                <w:lang w:val="fr-FR"/>
              </w:rPr>
              <w:t>e la forêt autres que le bois (t</w:t>
            </w:r>
            <w:r w:rsidRPr="008F7CA8">
              <w:rPr>
                <w:sz w:val="22"/>
                <w:szCs w:val="22"/>
                <w:lang w:val="fr-FR"/>
              </w:rPr>
              <w:t xml:space="preserve">ransformation et commercialisation des </w:t>
            </w:r>
            <w:r>
              <w:rPr>
                <w:sz w:val="22"/>
                <w:szCs w:val="22"/>
                <w:lang w:val="fr-FR"/>
              </w:rPr>
              <w:t>produits forestiers non ligneux, écotourisme, agro écologie).</w:t>
            </w:r>
            <w:r w:rsidRPr="008F7CA8">
              <w:rPr>
                <w:sz w:val="22"/>
                <w:szCs w:val="22"/>
                <w:lang w:val="fr-FR"/>
              </w:rPr>
              <w:t xml:space="preserve"> </w:t>
            </w:r>
          </w:p>
          <w:p w:rsidR="008F7CA8" w:rsidRPr="008F7CA8" w:rsidRDefault="008F7CA8" w:rsidP="008F7CA8">
            <w:pPr>
              <w:pStyle w:val="Default"/>
              <w:rPr>
                <w:sz w:val="22"/>
                <w:szCs w:val="22"/>
                <w:lang w:val="fr-FR"/>
              </w:rPr>
            </w:pPr>
          </w:p>
          <w:p w:rsidR="008F7CA8" w:rsidRPr="008F7CA8" w:rsidRDefault="008F7CA8" w:rsidP="008F7CA8">
            <w:pPr>
              <w:pStyle w:val="Default"/>
              <w:rPr>
                <w:sz w:val="22"/>
                <w:szCs w:val="22"/>
                <w:lang w:val="fr-FR"/>
              </w:rPr>
            </w:pPr>
          </w:p>
          <w:p w:rsidR="001D66AE" w:rsidRPr="008F7CA8" w:rsidRDefault="001D66AE" w:rsidP="00614DCB">
            <w:pPr>
              <w:rPr>
                <w:i/>
                <w:sz w:val="20"/>
                <w:lang w:val="fr-FR"/>
              </w:rPr>
            </w:pPr>
          </w:p>
          <w:p w:rsidR="001D66AE" w:rsidRPr="008F7CA8" w:rsidRDefault="001D66AE" w:rsidP="00614DCB">
            <w:pPr>
              <w:rPr>
                <w:i/>
                <w:sz w:val="20"/>
                <w:lang w:val="fr-FR"/>
              </w:rPr>
            </w:pPr>
          </w:p>
        </w:tc>
      </w:tr>
    </w:tbl>
    <w:p w:rsidR="001D66AE" w:rsidRPr="008F7CA8" w:rsidRDefault="001D66AE" w:rsidP="001D66AE">
      <w:pPr>
        <w:rPr>
          <w:rFonts w:asciiTheme="minorHAnsi" w:hAnsiTheme="minorHAnsi"/>
          <w:i/>
          <w:sz w:val="20"/>
          <w:lang w:val="fr-FR"/>
        </w:rPr>
      </w:pPr>
    </w:p>
    <w:p w:rsidR="001D66AE" w:rsidRPr="00A318EB" w:rsidRDefault="001D66AE" w:rsidP="001D66AE">
      <w:pPr>
        <w:rPr>
          <w:rFonts w:asciiTheme="minorHAnsi" w:hAnsiTheme="minorHAnsi"/>
          <w:i/>
          <w:sz w:val="20"/>
        </w:rPr>
      </w:pPr>
      <w:r w:rsidRPr="00A318EB">
        <w:rPr>
          <w:rFonts w:asciiTheme="minorHAnsi" w:hAnsiTheme="minorHAnsi"/>
          <w:i/>
          <w:sz w:val="20"/>
        </w:rPr>
        <w:t xml:space="preserve">Concrete solutions </w:t>
      </w:r>
      <w:r>
        <w:rPr>
          <w:rFonts w:asciiTheme="minorHAnsi" w:hAnsiTheme="minorHAnsi"/>
          <w:i/>
          <w:sz w:val="20"/>
        </w:rPr>
        <w:t>that have been re</w:t>
      </w:r>
      <w:r w:rsidR="003D371E">
        <w:rPr>
          <w:rFonts w:asciiTheme="minorHAnsi" w:hAnsiTheme="minorHAnsi"/>
          <w:i/>
          <w:sz w:val="20"/>
        </w:rPr>
        <w:t xml:space="preserve">alized while implementing your </w:t>
      </w:r>
      <w:r>
        <w:rPr>
          <w:rFonts w:asciiTheme="minorHAnsi" w:hAnsiTheme="minorHAnsi"/>
          <w:i/>
          <w:sz w:val="20"/>
        </w:rPr>
        <w:t>commitments</w:t>
      </w:r>
      <w:r w:rsidR="00216A9B">
        <w:rPr>
          <w:rFonts w:asciiTheme="minorHAnsi" w:hAnsiTheme="minorHAnsi"/>
          <w:i/>
          <w:sz w:val="20"/>
        </w:rPr>
        <w:t>, including lessons learnt from</w:t>
      </w:r>
      <w:r w:rsidR="00216A9B" w:rsidRPr="00A318EB">
        <w:rPr>
          <w:rFonts w:asciiTheme="minorHAnsi" w:hAnsiTheme="minorHAnsi"/>
          <w:i/>
          <w:sz w:val="20"/>
        </w:rPr>
        <w:t xml:space="preserve"> success stories</w:t>
      </w:r>
      <w:r w:rsidR="00216A9B">
        <w:rPr>
          <w:rFonts w:asciiTheme="minorHAnsi" w:hAnsiTheme="minorHAnsi"/>
          <w:i/>
          <w:sz w:val="20"/>
        </w:rPr>
        <w:t xml:space="preserve"> and challenges</w:t>
      </w:r>
      <w:r w:rsidR="00216A9B" w:rsidRPr="00A318EB">
        <w:rPr>
          <w:rFonts w:asciiTheme="minorHAnsi" w:hAnsiTheme="minorHAnsi"/>
          <w:i/>
          <w:sz w:val="20"/>
        </w:rPr>
        <w:t xml:space="preserve">, </w:t>
      </w:r>
      <w:r w:rsidR="00216A9B">
        <w:rPr>
          <w:rFonts w:asciiTheme="minorHAnsi" w:hAnsiTheme="minorHAnsi"/>
          <w:i/>
          <w:sz w:val="20"/>
        </w:rPr>
        <w:t xml:space="preserve">and </w:t>
      </w:r>
      <w:r w:rsidR="00216A9B" w:rsidRPr="00A318EB">
        <w:rPr>
          <w:rFonts w:asciiTheme="minorHAnsi" w:hAnsiTheme="minorHAnsi"/>
          <w:i/>
          <w:sz w:val="20"/>
        </w:rPr>
        <w:t>case studie</w:t>
      </w:r>
      <w:r w:rsidR="005C7ACC">
        <w:rPr>
          <w:rFonts w:asciiTheme="minorHAnsi" w:hAnsiTheme="minorHAnsi"/>
          <w:i/>
          <w:sz w:val="20"/>
        </w:rPr>
        <w:t>s</w:t>
      </w:r>
      <w:r w:rsidR="00216A9B" w:rsidRPr="00A318EB">
        <w:rPr>
          <w:rFonts w:asciiTheme="minorHAnsi" w:hAnsiTheme="minorHAnsi"/>
          <w:i/>
          <w:sz w:val="20"/>
        </w:rPr>
        <w:t xml:space="preserve"> </w:t>
      </w:r>
      <w:r w:rsidRPr="00A318EB">
        <w:rPr>
          <w:rFonts w:asciiTheme="minorHAnsi" w:hAnsiTheme="minorHAnsi"/>
          <w:i/>
          <w:sz w:val="20"/>
        </w:rPr>
        <w:t xml:space="preserve">that are in line with the 1.5/2 degrees’ goal and </w:t>
      </w:r>
      <w:r w:rsidR="00396682">
        <w:rPr>
          <w:rFonts w:asciiTheme="minorHAnsi" w:hAnsiTheme="minorHAnsi"/>
          <w:i/>
          <w:sz w:val="20"/>
        </w:rPr>
        <w:t xml:space="preserve">can </w:t>
      </w:r>
      <w:r w:rsidR="00B824E9">
        <w:rPr>
          <w:rFonts w:asciiTheme="minorHAnsi" w:hAnsiTheme="minorHAnsi"/>
          <w:i/>
          <w:sz w:val="20"/>
        </w:rPr>
        <w:t>support</w:t>
      </w:r>
      <w:r w:rsidR="00B824E9" w:rsidRPr="00A318EB">
        <w:rPr>
          <w:rFonts w:asciiTheme="minorHAnsi" w:hAnsiTheme="minorHAnsi"/>
          <w:i/>
          <w:sz w:val="20"/>
        </w:rPr>
        <w:t xml:space="preserve"> </w:t>
      </w:r>
      <w:r w:rsidR="00396682">
        <w:rPr>
          <w:rFonts w:asciiTheme="minorHAnsi" w:hAnsiTheme="minorHAnsi"/>
          <w:i/>
          <w:sz w:val="20"/>
        </w:rPr>
        <w:t xml:space="preserve">the </w:t>
      </w:r>
      <w:r w:rsidRPr="00A318EB">
        <w:rPr>
          <w:rFonts w:asciiTheme="minorHAnsi" w:hAnsiTheme="minorHAnsi"/>
          <w:i/>
          <w:sz w:val="20"/>
        </w:rPr>
        <w:t xml:space="preserve">Parties </w:t>
      </w:r>
      <w:r w:rsidR="00396682">
        <w:rPr>
          <w:rFonts w:asciiTheme="minorHAnsi" w:hAnsiTheme="minorHAnsi"/>
          <w:i/>
          <w:sz w:val="20"/>
        </w:rPr>
        <w:t xml:space="preserve">in </w:t>
      </w:r>
      <w:r w:rsidR="00396682" w:rsidRPr="00A318EB">
        <w:rPr>
          <w:rFonts w:asciiTheme="minorHAnsi" w:hAnsiTheme="minorHAnsi"/>
          <w:i/>
          <w:sz w:val="20"/>
        </w:rPr>
        <w:t>achiev</w:t>
      </w:r>
      <w:r w:rsidR="00396682">
        <w:rPr>
          <w:rFonts w:asciiTheme="minorHAnsi" w:hAnsiTheme="minorHAnsi"/>
          <w:i/>
          <w:sz w:val="20"/>
        </w:rPr>
        <w:t>ing</w:t>
      </w:r>
      <w:r w:rsidR="00396682" w:rsidRPr="00A318EB">
        <w:rPr>
          <w:rFonts w:asciiTheme="minorHAnsi" w:hAnsiTheme="minorHAnsi"/>
          <w:i/>
          <w:sz w:val="20"/>
        </w:rPr>
        <w:t xml:space="preserve"> </w:t>
      </w:r>
      <w:r w:rsidRPr="00A318EB">
        <w:rPr>
          <w:rFonts w:asciiTheme="minorHAnsi" w:hAnsiTheme="minorHAnsi"/>
          <w:i/>
          <w:sz w:val="20"/>
        </w:rPr>
        <w:t xml:space="preserve">their </w:t>
      </w:r>
      <w:r w:rsidR="00396682">
        <w:rPr>
          <w:rFonts w:asciiTheme="minorHAnsi" w:hAnsiTheme="minorHAnsi"/>
          <w:i/>
          <w:sz w:val="20"/>
        </w:rPr>
        <w:t xml:space="preserve">NDC goals, </w:t>
      </w:r>
      <w:r w:rsidRPr="00A318EB">
        <w:rPr>
          <w:rFonts w:asciiTheme="minorHAnsi" w:hAnsiTheme="minorHAnsi"/>
          <w:i/>
          <w:sz w:val="20"/>
        </w:rPr>
        <w:t xml:space="preserve">enable higher ambition </w:t>
      </w:r>
      <w:r w:rsidR="00396682">
        <w:rPr>
          <w:rFonts w:asciiTheme="minorHAnsi" w:hAnsiTheme="minorHAnsi"/>
          <w:i/>
          <w:sz w:val="20"/>
        </w:rPr>
        <w:t xml:space="preserve">and inspire engagement of other non-state actors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1D66AE" w:rsidP="00614DCB">
            <w:pPr>
              <w:rPr>
                <w:i/>
                <w:sz w:val="20"/>
              </w:rPr>
            </w:pPr>
          </w:p>
          <w:p w:rsidR="001D66AE" w:rsidRPr="00A318EB" w:rsidRDefault="001D66AE" w:rsidP="00614DCB">
            <w:pPr>
              <w:rPr>
                <w:i/>
                <w:sz w:val="20"/>
              </w:rPr>
            </w:pPr>
          </w:p>
          <w:p w:rsidR="001D66AE" w:rsidRPr="00A318EB" w:rsidRDefault="001D66AE" w:rsidP="00614DCB">
            <w:pPr>
              <w:rPr>
                <w:i/>
                <w:sz w:val="20"/>
              </w:rPr>
            </w:pPr>
          </w:p>
        </w:tc>
      </w:tr>
    </w:tbl>
    <w:p w:rsidR="001D66AE" w:rsidRPr="00A318EB" w:rsidRDefault="001D66AE" w:rsidP="001D66AE">
      <w:pPr>
        <w:spacing w:line="240" w:lineRule="auto"/>
        <w:rPr>
          <w:rFonts w:asciiTheme="minorHAnsi" w:hAnsiTheme="minorHAnsi"/>
          <w:i/>
          <w:sz w:val="20"/>
        </w:rPr>
      </w:pPr>
    </w:p>
    <w:p w:rsidR="001D66AE" w:rsidRPr="00A318EB" w:rsidRDefault="001D66AE" w:rsidP="001D66AE">
      <w:pPr>
        <w:rPr>
          <w:rFonts w:asciiTheme="minorHAnsi" w:hAnsiTheme="minorHAnsi"/>
          <w:i/>
          <w:sz w:val="20"/>
        </w:rPr>
      </w:pPr>
      <w:r>
        <w:rPr>
          <w:rFonts w:asciiTheme="minorHAnsi" w:hAnsiTheme="minorHAnsi"/>
          <w:i/>
          <w:sz w:val="20"/>
        </w:rPr>
        <w:lastRenderedPageBreak/>
        <w:t>C</w:t>
      </w:r>
      <w:r w:rsidRPr="00A318EB">
        <w:rPr>
          <w:rFonts w:asciiTheme="minorHAnsi" w:hAnsiTheme="minorHAnsi"/>
          <w:i/>
          <w:sz w:val="20"/>
        </w:rPr>
        <w:t xml:space="preserve">ollaboration models with other stakeholders and, in particular, between non-Party stakeholders, national governments and the UN Climate Change process </w:t>
      </w:r>
      <w:r>
        <w:rPr>
          <w:rFonts w:asciiTheme="minorHAnsi" w:hAnsiTheme="minorHAnsi"/>
          <w:i/>
          <w:sz w:val="20"/>
        </w:rPr>
        <w:t>that have been successful in helping you</w:t>
      </w:r>
      <w:r w:rsidR="00216A9B">
        <w:rPr>
          <w:rFonts w:asciiTheme="minorHAnsi" w:hAnsiTheme="minorHAnsi"/>
          <w:i/>
          <w:sz w:val="20"/>
        </w:rPr>
        <w:t>,</w:t>
      </w:r>
      <w:r>
        <w:rPr>
          <w:rFonts w:asciiTheme="minorHAnsi" w:hAnsiTheme="minorHAnsi"/>
          <w:i/>
          <w:sz w:val="20"/>
        </w:rPr>
        <w:t xml:space="preserve"> or</w:t>
      </w:r>
      <w:r w:rsidR="00216A9B">
        <w:rPr>
          <w:rFonts w:asciiTheme="minorHAnsi" w:hAnsiTheme="minorHAnsi"/>
          <w:i/>
          <w:sz w:val="20"/>
        </w:rPr>
        <w:t xml:space="preserve"> can</w:t>
      </w:r>
      <w:r>
        <w:rPr>
          <w:rFonts w:asciiTheme="minorHAnsi" w:hAnsiTheme="minorHAnsi"/>
          <w:i/>
          <w:sz w:val="20"/>
        </w:rPr>
        <w:t xml:space="preserve"> </w:t>
      </w:r>
      <w:r w:rsidR="00216A9B">
        <w:rPr>
          <w:rFonts w:asciiTheme="minorHAnsi" w:hAnsiTheme="minorHAnsi"/>
          <w:i/>
          <w:sz w:val="20"/>
        </w:rPr>
        <w:t xml:space="preserve">help </w:t>
      </w:r>
      <w:r>
        <w:rPr>
          <w:rFonts w:asciiTheme="minorHAnsi" w:hAnsiTheme="minorHAnsi"/>
          <w:i/>
          <w:sz w:val="20"/>
        </w:rPr>
        <w:t>you</w:t>
      </w:r>
      <w:r w:rsidR="00216A9B">
        <w:rPr>
          <w:rFonts w:asciiTheme="minorHAnsi" w:hAnsiTheme="minorHAnsi"/>
          <w:i/>
          <w:sz w:val="20"/>
        </w:rPr>
        <w:t>,</w:t>
      </w:r>
      <w:r>
        <w:rPr>
          <w:rFonts w:asciiTheme="minorHAnsi" w:hAnsiTheme="minorHAnsi"/>
          <w:i/>
          <w:sz w:val="20"/>
        </w:rPr>
        <w:t xml:space="preserve"> achieve your commitments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4468C0" w:rsidRPr="008F7CA8" w:rsidTr="00614DCB">
        <w:tc>
          <w:tcPr>
            <w:tcW w:w="9016" w:type="dxa"/>
          </w:tcPr>
          <w:p w:rsidR="008F7CA8" w:rsidRDefault="008F7CA8" w:rsidP="008F7CA8">
            <w:pPr>
              <w:pStyle w:val="Default"/>
            </w:pPr>
          </w:p>
          <w:p w:rsidR="008F7CA8" w:rsidRDefault="008F7CA8" w:rsidP="008F7CA8">
            <w:pPr>
              <w:pStyle w:val="Default"/>
              <w:spacing w:after="60"/>
              <w:rPr>
                <w:sz w:val="23"/>
                <w:szCs w:val="23"/>
                <w:lang w:val="fr-FR"/>
              </w:rPr>
            </w:pPr>
            <w:r w:rsidRPr="008F7CA8">
              <w:rPr>
                <w:sz w:val="23"/>
                <w:szCs w:val="23"/>
                <w:lang w:val="fr-FR"/>
              </w:rPr>
              <w:t>I</w:t>
            </w:r>
            <w:r>
              <w:rPr>
                <w:sz w:val="23"/>
                <w:szCs w:val="23"/>
                <w:lang w:val="fr-FR"/>
              </w:rPr>
              <w:t>l sera important de mettre l’accent sur les aspects suivants :</w:t>
            </w:r>
          </w:p>
          <w:p w:rsidR="008F7CA8" w:rsidRDefault="008F7CA8" w:rsidP="008F7CA8">
            <w:pPr>
              <w:pStyle w:val="Default"/>
              <w:spacing w:after="60"/>
              <w:rPr>
                <w:sz w:val="23"/>
                <w:szCs w:val="23"/>
                <w:lang w:val="fr-FR"/>
              </w:rPr>
            </w:pPr>
          </w:p>
          <w:p w:rsidR="008F7CA8" w:rsidRDefault="008F7CA8" w:rsidP="008F7CA8">
            <w:pPr>
              <w:pStyle w:val="Default"/>
              <w:numPr>
                <w:ilvl w:val="0"/>
                <w:numId w:val="2"/>
              </w:numPr>
              <w:spacing w:after="60"/>
              <w:rPr>
                <w:sz w:val="23"/>
                <w:szCs w:val="23"/>
                <w:lang w:val="fr-FR"/>
              </w:rPr>
            </w:pPr>
            <w:r>
              <w:rPr>
                <w:sz w:val="23"/>
                <w:szCs w:val="23"/>
                <w:lang w:val="fr-FR"/>
              </w:rPr>
              <w:t>Améliorer</w:t>
            </w:r>
            <w:r w:rsidRPr="008F7CA8">
              <w:rPr>
                <w:sz w:val="23"/>
                <w:szCs w:val="23"/>
                <w:lang w:val="fr-FR"/>
              </w:rPr>
              <w:t xml:space="preserve"> la coordination horizontale entre les différents acteurs, mais aussi une meilleure planification stratégique des activités des différents sect</w:t>
            </w:r>
            <w:r>
              <w:rPr>
                <w:sz w:val="23"/>
                <w:szCs w:val="23"/>
                <w:lang w:val="fr-FR"/>
              </w:rPr>
              <w:t>eurs</w:t>
            </w:r>
            <w:r w:rsidRPr="008F7CA8">
              <w:rPr>
                <w:sz w:val="23"/>
                <w:szCs w:val="23"/>
                <w:lang w:val="fr-FR"/>
              </w:rPr>
              <w:t xml:space="preserve">. </w:t>
            </w:r>
          </w:p>
          <w:p w:rsidR="008F7CA8" w:rsidRPr="008F7CA8" w:rsidRDefault="008F7CA8" w:rsidP="008F7CA8">
            <w:pPr>
              <w:pStyle w:val="Default"/>
              <w:numPr>
                <w:ilvl w:val="0"/>
                <w:numId w:val="2"/>
              </w:numPr>
              <w:spacing w:after="60"/>
              <w:rPr>
                <w:sz w:val="23"/>
                <w:szCs w:val="23"/>
                <w:lang w:val="fr-FR"/>
              </w:rPr>
            </w:pPr>
            <w:r>
              <w:rPr>
                <w:sz w:val="23"/>
                <w:szCs w:val="23"/>
                <w:lang w:val="fr-FR"/>
              </w:rPr>
              <w:t xml:space="preserve">S’assurer que les </w:t>
            </w:r>
            <w:r w:rsidRPr="008F7CA8">
              <w:rPr>
                <w:sz w:val="23"/>
                <w:szCs w:val="23"/>
                <w:lang w:val="fr-FR"/>
              </w:rPr>
              <w:t xml:space="preserve">processus de décisions sur le climat </w:t>
            </w:r>
            <w:r>
              <w:rPr>
                <w:sz w:val="23"/>
                <w:szCs w:val="23"/>
                <w:lang w:val="fr-FR"/>
              </w:rPr>
              <w:t xml:space="preserve">sont </w:t>
            </w:r>
            <w:r w:rsidRPr="008F7CA8">
              <w:rPr>
                <w:sz w:val="23"/>
                <w:szCs w:val="23"/>
                <w:lang w:val="fr-FR"/>
              </w:rPr>
              <w:t xml:space="preserve">ouverts, participatifs et transparents de manière à permettre aux groupes les plus vulnérables y compris les populations tributaires des forêts, de partager leurs préoccupations et de contribuer </w:t>
            </w:r>
            <w:r>
              <w:rPr>
                <w:sz w:val="23"/>
                <w:szCs w:val="23"/>
                <w:lang w:val="fr-FR"/>
              </w:rPr>
              <w:t>aux actions en faveurs du climat.</w:t>
            </w:r>
          </w:p>
          <w:p w:rsidR="001D66AE" w:rsidRPr="008F7CA8" w:rsidRDefault="001D66AE" w:rsidP="00614DCB">
            <w:pPr>
              <w:rPr>
                <w:i/>
                <w:sz w:val="20"/>
                <w:lang w:val="fr-FR"/>
              </w:rPr>
            </w:pPr>
          </w:p>
          <w:p w:rsidR="001D66AE" w:rsidRPr="008F7CA8" w:rsidRDefault="001D66AE" w:rsidP="00614DCB">
            <w:pPr>
              <w:rPr>
                <w:i/>
                <w:sz w:val="20"/>
                <w:lang w:val="fr-FR"/>
              </w:rPr>
            </w:pPr>
          </w:p>
          <w:p w:rsidR="001D66AE" w:rsidRPr="008F7CA8" w:rsidRDefault="001D66AE" w:rsidP="00614DCB">
            <w:pPr>
              <w:rPr>
                <w:i/>
                <w:sz w:val="20"/>
                <w:lang w:val="fr-FR"/>
              </w:rPr>
            </w:pPr>
          </w:p>
        </w:tc>
      </w:tr>
    </w:tbl>
    <w:p w:rsidR="001D66AE" w:rsidRPr="008F7CA8" w:rsidRDefault="001D66AE" w:rsidP="001D66AE">
      <w:pPr>
        <w:rPr>
          <w:rFonts w:asciiTheme="minorHAnsi" w:hAnsiTheme="minorHAnsi"/>
          <w:i/>
          <w:sz w:val="20"/>
          <w:lang w:val="fr-FR"/>
        </w:rPr>
      </w:pPr>
    </w:p>
    <w:p w:rsidR="001D66AE" w:rsidRPr="00A318EB" w:rsidRDefault="001D66AE" w:rsidP="001D66AE">
      <w:pPr>
        <w:rPr>
          <w:rFonts w:asciiTheme="minorHAnsi" w:hAnsiTheme="minorHAnsi"/>
          <w:i/>
          <w:sz w:val="20"/>
        </w:rPr>
      </w:pPr>
      <w:r w:rsidRPr="00A318EB">
        <w:rPr>
          <w:rFonts w:asciiTheme="minorHAnsi" w:hAnsiTheme="minorHAnsi"/>
          <w:i/>
          <w:sz w:val="20"/>
        </w:rPr>
        <w:t>Opportunities to further scale up action and means to address barriers that can enable even further action by non-Party stakeholders</w:t>
      </w:r>
      <w:r>
        <w:rPr>
          <w:rFonts w:asciiTheme="minorHAnsi" w:hAnsiTheme="minorHAnsi"/>
          <w:i/>
          <w:sz w:val="20"/>
        </w:rPr>
        <w:t xml:space="preserve"> based on the actions you have taken to implement your</w:t>
      </w:r>
      <w:r w:rsidR="003D371E">
        <w:rPr>
          <w:rFonts w:asciiTheme="minorHAnsi" w:hAnsiTheme="minorHAnsi"/>
          <w:i/>
          <w:sz w:val="20"/>
        </w:rPr>
        <w:t xml:space="preserve"> </w:t>
      </w:r>
      <w:r>
        <w:rPr>
          <w:rFonts w:asciiTheme="minorHAnsi" w:hAnsiTheme="minorHAnsi"/>
          <w:i/>
          <w:sz w:val="20"/>
        </w:rPr>
        <w:t>commitments</w:t>
      </w:r>
      <w:r w:rsidR="003D371E">
        <w:rPr>
          <w:rFonts w:asciiTheme="minorHAnsi" w:hAnsiTheme="minorHAnsi"/>
          <w:i/>
          <w:sz w:val="20"/>
        </w:rPr>
        <w:t>.</w:t>
      </w:r>
      <w:r w:rsidRPr="00A318EB">
        <w:rPr>
          <w:rFonts w:asciiTheme="minorHAnsi" w:hAnsiTheme="minorHAnsi"/>
          <w:i/>
          <w:sz w:val="20"/>
        </w:rPr>
        <w:t xml:space="preserve"> </w:t>
      </w:r>
      <w:r w:rsidRPr="001D66AE">
        <w:rPr>
          <w:rFonts w:asciiTheme="minorHAnsi" w:hAnsiTheme="minorHAnsi"/>
          <w:i/>
          <w:sz w:val="20"/>
        </w:rPr>
        <w:t>(“We’ve made progress and have made new commitments as described above. This is what I need from national governments</w:t>
      </w:r>
      <w:r w:rsidR="00216A9B">
        <w:rPr>
          <w:rFonts w:asciiTheme="minorHAnsi" w:hAnsiTheme="minorHAnsi"/>
          <w:i/>
          <w:sz w:val="20"/>
        </w:rPr>
        <w:t>, other non-Party stakeholders</w:t>
      </w:r>
      <w:r w:rsidRPr="001D66AE">
        <w:rPr>
          <w:rFonts w:asciiTheme="minorHAnsi" w:hAnsiTheme="minorHAnsi"/>
          <w:i/>
          <w:sz w:val="20"/>
        </w:rPr>
        <w:t xml:space="preserve"> and the UN Climate Change process to take even further action…”)</w:t>
      </w:r>
      <w:r w:rsidRPr="00A318EB">
        <w:rPr>
          <w:rFonts w:asciiTheme="minorHAnsi" w:hAnsiTheme="minorHAnsi"/>
          <w:i/>
          <w:sz w:val="20"/>
        </w:rPr>
        <w:t xml:space="preserve"> [Maximum 200 words for each item below]:</w:t>
      </w:r>
    </w:p>
    <w:p w:rsidR="001D66AE" w:rsidRPr="00A318EB" w:rsidRDefault="001D66AE" w:rsidP="001D66AE">
      <w:pPr>
        <w:spacing w:line="240" w:lineRule="auto"/>
        <w:rPr>
          <w:rFonts w:asciiTheme="minorHAnsi" w:hAnsiTheme="minorHAnsi"/>
          <w:i/>
          <w:sz w:val="20"/>
        </w:rPr>
      </w:pPr>
    </w:p>
    <w:p w:rsidR="001D66AE" w:rsidRPr="00A318EB" w:rsidRDefault="001D66AE" w:rsidP="001D66AE">
      <w:pPr>
        <w:pStyle w:val="ListParagraph"/>
        <w:numPr>
          <w:ilvl w:val="0"/>
          <w:numId w:val="1"/>
        </w:numPr>
        <w:spacing w:after="0" w:line="240" w:lineRule="auto"/>
        <w:rPr>
          <w:rFonts w:eastAsia="Times New Roman"/>
          <w:i/>
          <w:sz w:val="20"/>
          <w:szCs w:val="20"/>
        </w:rPr>
      </w:pPr>
      <w:r w:rsidRPr="00A318EB">
        <w:rPr>
          <w:rFonts w:eastAsia="Times New Roman"/>
          <w:i/>
          <w:sz w:val="20"/>
          <w:szCs w:val="20"/>
        </w:rPr>
        <w:t xml:space="preserve">Policy levers </w:t>
      </w:r>
    </w:p>
    <w:tbl>
      <w:tblPr>
        <w:tblStyle w:val="TableGrid"/>
        <w:tblW w:w="0" w:type="auto"/>
        <w:tblLook w:val="04A0" w:firstRow="1" w:lastRow="0" w:firstColumn="1" w:lastColumn="0" w:noHBand="0" w:noVBand="1"/>
      </w:tblPr>
      <w:tblGrid>
        <w:gridCol w:w="9016"/>
      </w:tblGrid>
      <w:tr w:rsidR="001D66AE" w:rsidRPr="008F7CA8" w:rsidTr="00614DCB">
        <w:tc>
          <w:tcPr>
            <w:tcW w:w="9016" w:type="dxa"/>
          </w:tcPr>
          <w:p w:rsidR="008F7CA8" w:rsidRDefault="008F7CA8" w:rsidP="008F7CA8">
            <w:pPr>
              <w:pStyle w:val="Default"/>
              <w:spacing w:after="60"/>
              <w:ind w:left="720"/>
              <w:rPr>
                <w:sz w:val="23"/>
                <w:szCs w:val="23"/>
                <w:lang w:val="fr-FR"/>
              </w:rPr>
            </w:pPr>
            <w:r>
              <w:rPr>
                <w:sz w:val="23"/>
                <w:szCs w:val="23"/>
                <w:lang w:val="fr-FR"/>
              </w:rPr>
              <w:t xml:space="preserve">Les </w:t>
            </w:r>
            <w:r w:rsidRPr="008F7CA8">
              <w:rPr>
                <w:sz w:val="23"/>
                <w:szCs w:val="23"/>
                <w:lang w:val="fr-FR"/>
              </w:rPr>
              <w:t xml:space="preserve">comités intersectoriels et les cadre de concertation multi parties prenantes établis aussi bien dans le cadre de l'APV FLEGT (Comité national de suivi de la mise en </w:t>
            </w:r>
            <w:r w:rsidRPr="008F7CA8">
              <w:rPr>
                <w:sz w:val="23"/>
                <w:szCs w:val="23"/>
                <w:lang w:val="fr-FR"/>
              </w:rPr>
              <w:t>œuvre</w:t>
            </w:r>
            <w:r w:rsidRPr="008F7CA8">
              <w:rPr>
                <w:sz w:val="23"/>
                <w:szCs w:val="23"/>
                <w:lang w:val="fr-FR"/>
              </w:rPr>
              <w:t xml:space="preserve"> de l’APV FLEGT) que dans le cadre de la REDD+ (Comité de pilotage de la REDD+) </w:t>
            </w:r>
            <w:r>
              <w:rPr>
                <w:sz w:val="23"/>
                <w:szCs w:val="23"/>
                <w:lang w:val="fr-FR"/>
              </w:rPr>
              <w:t xml:space="preserve">doivent être renforcés </w:t>
            </w:r>
            <w:r w:rsidRPr="008F7CA8">
              <w:rPr>
                <w:sz w:val="23"/>
                <w:szCs w:val="23"/>
                <w:lang w:val="fr-FR"/>
              </w:rPr>
              <w:t>pour qu’ils servent d’espace de coordination entre l’APV FLEGT et les politiques de lutte contre les changements clima</w:t>
            </w:r>
            <w:r>
              <w:rPr>
                <w:sz w:val="23"/>
                <w:szCs w:val="23"/>
                <w:lang w:val="fr-FR"/>
              </w:rPr>
              <w:t xml:space="preserve">tiques notamment REDD+ et </w:t>
            </w:r>
            <w:r>
              <w:rPr>
                <w:sz w:val="23"/>
                <w:szCs w:val="23"/>
                <w:lang w:val="fr-FR"/>
              </w:rPr>
              <w:t xml:space="preserve">les </w:t>
            </w:r>
            <w:r>
              <w:rPr>
                <w:sz w:val="23"/>
                <w:szCs w:val="23"/>
                <w:lang w:val="fr-FR"/>
              </w:rPr>
              <w:t>CDN</w:t>
            </w:r>
            <w:r>
              <w:rPr>
                <w:sz w:val="23"/>
                <w:szCs w:val="23"/>
                <w:lang w:val="fr-FR"/>
              </w:rPr>
              <w:t>.</w:t>
            </w:r>
          </w:p>
          <w:p w:rsidR="001D66AE" w:rsidRPr="008F7CA8" w:rsidRDefault="001D66AE" w:rsidP="00614DCB">
            <w:pPr>
              <w:rPr>
                <w:i/>
                <w:sz w:val="20"/>
                <w:lang w:val="fr-FR"/>
              </w:rPr>
            </w:pPr>
          </w:p>
          <w:p w:rsidR="001D66AE" w:rsidRPr="008F7CA8" w:rsidRDefault="001D66AE" w:rsidP="00614DCB">
            <w:pPr>
              <w:rPr>
                <w:i/>
                <w:sz w:val="20"/>
                <w:lang w:val="fr-FR"/>
              </w:rPr>
            </w:pPr>
          </w:p>
          <w:p w:rsidR="001D66AE" w:rsidRPr="008F7CA8" w:rsidRDefault="001D66AE" w:rsidP="00614DCB">
            <w:pPr>
              <w:rPr>
                <w:i/>
                <w:sz w:val="20"/>
                <w:lang w:val="fr-FR"/>
              </w:rPr>
            </w:pPr>
          </w:p>
        </w:tc>
      </w:tr>
    </w:tbl>
    <w:p w:rsidR="001D66AE" w:rsidRPr="008F7CA8" w:rsidRDefault="001D66AE" w:rsidP="001D66AE">
      <w:pPr>
        <w:pStyle w:val="ListParagraph"/>
        <w:spacing w:after="0" w:line="240" w:lineRule="auto"/>
        <w:rPr>
          <w:rFonts w:eastAsia="Times New Roman"/>
          <w:i/>
          <w:sz w:val="20"/>
          <w:szCs w:val="20"/>
          <w:lang w:val="fr-FR"/>
        </w:rPr>
      </w:pPr>
    </w:p>
    <w:p w:rsidR="00464883" w:rsidRPr="008F7CA8" w:rsidRDefault="00464883" w:rsidP="001D66AE">
      <w:pPr>
        <w:pStyle w:val="ListParagraph"/>
        <w:spacing w:after="0" w:line="240" w:lineRule="auto"/>
        <w:rPr>
          <w:rFonts w:eastAsia="Times New Roman"/>
          <w:i/>
          <w:sz w:val="20"/>
          <w:szCs w:val="20"/>
          <w:lang w:val="fr-FR"/>
        </w:rPr>
      </w:pPr>
    </w:p>
    <w:p w:rsidR="00464883" w:rsidRPr="008F7CA8" w:rsidRDefault="00464883" w:rsidP="001D66AE">
      <w:pPr>
        <w:pStyle w:val="ListParagraph"/>
        <w:spacing w:after="0" w:line="240" w:lineRule="auto"/>
        <w:rPr>
          <w:rFonts w:eastAsia="Times New Roman"/>
          <w:i/>
          <w:sz w:val="20"/>
          <w:szCs w:val="20"/>
          <w:lang w:val="fr-FR"/>
        </w:rPr>
      </w:pPr>
    </w:p>
    <w:p w:rsidR="001D66AE" w:rsidRPr="00A318EB" w:rsidRDefault="001D66AE" w:rsidP="001D66AE">
      <w:pPr>
        <w:pStyle w:val="ListParagraph"/>
        <w:numPr>
          <w:ilvl w:val="0"/>
          <w:numId w:val="1"/>
        </w:numPr>
        <w:spacing w:after="0" w:line="240" w:lineRule="auto"/>
        <w:rPr>
          <w:rFonts w:eastAsia="Times New Roman"/>
          <w:i/>
          <w:sz w:val="20"/>
          <w:szCs w:val="20"/>
        </w:rPr>
      </w:pPr>
      <w:r w:rsidRPr="00A318EB">
        <w:rPr>
          <w:rFonts w:eastAsia="Times New Roman"/>
          <w:i/>
          <w:sz w:val="20"/>
          <w:szCs w:val="20"/>
        </w:rPr>
        <w:t>Collaboration</w:t>
      </w:r>
      <w:r>
        <w:rPr>
          <w:rFonts w:eastAsia="Times New Roman"/>
          <w:i/>
          <w:sz w:val="20"/>
          <w:szCs w:val="20"/>
        </w:rPr>
        <w:t>/cooperation</w:t>
      </w:r>
      <w:r w:rsidRPr="00A318EB">
        <w:rPr>
          <w:rFonts w:eastAsia="Times New Roman"/>
          <w:i/>
          <w:sz w:val="20"/>
          <w:szCs w:val="20"/>
        </w:rPr>
        <w:t xml:space="preserve"> opportunities </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1D66AE" w:rsidP="00614DCB">
            <w:pPr>
              <w:rPr>
                <w:i/>
                <w:sz w:val="20"/>
              </w:rPr>
            </w:pPr>
          </w:p>
          <w:p w:rsidR="001D66AE" w:rsidRPr="00A318EB" w:rsidRDefault="001D66AE" w:rsidP="00614DCB">
            <w:pPr>
              <w:rPr>
                <w:i/>
                <w:sz w:val="20"/>
              </w:rPr>
            </w:pPr>
          </w:p>
          <w:p w:rsidR="001D66AE" w:rsidRPr="00A318EB" w:rsidRDefault="001D66AE" w:rsidP="00614DCB">
            <w:pPr>
              <w:rPr>
                <w:i/>
                <w:sz w:val="20"/>
              </w:rPr>
            </w:pPr>
          </w:p>
        </w:tc>
      </w:tr>
    </w:tbl>
    <w:p w:rsidR="001D66AE" w:rsidRPr="00A318EB" w:rsidRDefault="001D66AE" w:rsidP="001D66AE">
      <w:pPr>
        <w:spacing w:line="240" w:lineRule="auto"/>
        <w:rPr>
          <w:rFonts w:asciiTheme="minorHAnsi" w:hAnsiTheme="minorHAnsi"/>
          <w:i/>
          <w:sz w:val="20"/>
        </w:rPr>
      </w:pPr>
    </w:p>
    <w:p w:rsidR="001D66AE" w:rsidRPr="00A318EB" w:rsidRDefault="001D66AE" w:rsidP="001D66AE">
      <w:pPr>
        <w:pStyle w:val="ListParagraph"/>
        <w:numPr>
          <w:ilvl w:val="0"/>
          <w:numId w:val="1"/>
        </w:numPr>
        <w:spacing w:after="0" w:line="240" w:lineRule="auto"/>
        <w:rPr>
          <w:rFonts w:eastAsia="Times New Roman"/>
          <w:i/>
          <w:sz w:val="20"/>
          <w:szCs w:val="20"/>
        </w:rPr>
      </w:pPr>
      <w:r w:rsidRPr="00A318EB">
        <w:rPr>
          <w:rFonts w:eastAsia="Times New Roman"/>
          <w:i/>
          <w:sz w:val="20"/>
          <w:szCs w:val="20"/>
        </w:rPr>
        <w:t xml:space="preserve">Lessons learned based on the experience and progress so far </w:t>
      </w:r>
    </w:p>
    <w:tbl>
      <w:tblPr>
        <w:tblStyle w:val="TableGrid"/>
        <w:tblW w:w="0" w:type="auto"/>
        <w:tblLook w:val="04A0" w:firstRow="1" w:lastRow="0" w:firstColumn="1" w:lastColumn="0" w:noHBand="0" w:noVBand="1"/>
      </w:tblPr>
      <w:tblGrid>
        <w:gridCol w:w="9016"/>
      </w:tblGrid>
      <w:tr w:rsidR="001D66AE" w:rsidRPr="008F7CA8" w:rsidTr="00614DCB">
        <w:tc>
          <w:tcPr>
            <w:tcW w:w="9016" w:type="dxa"/>
          </w:tcPr>
          <w:p w:rsidR="008F7CA8" w:rsidRDefault="008F7CA8" w:rsidP="008F7CA8">
            <w:pPr>
              <w:pStyle w:val="Default"/>
              <w:spacing w:after="60"/>
              <w:ind w:left="720"/>
              <w:rPr>
                <w:sz w:val="23"/>
                <w:szCs w:val="23"/>
                <w:lang w:val="fr-FR"/>
              </w:rPr>
            </w:pPr>
            <w:r w:rsidRPr="008F7CA8">
              <w:rPr>
                <w:sz w:val="23"/>
                <w:szCs w:val="23"/>
                <w:lang w:val="fr-FR"/>
              </w:rPr>
              <w:t xml:space="preserve">Renforcer l’implication des </w:t>
            </w:r>
            <w:r>
              <w:rPr>
                <w:sz w:val="23"/>
                <w:szCs w:val="23"/>
                <w:lang w:val="fr-FR"/>
              </w:rPr>
              <w:t>communautés locales et populations autochtones</w:t>
            </w:r>
            <w:r w:rsidRPr="008F7CA8">
              <w:rPr>
                <w:sz w:val="23"/>
                <w:szCs w:val="23"/>
                <w:lang w:val="fr-FR"/>
              </w:rPr>
              <w:t xml:space="preserve"> dans la prise de décision sur la gestion forestière et la lutte contre le changement climatique</w:t>
            </w:r>
            <w:r>
              <w:rPr>
                <w:sz w:val="23"/>
                <w:szCs w:val="23"/>
                <w:lang w:val="fr-FR"/>
              </w:rPr>
              <w:t> </w:t>
            </w:r>
            <w:r>
              <w:rPr>
                <w:sz w:val="23"/>
                <w:szCs w:val="23"/>
                <w:lang w:val="fr-FR"/>
              </w:rPr>
              <w:t xml:space="preserve"> car de par leur savoir et dépendance vis-à-vis des forêts, elles ont un rôle clé à jouer.</w:t>
            </w:r>
          </w:p>
          <w:p w:rsidR="001D66AE" w:rsidRPr="008F7CA8" w:rsidRDefault="001D66AE" w:rsidP="00614DCB">
            <w:pPr>
              <w:rPr>
                <w:i/>
                <w:sz w:val="20"/>
                <w:lang w:val="fr-FR"/>
              </w:rPr>
            </w:pPr>
          </w:p>
          <w:p w:rsidR="001D66AE" w:rsidRPr="008F7CA8" w:rsidRDefault="001D66AE" w:rsidP="00614DCB">
            <w:pPr>
              <w:rPr>
                <w:i/>
                <w:sz w:val="20"/>
                <w:lang w:val="fr-FR"/>
              </w:rPr>
            </w:pPr>
          </w:p>
          <w:p w:rsidR="001D66AE" w:rsidRPr="008F7CA8" w:rsidRDefault="001D66AE" w:rsidP="00614DCB">
            <w:pPr>
              <w:rPr>
                <w:i/>
                <w:sz w:val="20"/>
                <w:lang w:val="fr-FR"/>
              </w:rPr>
            </w:pPr>
          </w:p>
        </w:tc>
      </w:tr>
    </w:tbl>
    <w:p w:rsidR="001D66AE" w:rsidRPr="008F7CA8" w:rsidRDefault="001D66AE" w:rsidP="001D66AE">
      <w:pPr>
        <w:rPr>
          <w:rFonts w:asciiTheme="minorHAnsi" w:hAnsiTheme="minorHAnsi"/>
          <w:i/>
          <w:sz w:val="20"/>
          <w:lang w:val="fr-FR"/>
        </w:rPr>
      </w:pPr>
    </w:p>
    <w:p w:rsidR="005C7ACC" w:rsidRPr="00A318EB" w:rsidRDefault="005C7ACC" w:rsidP="005C7ACC">
      <w:pPr>
        <w:pStyle w:val="ListParagraph"/>
        <w:numPr>
          <w:ilvl w:val="0"/>
          <w:numId w:val="1"/>
        </w:numPr>
        <w:spacing w:after="0" w:line="240" w:lineRule="auto"/>
        <w:rPr>
          <w:rFonts w:eastAsia="Times New Roman"/>
          <w:sz w:val="20"/>
          <w:szCs w:val="20"/>
        </w:rPr>
      </w:pPr>
      <w:r>
        <w:rPr>
          <w:rFonts w:eastAsia="Times New Roman"/>
          <w:i/>
          <w:sz w:val="20"/>
          <w:szCs w:val="20"/>
        </w:rPr>
        <w:t>Public and private financing models</w:t>
      </w:r>
    </w:p>
    <w:tbl>
      <w:tblPr>
        <w:tblStyle w:val="TableGrid"/>
        <w:tblW w:w="0" w:type="auto"/>
        <w:tblLook w:val="04A0" w:firstRow="1" w:lastRow="0" w:firstColumn="1" w:lastColumn="0" w:noHBand="0" w:noVBand="1"/>
      </w:tblPr>
      <w:tblGrid>
        <w:gridCol w:w="9016"/>
      </w:tblGrid>
      <w:tr w:rsidR="008F7CA8" w:rsidRPr="00A318EB" w:rsidTr="00D213F4">
        <w:tc>
          <w:tcPr>
            <w:tcW w:w="9016" w:type="dxa"/>
          </w:tcPr>
          <w:p w:rsidR="005C7ACC" w:rsidRPr="00A318EB" w:rsidRDefault="005C7ACC" w:rsidP="00D213F4">
            <w:pPr>
              <w:rPr>
                <w:i/>
              </w:rPr>
            </w:pPr>
          </w:p>
          <w:p w:rsidR="005C7ACC" w:rsidRPr="00A318EB" w:rsidRDefault="005C7ACC" w:rsidP="00D213F4">
            <w:pPr>
              <w:rPr>
                <w:i/>
              </w:rPr>
            </w:pPr>
          </w:p>
          <w:p w:rsidR="005C7ACC" w:rsidRPr="00A318EB" w:rsidRDefault="005C7ACC" w:rsidP="00D213F4">
            <w:pPr>
              <w:rPr>
                <w:i/>
              </w:rPr>
            </w:pPr>
          </w:p>
        </w:tc>
      </w:tr>
    </w:tbl>
    <w:p w:rsidR="005C7ACC" w:rsidRDefault="005C7ACC" w:rsidP="001D66AE">
      <w:pPr>
        <w:rPr>
          <w:rFonts w:asciiTheme="minorHAnsi" w:hAnsiTheme="minorHAnsi"/>
          <w:i/>
          <w:sz w:val="20"/>
        </w:rPr>
      </w:pPr>
    </w:p>
    <w:p w:rsidR="001D66AE" w:rsidRPr="00A318EB" w:rsidRDefault="001D66AE" w:rsidP="001D66AE">
      <w:pPr>
        <w:pStyle w:val="ListParagraph"/>
        <w:numPr>
          <w:ilvl w:val="0"/>
          <w:numId w:val="1"/>
        </w:numPr>
        <w:spacing w:after="0" w:line="240" w:lineRule="auto"/>
        <w:rPr>
          <w:rFonts w:eastAsia="Times New Roman"/>
          <w:sz w:val="20"/>
          <w:szCs w:val="20"/>
        </w:rPr>
      </w:pPr>
      <w:r w:rsidRPr="00A318EB">
        <w:rPr>
          <w:rFonts w:eastAsia="Times New Roman"/>
          <w:i/>
          <w:sz w:val="20"/>
          <w:szCs w:val="20"/>
        </w:rPr>
        <w:t>Impact on non-Party stakeholders if these actions by national level governments and the UN Climate Change process and other opportunities are implemented and how much further they could go</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1D66AE" w:rsidP="00614DCB">
            <w:pPr>
              <w:rPr>
                <w:i/>
              </w:rPr>
            </w:pPr>
          </w:p>
          <w:p w:rsidR="001D66AE" w:rsidRPr="00A318EB" w:rsidRDefault="001D66AE" w:rsidP="00614DCB">
            <w:pPr>
              <w:rPr>
                <w:i/>
              </w:rPr>
            </w:pPr>
          </w:p>
          <w:p w:rsidR="001D66AE" w:rsidRPr="00A318EB" w:rsidRDefault="001D66AE" w:rsidP="00614DCB">
            <w:pPr>
              <w:rPr>
                <w:i/>
              </w:rPr>
            </w:pPr>
          </w:p>
        </w:tc>
      </w:tr>
    </w:tbl>
    <w:p w:rsidR="00DF5156" w:rsidRDefault="00DF5156" w:rsidP="001D66AE">
      <w:pPr>
        <w:tabs>
          <w:tab w:val="clear" w:pos="709"/>
          <w:tab w:val="clear" w:pos="5245"/>
        </w:tabs>
        <w:spacing w:line="240" w:lineRule="auto"/>
      </w:pPr>
    </w:p>
    <w:sectPr w:rsidR="00DF5156" w:rsidSect="00025AA9">
      <w:headerReference w:type="default" r:id="rId8"/>
      <w:pgSz w:w="12240" w:h="15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D0" w:rsidRDefault="003976D0" w:rsidP="005339CC">
      <w:pPr>
        <w:spacing w:line="240" w:lineRule="auto"/>
      </w:pPr>
      <w:r>
        <w:separator/>
      </w:r>
    </w:p>
  </w:endnote>
  <w:endnote w:type="continuationSeparator" w:id="0">
    <w:p w:rsidR="003976D0" w:rsidRDefault="003976D0"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D0" w:rsidRDefault="003976D0" w:rsidP="005339CC">
      <w:pPr>
        <w:spacing w:line="240" w:lineRule="auto"/>
      </w:pPr>
      <w:r>
        <w:separator/>
      </w:r>
    </w:p>
  </w:footnote>
  <w:footnote w:type="continuationSeparator" w:id="0">
    <w:p w:rsidR="003976D0" w:rsidRDefault="003976D0" w:rsidP="00533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CC" w:rsidRDefault="00025AA9" w:rsidP="00AA4B66">
    <w:pPr>
      <w:pStyle w:val="Header"/>
      <w:widowControl w:val="0"/>
    </w:pPr>
    <w:r w:rsidRPr="000A100E">
      <w:rPr>
        <w:noProof/>
        <w:lang w:val="en-US"/>
      </w:rPr>
      <w:drawing>
        <wp:anchor distT="0" distB="0" distL="114300" distR="114300" simplePos="0" relativeHeight="251660288" behindDoc="0" locked="0" layoutInCell="1" allowOverlap="1" wp14:anchorId="3A41A58F" wp14:editId="037926A9">
          <wp:simplePos x="0" y="0"/>
          <wp:positionH relativeFrom="margin">
            <wp:align>right</wp:align>
          </wp:positionH>
          <wp:positionV relativeFrom="paragraph">
            <wp:posOffset>-666115</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val="en-US"/>
      </w:rPr>
      <w:drawing>
        <wp:anchor distT="0" distB="0" distL="114300" distR="114300" simplePos="0" relativeHeight="251659264" behindDoc="0" locked="0" layoutInCell="1" allowOverlap="1" wp14:anchorId="59CCCE5A" wp14:editId="21152BF0">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A0"/>
    <w:multiLevelType w:val="hybridMultilevel"/>
    <w:tmpl w:val="1A685A82"/>
    <w:lvl w:ilvl="0" w:tplc="966C3C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C213D"/>
    <w:multiLevelType w:val="hybridMultilevel"/>
    <w:tmpl w:val="B73E6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AE"/>
    <w:rsid w:val="00025AA9"/>
    <w:rsid w:val="001D66AE"/>
    <w:rsid w:val="00216A9B"/>
    <w:rsid w:val="00283365"/>
    <w:rsid w:val="002A0875"/>
    <w:rsid w:val="002D67B4"/>
    <w:rsid w:val="00396682"/>
    <w:rsid w:val="003976D0"/>
    <w:rsid w:val="003D371E"/>
    <w:rsid w:val="004468C0"/>
    <w:rsid w:val="00464883"/>
    <w:rsid w:val="004D526B"/>
    <w:rsid w:val="005339CC"/>
    <w:rsid w:val="005C7ACC"/>
    <w:rsid w:val="005E6302"/>
    <w:rsid w:val="005E7EBA"/>
    <w:rsid w:val="005F0DA9"/>
    <w:rsid w:val="005F6158"/>
    <w:rsid w:val="0066071D"/>
    <w:rsid w:val="008A71AF"/>
    <w:rsid w:val="008F7CA8"/>
    <w:rsid w:val="00973D02"/>
    <w:rsid w:val="009D5D01"/>
    <w:rsid w:val="00AA4B66"/>
    <w:rsid w:val="00B77EA8"/>
    <w:rsid w:val="00B824E9"/>
    <w:rsid w:val="00CA14DB"/>
    <w:rsid w:val="00D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 w:type="paragraph" w:customStyle="1" w:styleId="Default">
    <w:name w:val="Default"/>
    <w:rsid w:val="008F7C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 w:type="paragraph" w:customStyle="1" w:styleId="Default">
    <w:name w:val="Default"/>
    <w:rsid w:val="008F7C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3B75C-6058-456D-A1DE-ACB317BF6007}"/>
</file>

<file path=customXml/itemProps2.xml><?xml version="1.0" encoding="utf-8"?>
<ds:datastoreItem xmlns:ds="http://schemas.openxmlformats.org/officeDocument/2006/customXml" ds:itemID="{E9BC8C27-4BE4-4555-A46F-4690DE336686}"/>
</file>

<file path=customXml/itemProps3.xml><?xml version="1.0" encoding="utf-8"?>
<ds:datastoreItem xmlns:ds="http://schemas.openxmlformats.org/officeDocument/2006/customXml" ds:itemID="{3CE27AA8-AE53-43CF-8756-88BFC4C5D970}"/>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Magalhaes</dc:creator>
  <cp:lastModifiedBy>Marieange</cp:lastModifiedBy>
  <cp:revision>2</cp:revision>
  <dcterms:created xsi:type="dcterms:W3CDTF">2018-10-29T22:49:00Z</dcterms:created>
  <dcterms:modified xsi:type="dcterms:W3CDTF">2018-10-29T22:49:00Z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