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A3847" w14:textId="77777777" w:rsidR="001D66AE" w:rsidRPr="00E81BDC" w:rsidRDefault="001D66AE" w:rsidP="001D66AE">
      <w:pPr>
        <w:pStyle w:val="NormalWeb"/>
        <w:spacing w:before="0" w:beforeAutospacing="0" w:after="0" w:afterAutospacing="0" w:line="292" w:lineRule="atLeast"/>
        <w:rPr>
          <w:rFonts w:asciiTheme="minorHAnsi" w:hAnsiTheme="minorHAnsi"/>
          <w:sz w:val="30"/>
          <w:szCs w:val="30"/>
          <w:lang w:val="en-GB"/>
        </w:rPr>
      </w:pPr>
    </w:p>
    <w:p w14:paraId="5D2165C5" w14:textId="77777777" w:rsidR="00EB2FDB" w:rsidRPr="00E81BDC" w:rsidRDefault="00EB2FDB" w:rsidP="001D66AE">
      <w:pPr>
        <w:jc w:val="center"/>
        <w:rPr>
          <w:rFonts w:asciiTheme="minorHAnsi" w:hAnsiTheme="minorHAnsi"/>
          <w:b/>
          <w:sz w:val="30"/>
          <w:szCs w:val="30"/>
        </w:rPr>
      </w:pPr>
    </w:p>
    <w:p w14:paraId="6DFDA21E" w14:textId="4D91601F" w:rsidR="001D66AE" w:rsidRPr="00E81BDC" w:rsidRDefault="00EB2FDB" w:rsidP="001D66AE">
      <w:pPr>
        <w:jc w:val="center"/>
        <w:rPr>
          <w:rFonts w:asciiTheme="minorHAnsi" w:hAnsiTheme="minorHAnsi"/>
          <w:b/>
          <w:sz w:val="30"/>
          <w:szCs w:val="30"/>
        </w:rPr>
      </w:pPr>
      <w:r w:rsidRPr="00E81BDC">
        <w:rPr>
          <w:rFonts w:asciiTheme="minorHAnsi" w:hAnsiTheme="minorHAnsi"/>
          <w:b/>
          <w:sz w:val="30"/>
          <w:szCs w:val="30"/>
        </w:rPr>
        <w:t>N</w:t>
      </w:r>
      <w:r w:rsidR="001D66AE" w:rsidRPr="00E81BDC">
        <w:rPr>
          <w:rFonts w:asciiTheme="minorHAnsi" w:hAnsiTheme="minorHAnsi"/>
          <w:b/>
          <w:sz w:val="30"/>
          <w:szCs w:val="30"/>
        </w:rPr>
        <w:t xml:space="preserve">on-Party stakeholders’ inputs </w:t>
      </w:r>
    </w:p>
    <w:p w14:paraId="36414270" w14:textId="2B76DB7C" w:rsidR="001D66AE" w:rsidRPr="00E81BDC" w:rsidRDefault="001D66AE" w:rsidP="001D66AE">
      <w:pPr>
        <w:jc w:val="center"/>
        <w:rPr>
          <w:rFonts w:asciiTheme="minorHAnsi" w:hAnsiTheme="minorHAnsi"/>
          <w:b/>
          <w:sz w:val="30"/>
          <w:szCs w:val="30"/>
        </w:rPr>
      </w:pPr>
      <w:r w:rsidRPr="00E81BDC">
        <w:rPr>
          <w:rFonts w:asciiTheme="minorHAnsi" w:hAnsiTheme="minorHAnsi"/>
          <w:b/>
          <w:sz w:val="30"/>
          <w:szCs w:val="30"/>
        </w:rPr>
        <w:t xml:space="preserve">for the Talanoa Dialogue </w:t>
      </w:r>
    </w:p>
    <w:p w14:paraId="09CEDC19" w14:textId="5FDE5976" w:rsidR="00EB2FDB" w:rsidRPr="00E81BDC" w:rsidRDefault="00EB2FDB" w:rsidP="001D66AE">
      <w:pPr>
        <w:jc w:val="center"/>
        <w:rPr>
          <w:rFonts w:asciiTheme="minorHAnsi" w:hAnsiTheme="minorHAnsi"/>
          <w:b/>
          <w:sz w:val="30"/>
          <w:szCs w:val="30"/>
        </w:rPr>
      </w:pPr>
    </w:p>
    <w:p w14:paraId="729BAF4D" w14:textId="251131DB" w:rsidR="00EB2FDB" w:rsidRPr="00E81BDC" w:rsidRDefault="00EB2FDB" w:rsidP="00EB2FDB">
      <w:pPr>
        <w:jc w:val="center"/>
        <w:rPr>
          <w:rFonts w:asciiTheme="minorHAnsi" w:hAnsiTheme="minorHAnsi"/>
          <w:sz w:val="30"/>
          <w:szCs w:val="30"/>
        </w:rPr>
      </w:pPr>
      <w:r w:rsidRPr="00E81BDC">
        <w:rPr>
          <w:rFonts w:asciiTheme="minorHAnsi" w:hAnsiTheme="minorHAnsi"/>
          <w:sz w:val="30"/>
          <w:szCs w:val="30"/>
        </w:rPr>
        <w:t xml:space="preserve">From the </w:t>
      </w:r>
      <w:r w:rsidRPr="00E81BDC">
        <w:rPr>
          <w:rFonts w:asciiTheme="minorHAnsi" w:hAnsiTheme="minorHAnsi"/>
          <w:sz w:val="30"/>
          <w:szCs w:val="30"/>
        </w:rPr>
        <w:t>CITIES CONFERENCE II</w:t>
      </w:r>
    </w:p>
    <w:p w14:paraId="59A122CB" w14:textId="77777777" w:rsidR="00EB2FDB" w:rsidRPr="00E81BDC" w:rsidRDefault="00EB2FDB" w:rsidP="00EB2FDB">
      <w:pPr>
        <w:jc w:val="center"/>
        <w:rPr>
          <w:rFonts w:asciiTheme="minorHAnsi" w:hAnsiTheme="minorHAnsi"/>
          <w:sz w:val="30"/>
          <w:szCs w:val="30"/>
        </w:rPr>
      </w:pPr>
      <w:r w:rsidRPr="00E81BDC">
        <w:rPr>
          <w:rFonts w:asciiTheme="minorHAnsi" w:hAnsiTheme="minorHAnsi"/>
          <w:sz w:val="30"/>
          <w:szCs w:val="30"/>
        </w:rPr>
        <w:t>Towards Safe, Affordable and Sustainable Urban Mobility in</w:t>
      </w:r>
    </w:p>
    <w:p w14:paraId="15C0AF79" w14:textId="77777777" w:rsidR="00EB2FDB" w:rsidRPr="00E81BDC" w:rsidRDefault="00EB2FDB" w:rsidP="00EB2FDB">
      <w:pPr>
        <w:jc w:val="center"/>
        <w:rPr>
          <w:rFonts w:asciiTheme="minorHAnsi" w:hAnsiTheme="minorHAnsi"/>
          <w:sz w:val="30"/>
          <w:szCs w:val="30"/>
        </w:rPr>
      </w:pPr>
      <w:r w:rsidRPr="00E81BDC">
        <w:rPr>
          <w:rFonts w:asciiTheme="minorHAnsi" w:hAnsiTheme="minorHAnsi"/>
          <w:sz w:val="30"/>
          <w:szCs w:val="30"/>
        </w:rPr>
        <w:t>Latin America and the Caribbean</w:t>
      </w:r>
    </w:p>
    <w:p w14:paraId="03418850" w14:textId="77777777" w:rsidR="00EB2FDB" w:rsidRPr="00E81BDC" w:rsidRDefault="00EB2FDB" w:rsidP="00EB2FDB">
      <w:pPr>
        <w:jc w:val="center"/>
        <w:rPr>
          <w:rFonts w:asciiTheme="minorHAnsi" w:hAnsiTheme="minorHAnsi"/>
          <w:b/>
          <w:sz w:val="30"/>
          <w:szCs w:val="30"/>
        </w:rPr>
      </w:pPr>
    </w:p>
    <w:p w14:paraId="1C1873C0" w14:textId="6381BD21" w:rsidR="00EB2FDB" w:rsidRPr="00E81BDC" w:rsidRDefault="00EB2FDB" w:rsidP="00EB2FDB">
      <w:pPr>
        <w:jc w:val="center"/>
        <w:rPr>
          <w:rFonts w:asciiTheme="minorHAnsi" w:hAnsiTheme="minorHAnsi"/>
          <w:b/>
          <w:sz w:val="30"/>
          <w:szCs w:val="30"/>
        </w:rPr>
      </w:pPr>
      <w:r w:rsidRPr="00E81BDC">
        <w:rPr>
          <w:rFonts w:asciiTheme="minorHAnsi" w:hAnsiTheme="minorHAnsi"/>
          <w:b/>
          <w:sz w:val="30"/>
          <w:szCs w:val="30"/>
        </w:rPr>
        <w:t xml:space="preserve">Session 5: </w:t>
      </w:r>
      <w:proofErr w:type="spellStart"/>
      <w:r w:rsidRPr="00E81BDC">
        <w:rPr>
          <w:rFonts w:asciiTheme="minorHAnsi" w:hAnsiTheme="minorHAnsi"/>
          <w:b/>
          <w:sz w:val="30"/>
          <w:szCs w:val="30"/>
        </w:rPr>
        <w:t>Talanoa</w:t>
      </w:r>
      <w:proofErr w:type="spellEnd"/>
      <w:r w:rsidRPr="00E81BDC">
        <w:rPr>
          <w:rFonts w:asciiTheme="minorHAnsi" w:hAnsiTheme="minorHAnsi"/>
          <w:b/>
          <w:sz w:val="30"/>
          <w:szCs w:val="30"/>
        </w:rPr>
        <w:t xml:space="preserve"> Dialogue on urban mobility in Latin America and the Caribbean </w:t>
      </w:r>
    </w:p>
    <w:p w14:paraId="711D4877" w14:textId="77777777" w:rsidR="00EB2FDB" w:rsidRPr="00E81BDC" w:rsidRDefault="00EB2FDB" w:rsidP="00EB2FDB">
      <w:pPr>
        <w:jc w:val="center"/>
        <w:rPr>
          <w:rFonts w:asciiTheme="minorHAnsi" w:hAnsiTheme="minorHAnsi"/>
          <w:b/>
          <w:sz w:val="30"/>
          <w:szCs w:val="30"/>
        </w:rPr>
      </w:pPr>
    </w:p>
    <w:p w14:paraId="78854309" w14:textId="77777777" w:rsidR="00EB2FDB" w:rsidRPr="00E81BDC" w:rsidRDefault="00EB2FDB" w:rsidP="00EB2FDB">
      <w:pPr>
        <w:jc w:val="center"/>
        <w:rPr>
          <w:rFonts w:asciiTheme="minorHAnsi" w:hAnsiTheme="minorHAnsi"/>
          <w:sz w:val="30"/>
          <w:szCs w:val="30"/>
        </w:rPr>
      </w:pPr>
      <w:r w:rsidRPr="00E81BDC">
        <w:rPr>
          <w:rFonts w:asciiTheme="minorHAnsi" w:hAnsiTheme="minorHAnsi"/>
          <w:sz w:val="30"/>
          <w:szCs w:val="30"/>
        </w:rPr>
        <w:t>Date: Wednesday 17th October 2018</w:t>
      </w:r>
    </w:p>
    <w:p w14:paraId="2B699EA4" w14:textId="77777777" w:rsidR="00EB2FDB" w:rsidRPr="00E81BDC" w:rsidRDefault="00EB2FDB" w:rsidP="00EB2FDB">
      <w:pPr>
        <w:jc w:val="center"/>
        <w:rPr>
          <w:rFonts w:asciiTheme="minorHAnsi" w:hAnsiTheme="minorHAnsi"/>
          <w:sz w:val="30"/>
          <w:szCs w:val="30"/>
        </w:rPr>
      </w:pPr>
      <w:r w:rsidRPr="00E81BDC">
        <w:rPr>
          <w:rFonts w:asciiTheme="minorHAnsi" w:hAnsiTheme="minorHAnsi"/>
          <w:sz w:val="30"/>
          <w:szCs w:val="30"/>
        </w:rPr>
        <w:t>Time: 11:15-13:00</w:t>
      </w:r>
    </w:p>
    <w:p w14:paraId="5C051566" w14:textId="77777777" w:rsidR="00EB2FDB" w:rsidRPr="00E81BDC" w:rsidRDefault="00EB2FDB" w:rsidP="00EB2FDB">
      <w:pPr>
        <w:jc w:val="center"/>
        <w:rPr>
          <w:rFonts w:asciiTheme="minorHAnsi" w:hAnsiTheme="minorHAnsi"/>
          <w:sz w:val="30"/>
          <w:szCs w:val="30"/>
        </w:rPr>
      </w:pPr>
      <w:r w:rsidRPr="00E81BDC">
        <w:rPr>
          <w:rFonts w:asciiTheme="minorHAnsi" w:hAnsiTheme="minorHAnsi"/>
          <w:sz w:val="30"/>
          <w:szCs w:val="30"/>
        </w:rPr>
        <w:t xml:space="preserve"> Place: Room Raúl </w:t>
      </w:r>
      <w:proofErr w:type="spellStart"/>
      <w:r w:rsidRPr="00E81BDC">
        <w:rPr>
          <w:rFonts w:asciiTheme="minorHAnsi" w:hAnsiTheme="minorHAnsi"/>
          <w:sz w:val="30"/>
          <w:szCs w:val="30"/>
        </w:rPr>
        <w:t>Prebisch</w:t>
      </w:r>
      <w:proofErr w:type="spellEnd"/>
      <w:r w:rsidRPr="00E81BDC">
        <w:rPr>
          <w:rFonts w:asciiTheme="minorHAnsi" w:hAnsiTheme="minorHAnsi"/>
          <w:sz w:val="30"/>
          <w:szCs w:val="30"/>
        </w:rPr>
        <w:t xml:space="preserve">, </w:t>
      </w:r>
      <w:r w:rsidRPr="00E81BDC">
        <w:rPr>
          <w:rFonts w:asciiTheme="minorHAnsi" w:hAnsiTheme="minorHAnsi"/>
          <w:sz w:val="30"/>
          <w:szCs w:val="30"/>
        </w:rPr>
        <w:t>UN ECLAC</w:t>
      </w:r>
    </w:p>
    <w:p w14:paraId="701AEE6A" w14:textId="4D8645DD" w:rsidR="00EB2FDB" w:rsidRPr="00E81BDC" w:rsidRDefault="00EB2FDB" w:rsidP="00EB2FDB">
      <w:pPr>
        <w:jc w:val="center"/>
        <w:rPr>
          <w:rFonts w:asciiTheme="minorHAnsi" w:hAnsiTheme="minorHAnsi"/>
          <w:sz w:val="30"/>
          <w:szCs w:val="30"/>
        </w:rPr>
      </w:pPr>
      <w:r w:rsidRPr="00E81BDC">
        <w:rPr>
          <w:rFonts w:asciiTheme="minorHAnsi" w:hAnsiTheme="minorHAnsi"/>
          <w:sz w:val="30"/>
          <w:szCs w:val="30"/>
        </w:rPr>
        <w:t xml:space="preserve">Santiago, Chile </w:t>
      </w:r>
    </w:p>
    <w:p w14:paraId="7689E5D5" w14:textId="77777777" w:rsidR="00AF2BFB" w:rsidRPr="00E81BDC" w:rsidRDefault="00AF2BFB" w:rsidP="001D66AE">
      <w:pPr>
        <w:jc w:val="center"/>
        <w:rPr>
          <w:rFonts w:asciiTheme="minorHAnsi" w:hAnsiTheme="minorHAnsi"/>
          <w:b/>
          <w:sz w:val="30"/>
          <w:szCs w:val="30"/>
        </w:rPr>
      </w:pPr>
    </w:p>
    <w:p w14:paraId="009E835B" w14:textId="77777777" w:rsidR="00801E89" w:rsidRPr="00636D4F" w:rsidRDefault="00801E89" w:rsidP="00801E89">
      <w:pPr>
        <w:jc w:val="center"/>
        <w:rPr>
          <w:rFonts w:asciiTheme="minorHAnsi" w:hAnsiTheme="minorHAnsi"/>
          <w:b/>
          <w:sz w:val="30"/>
          <w:szCs w:val="30"/>
        </w:rPr>
      </w:pPr>
      <w:r w:rsidRPr="00636D4F">
        <w:rPr>
          <w:rFonts w:asciiTheme="minorHAnsi" w:hAnsiTheme="minorHAnsi"/>
          <w:b/>
          <w:sz w:val="30"/>
          <w:szCs w:val="30"/>
        </w:rPr>
        <w:t>Question 1 – Where are we?</w:t>
      </w:r>
    </w:p>
    <w:p w14:paraId="5C21E42B" w14:textId="77777777" w:rsidR="001D66AE" w:rsidRPr="00E81BDC" w:rsidRDefault="001D66AE" w:rsidP="001D66AE">
      <w:pPr>
        <w:rPr>
          <w:rFonts w:asciiTheme="minorHAnsi" w:hAnsiTheme="minorHAnsi"/>
          <w:b/>
          <w:sz w:val="30"/>
          <w:szCs w:val="30"/>
        </w:rPr>
      </w:pPr>
    </w:p>
    <w:p w14:paraId="46AB8992" w14:textId="77777777" w:rsidR="001D66AE" w:rsidRPr="00E81BDC" w:rsidRDefault="001D66AE" w:rsidP="001D66AE">
      <w:pPr>
        <w:rPr>
          <w:rFonts w:asciiTheme="minorHAnsi" w:hAnsiTheme="minorHAnsi"/>
          <w:b/>
          <w:sz w:val="30"/>
          <w:szCs w:val="30"/>
        </w:rPr>
      </w:pPr>
    </w:p>
    <w:p w14:paraId="62168D1E" w14:textId="77777777" w:rsidR="00AF2BFB" w:rsidRPr="00E81BDC" w:rsidRDefault="00AF2BFB" w:rsidP="001D66AE">
      <w:pPr>
        <w:rPr>
          <w:rFonts w:asciiTheme="minorHAnsi" w:hAnsiTheme="minorHAnsi"/>
          <w:i/>
          <w:sz w:val="30"/>
          <w:szCs w:val="30"/>
        </w:rPr>
      </w:pPr>
    </w:p>
    <w:tbl>
      <w:tblPr>
        <w:tblStyle w:val="TableGrid"/>
        <w:tblW w:w="0" w:type="auto"/>
        <w:tblLook w:val="04A0" w:firstRow="1" w:lastRow="0" w:firstColumn="1" w:lastColumn="0" w:noHBand="0" w:noVBand="1"/>
      </w:tblPr>
      <w:tblGrid>
        <w:gridCol w:w="9016"/>
      </w:tblGrid>
      <w:tr w:rsidR="001D66AE" w:rsidRPr="00E81BDC" w14:paraId="32081624" w14:textId="77777777" w:rsidTr="00614DCB">
        <w:tc>
          <w:tcPr>
            <w:tcW w:w="9016" w:type="dxa"/>
          </w:tcPr>
          <w:p w14:paraId="251395F6" w14:textId="3170AE11" w:rsidR="001D66AE" w:rsidRPr="00E81BDC" w:rsidRDefault="002605A0" w:rsidP="00EA479B">
            <w:pPr>
              <w:rPr>
                <w:i/>
                <w:sz w:val="30"/>
                <w:szCs w:val="30"/>
              </w:rPr>
            </w:pPr>
            <w:r w:rsidRPr="00E81BDC">
              <w:rPr>
                <w:i/>
                <w:sz w:val="30"/>
                <w:szCs w:val="30"/>
              </w:rPr>
              <w:t>Urban development in t</w:t>
            </w:r>
            <w:r w:rsidR="008F4D7F" w:rsidRPr="00E81BDC">
              <w:rPr>
                <w:i/>
                <w:sz w:val="30"/>
                <w:szCs w:val="30"/>
              </w:rPr>
              <w:t xml:space="preserve">he </w:t>
            </w:r>
            <w:r w:rsidRPr="00E81BDC">
              <w:rPr>
                <w:i/>
                <w:sz w:val="30"/>
                <w:szCs w:val="30"/>
              </w:rPr>
              <w:t xml:space="preserve">Latin American and Caribbean </w:t>
            </w:r>
            <w:r w:rsidRPr="00E81BDC">
              <w:rPr>
                <w:i/>
                <w:sz w:val="30"/>
                <w:szCs w:val="30"/>
              </w:rPr>
              <w:t xml:space="preserve">(LAC) is rather disorganised and the </w:t>
            </w:r>
            <w:r w:rsidR="008F4D7F" w:rsidRPr="00E81BDC">
              <w:rPr>
                <w:i/>
                <w:sz w:val="30"/>
                <w:szCs w:val="30"/>
              </w:rPr>
              <w:t>use of conventionally fuelled c</w:t>
            </w:r>
            <w:r w:rsidR="00C87EA6" w:rsidRPr="00E81BDC">
              <w:rPr>
                <w:i/>
                <w:sz w:val="30"/>
                <w:szCs w:val="30"/>
              </w:rPr>
              <w:t>ar</w:t>
            </w:r>
            <w:r w:rsidR="008F4D7F" w:rsidRPr="00E81BDC">
              <w:rPr>
                <w:i/>
                <w:sz w:val="30"/>
                <w:szCs w:val="30"/>
              </w:rPr>
              <w:t>s</w:t>
            </w:r>
            <w:r w:rsidR="00C87EA6" w:rsidRPr="00E81BDC">
              <w:rPr>
                <w:i/>
                <w:sz w:val="30"/>
                <w:szCs w:val="30"/>
              </w:rPr>
              <w:t xml:space="preserve"> </w:t>
            </w:r>
            <w:r w:rsidR="008F4D7F" w:rsidRPr="00E81BDC">
              <w:rPr>
                <w:i/>
                <w:sz w:val="30"/>
                <w:szCs w:val="30"/>
              </w:rPr>
              <w:t>i</w:t>
            </w:r>
            <w:r w:rsidR="00C87EA6" w:rsidRPr="00E81BDC">
              <w:rPr>
                <w:i/>
                <w:sz w:val="30"/>
                <w:szCs w:val="30"/>
              </w:rPr>
              <w:t xml:space="preserve">s growing fast in the </w:t>
            </w:r>
            <w:r w:rsidR="008F4D7F" w:rsidRPr="00E81BDC">
              <w:rPr>
                <w:i/>
                <w:sz w:val="30"/>
                <w:szCs w:val="30"/>
              </w:rPr>
              <w:t xml:space="preserve">cities with significant negative impacts on the economic efficiency of cities, air quality, road safety and climate change. These trends are a significant threat to the global climate. </w:t>
            </w:r>
            <w:r w:rsidRPr="00E81BDC">
              <w:rPr>
                <w:i/>
                <w:sz w:val="30"/>
                <w:szCs w:val="30"/>
              </w:rPr>
              <w:t xml:space="preserve">When asked “Where are we?” </w:t>
            </w:r>
            <w:r w:rsidR="002D126F" w:rsidRPr="00E81BDC">
              <w:rPr>
                <w:i/>
                <w:sz w:val="30"/>
                <w:szCs w:val="30"/>
              </w:rPr>
              <w:t xml:space="preserve">73% of the audience </w:t>
            </w:r>
            <w:r w:rsidR="005E195E" w:rsidRPr="00E81BDC">
              <w:rPr>
                <w:i/>
                <w:sz w:val="30"/>
                <w:szCs w:val="30"/>
              </w:rPr>
              <w:t xml:space="preserve">responded </w:t>
            </w:r>
            <w:r w:rsidR="002D126F" w:rsidRPr="00E81BDC">
              <w:rPr>
                <w:i/>
                <w:sz w:val="30"/>
                <w:szCs w:val="30"/>
              </w:rPr>
              <w:t>that from a climate perspective urban mobility in the L</w:t>
            </w:r>
            <w:r w:rsidRPr="00E81BDC">
              <w:rPr>
                <w:i/>
                <w:sz w:val="30"/>
                <w:szCs w:val="30"/>
              </w:rPr>
              <w:t>AC</w:t>
            </w:r>
            <w:r w:rsidR="002D126F" w:rsidRPr="00E81BDC">
              <w:rPr>
                <w:i/>
                <w:sz w:val="30"/>
                <w:szCs w:val="30"/>
              </w:rPr>
              <w:t xml:space="preserve"> is doing “badly” or “very badly”. </w:t>
            </w:r>
            <w:r w:rsidR="00962B1C" w:rsidRPr="00E81BDC">
              <w:rPr>
                <w:i/>
                <w:sz w:val="30"/>
                <w:szCs w:val="30"/>
              </w:rPr>
              <w:t xml:space="preserve">In many cities public transport is </w:t>
            </w:r>
            <w:r w:rsidR="00962EDA" w:rsidRPr="00E81BDC">
              <w:rPr>
                <w:i/>
                <w:sz w:val="30"/>
                <w:szCs w:val="30"/>
              </w:rPr>
              <w:t xml:space="preserve">inefficient and of </w:t>
            </w:r>
            <w:r w:rsidR="00962B1C" w:rsidRPr="00E81BDC">
              <w:rPr>
                <w:i/>
                <w:sz w:val="30"/>
                <w:szCs w:val="30"/>
              </w:rPr>
              <w:t xml:space="preserve">poor quality and is </w:t>
            </w:r>
            <w:r w:rsidR="00962EDA" w:rsidRPr="00E81BDC">
              <w:rPr>
                <w:i/>
                <w:sz w:val="30"/>
                <w:szCs w:val="30"/>
              </w:rPr>
              <w:t>losing</w:t>
            </w:r>
            <w:r w:rsidR="00962B1C" w:rsidRPr="00E81BDC">
              <w:rPr>
                <w:i/>
                <w:sz w:val="30"/>
                <w:szCs w:val="30"/>
              </w:rPr>
              <w:t xml:space="preserve"> mode share.  </w:t>
            </w:r>
            <w:r w:rsidR="003C11C1" w:rsidRPr="00E81BDC">
              <w:rPr>
                <w:i/>
                <w:sz w:val="30"/>
                <w:szCs w:val="30"/>
              </w:rPr>
              <w:t xml:space="preserve">There is a lack of clear national transport polies to tackle climate change and very few NDC´s address urban mobility. </w:t>
            </w:r>
          </w:p>
          <w:p w14:paraId="16DADB85" w14:textId="77777777" w:rsidR="002D126F" w:rsidRPr="00E81BDC" w:rsidRDefault="002D126F" w:rsidP="00EA479B">
            <w:pPr>
              <w:rPr>
                <w:i/>
                <w:sz w:val="30"/>
                <w:szCs w:val="30"/>
              </w:rPr>
            </w:pPr>
          </w:p>
          <w:p w14:paraId="38CCA948" w14:textId="77777777" w:rsidR="002D126F" w:rsidRPr="00E81BDC" w:rsidRDefault="002D126F" w:rsidP="00EA479B">
            <w:pPr>
              <w:rPr>
                <w:i/>
                <w:sz w:val="30"/>
                <w:szCs w:val="30"/>
              </w:rPr>
            </w:pPr>
          </w:p>
          <w:p w14:paraId="35023DC2" w14:textId="65243330" w:rsidR="002D126F" w:rsidRPr="00E81BDC" w:rsidRDefault="002D126F" w:rsidP="00EA479B">
            <w:pPr>
              <w:rPr>
                <w:i/>
                <w:sz w:val="30"/>
                <w:szCs w:val="30"/>
              </w:rPr>
            </w:pPr>
          </w:p>
        </w:tc>
      </w:tr>
    </w:tbl>
    <w:p w14:paraId="7B4634AC" w14:textId="77777777" w:rsidR="001D66AE" w:rsidRPr="00E81BDC" w:rsidRDefault="001D66AE" w:rsidP="001D66AE">
      <w:pPr>
        <w:rPr>
          <w:rFonts w:asciiTheme="minorHAnsi" w:hAnsiTheme="minorHAnsi"/>
          <w:i/>
          <w:sz w:val="30"/>
          <w:szCs w:val="30"/>
        </w:rPr>
      </w:pPr>
    </w:p>
    <w:p w14:paraId="470F094D" w14:textId="77777777" w:rsidR="001D66AE" w:rsidRPr="00E81BDC" w:rsidRDefault="001D66AE" w:rsidP="001D66AE">
      <w:pPr>
        <w:rPr>
          <w:rFonts w:asciiTheme="minorHAnsi" w:hAnsiTheme="minorHAnsi"/>
          <w:b/>
          <w:sz w:val="30"/>
          <w:szCs w:val="30"/>
        </w:rPr>
      </w:pPr>
    </w:p>
    <w:p w14:paraId="052956E8" w14:textId="1DF7AF75" w:rsidR="00EB2FDB" w:rsidRPr="00E81BDC" w:rsidRDefault="00EB2FDB" w:rsidP="001D66AE">
      <w:pPr>
        <w:rPr>
          <w:rFonts w:asciiTheme="minorHAnsi" w:hAnsiTheme="minorHAnsi"/>
          <w:b/>
          <w:sz w:val="30"/>
          <w:szCs w:val="30"/>
        </w:rPr>
      </w:pPr>
    </w:p>
    <w:p w14:paraId="3EBDE6DF" w14:textId="77777777" w:rsidR="00EB2FDB" w:rsidRPr="00E81BDC" w:rsidRDefault="00EB2FDB" w:rsidP="00EB2FDB">
      <w:pPr>
        <w:jc w:val="center"/>
        <w:rPr>
          <w:rFonts w:asciiTheme="minorHAnsi" w:hAnsiTheme="minorHAnsi"/>
          <w:b/>
          <w:sz w:val="30"/>
          <w:szCs w:val="30"/>
        </w:rPr>
      </w:pPr>
      <w:r w:rsidRPr="00E81BDC">
        <w:rPr>
          <w:rFonts w:asciiTheme="minorHAnsi" w:hAnsiTheme="minorHAnsi"/>
          <w:b/>
          <w:sz w:val="30"/>
          <w:szCs w:val="30"/>
        </w:rPr>
        <w:t>Question 2 - Where do we want to go?</w:t>
      </w:r>
    </w:p>
    <w:p w14:paraId="164EDB65" w14:textId="77777777" w:rsidR="00EB2FDB" w:rsidRPr="00E81BDC" w:rsidRDefault="00EB2FDB" w:rsidP="00EB2FDB">
      <w:pPr>
        <w:rPr>
          <w:rFonts w:asciiTheme="minorHAnsi" w:hAnsiTheme="minorHAnsi"/>
          <w:b/>
          <w:sz w:val="30"/>
          <w:szCs w:val="30"/>
        </w:rPr>
      </w:pPr>
    </w:p>
    <w:p w14:paraId="39643393" w14:textId="77777777" w:rsidR="00EB2FDB" w:rsidRPr="00E81BDC" w:rsidRDefault="00EB2FDB" w:rsidP="00EB2FDB">
      <w:pPr>
        <w:rPr>
          <w:rFonts w:asciiTheme="minorHAnsi" w:hAnsiTheme="minorHAnsi"/>
          <w:b/>
          <w:sz w:val="30"/>
          <w:szCs w:val="30"/>
        </w:rPr>
      </w:pPr>
    </w:p>
    <w:p w14:paraId="0AB61B5F" w14:textId="77777777" w:rsidR="00E81BDC" w:rsidRPr="00E81BDC" w:rsidRDefault="00E81BDC" w:rsidP="00EB2FDB">
      <w:pPr>
        <w:rPr>
          <w:rFonts w:asciiTheme="minorHAnsi" w:hAnsiTheme="minorHAnsi"/>
          <w:b/>
          <w:sz w:val="30"/>
          <w:szCs w:val="30"/>
        </w:rPr>
      </w:pPr>
    </w:p>
    <w:tbl>
      <w:tblPr>
        <w:tblStyle w:val="TableGrid"/>
        <w:tblW w:w="0" w:type="auto"/>
        <w:tblLook w:val="04A0" w:firstRow="1" w:lastRow="0" w:firstColumn="1" w:lastColumn="0" w:noHBand="0" w:noVBand="1"/>
      </w:tblPr>
      <w:tblGrid>
        <w:gridCol w:w="9016"/>
      </w:tblGrid>
      <w:tr w:rsidR="00EB2FDB" w:rsidRPr="00E81BDC" w14:paraId="4CFBB28F" w14:textId="77777777" w:rsidTr="003C791F">
        <w:tc>
          <w:tcPr>
            <w:tcW w:w="9016" w:type="dxa"/>
          </w:tcPr>
          <w:p w14:paraId="4EE30C29" w14:textId="77777777" w:rsidR="00EB2FDB" w:rsidRPr="00E81BDC" w:rsidRDefault="00EB2FDB" w:rsidP="003C791F">
            <w:pPr>
              <w:rPr>
                <w:i/>
                <w:sz w:val="30"/>
                <w:szCs w:val="30"/>
              </w:rPr>
            </w:pPr>
            <w:r w:rsidRPr="00E81BDC">
              <w:rPr>
                <w:i/>
                <w:sz w:val="30"/>
                <w:szCs w:val="30"/>
              </w:rPr>
              <w:t>Urban mobility in Latin America and the Caribbean needs a new vision for its development – no longer based on historic patterns. . To support regional development and tackle climate change urban mobility policy should be more focussed on the efficient movement of people, not vehicles.</w:t>
            </w:r>
          </w:p>
          <w:p w14:paraId="77565124" w14:textId="77777777" w:rsidR="00EB2FDB" w:rsidRPr="00E81BDC" w:rsidRDefault="00EB2FDB" w:rsidP="003C791F">
            <w:pPr>
              <w:rPr>
                <w:i/>
                <w:sz w:val="30"/>
                <w:szCs w:val="30"/>
              </w:rPr>
            </w:pPr>
          </w:p>
          <w:p w14:paraId="4573C086" w14:textId="77777777" w:rsidR="00EB2FDB" w:rsidRPr="00E81BDC" w:rsidRDefault="00EB2FDB" w:rsidP="003C791F">
            <w:pPr>
              <w:rPr>
                <w:i/>
                <w:sz w:val="30"/>
                <w:szCs w:val="30"/>
              </w:rPr>
            </w:pPr>
            <w:r w:rsidRPr="00E81BDC">
              <w:rPr>
                <w:i/>
                <w:sz w:val="30"/>
                <w:szCs w:val="30"/>
              </w:rPr>
              <w:t xml:space="preserve">When surveyed “Where do we want to go?” 51% responded “Human focused planning and investments” and 37% responded “PT prioritisation”. </w:t>
            </w:r>
          </w:p>
          <w:p w14:paraId="04ADA4A2" w14:textId="77777777" w:rsidR="00EB2FDB" w:rsidRPr="00E81BDC" w:rsidRDefault="00EB2FDB" w:rsidP="003C791F">
            <w:pPr>
              <w:rPr>
                <w:i/>
                <w:sz w:val="30"/>
                <w:szCs w:val="30"/>
              </w:rPr>
            </w:pPr>
            <w:r w:rsidRPr="00E81BDC">
              <w:rPr>
                <w:i/>
                <w:sz w:val="30"/>
                <w:szCs w:val="30"/>
              </w:rPr>
              <w:t xml:space="preserve"> </w:t>
            </w:r>
          </w:p>
          <w:p w14:paraId="14918710" w14:textId="77777777" w:rsidR="00EB2FDB" w:rsidRPr="00E81BDC" w:rsidRDefault="00EB2FDB" w:rsidP="003C791F">
            <w:pPr>
              <w:rPr>
                <w:i/>
                <w:sz w:val="30"/>
                <w:szCs w:val="30"/>
              </w:rPr>
            </w:pPr>
            <w:r w:rsidRPr="00E81BDC">
              <w:rPr>
                <w:i/>
                <w:sz w:val="30"/>
                <w:szCs w:val="30"/>
              </w:rPr>
              <w:t xml:space="preserve">It is important to understand the role of the automobile sector in the economy (e.g. Mexico) and how a transition to a low carbon system impacts on workers and the economy. </w:t>
            </w:r>
            <w:r w:rsidRPr="00E81BDC">
              <w:rPr>
                <w:i/>
                <w:sz w:val="30"/>
                <w:szCs w:val="30"/>
              </w:rPr>
              <w:br/>
              <w:t xml:space="preserve">  </w:t>
            </w:r>
          </w:p>
          <w:p w14:paraId="2DF72ABC" w14:textId="77777777" w:rsidR="00EB2FDB" w:rsidRPr="00E81BDC" w:rsidRDefault="00EB2FDB" w:rsidP="003C791F">
            <w:pPr>
              <w:rPr>
                <w:i/>
                <w:sz w:val="30"/>
                <w:szCs w:val="30"/>
              </w:rPr>
            </w:pPr>
            <w:r w:rsidRPr="00E81BDC">
              <w:rPr>
                <w:i/>
                <w:sz w:val="30"/>
                <w:szCs w:val="30"/>
              </w:rPr>
              <w:t xml:space="preserve">Recent extreme climate events highlight the need for urban mobility to be more resilient.  </w:t>
            </w:r>
          </w:p>
          <w:p w14:paraId="7E2F316E" w14:textId="77777777" w:rsidR="00EB2FDB" w:rsidRPr="00E81BDC" w:rsidRDefault="00EB2FDB" w:rsidP="003C791F">
            <w:pPr>
              <w:rPr>
                <w:i/>
                <w:sz w:val="30"/>
                <w:szCs w:val="30"/>
              </w:rPr>
            </w:pPr>
          </w:p>
          <w:p w14:paraId="73883F92" w14:textId="77777777" w:rsidR="00EB2FDB" w:rsidRPr="00E81BDC" w:rsidRDefault="00EB2FDB" w:rsidP="003C791F">
            <w:pPr>
              <w:rPr>
                <w:i/>
                <w:sz w:val="30"/>
                <w:szCs w:val="30"/>
              </w:rPr>
            </w:pPr>
          </w:p>
        </w:tc>
      </w:tr>
    </w:tbl>
    <w:p w14:paraId="6EFDEECA" w14:textId="77777777" w:rsidR="00EB2FDB" w:rsidRPr="00E81BDC" w:rsidRDefault="00EB2FDB" w:rsidP="00EB2FDB">
      <w:pPr>
        <w:rPr>
          <w:rFonts w:asciiTheme="minorHAnsi" w:hAnsiTheme="minorHAnsi"/>
          <w:i/>
          <w:sz w:val="30"/>
          <w:szCs w:val="30"/>
        </w:rPr>
      </w:pPr>
    </w:p>
    <w:p w14:paraId="093B8B32" w14:textId="0744AF55" w:rsidR="00EB2FDB" w:rsidRPr="00E81BDC" w:rsidRDefault="00EB2FDB" w:rsidP="00EB2FDB">
      <w:pPr>
        <w:rPr>
          <w:rFonts w:asciiTheme="minorHAnsi" w:hAnsiTheme="minorHAnsi"/>
          <w:i/>
          <w:sz w:val="30"/>
          <w:szCs w:val="30"/>
        </w:rPr>
      </w:pPr>
    </w:p>
    <w:p w14:paraId="7106FC9C" w14:textId="77777777" w:rsidR="00E81BDC" w:rsidRPr="00E81BDC" w:rsidRDefault="00E81BDC" w:rsidP="00EB2FDB">
      <w:pPr>
        <w:rPr>
          <w:rFonts w:asciiTheme="minorHAnsi" w:hAnsiTheme="minorHAnsi"/>
          <w:i/>
          <w:sz w:val="30"/>
          <w:szCs w:val="30"/>
        </w:rPr>
      </w:pPr>
    </w:p>
    <w:tbl>
      <w:tblPr>
        <w:tblStyle w:val="TableGrid"/>
        <w:tblW w:w="0" w:type="auto"/>
        <w:tblLook w:val="04A0" w:firstRow="1" w:lastRow="0" w:firstColumn="1" w:lastColumn="0" w:noHBand="0" w:noVBand="1"/>
      </w:tblPr>
      <w:tblGrid>
        <w:gridCol w:w="9016"/>
      </w:tblGrid>
      <w:tr w:rsidR="00EB2FDB" w:rsidRPr="00E81BDC" w14:paraId="3F096D88" w14:textId="77777777" w:rsidTr="003C791F">
        <w:tc>
          <w:tcPr>
            <w:tcW w:w="9016" w:type="dxa"/>
          </w:tcPr>
          <w:p w14:paraId="73EF5128" w14:textId="56322FDC" w:rsidR="00EB2FDB" w:rsidRPr="00E81BDC" w:rsidRDefault="00EB2FDB" w:rsidP="00E81BDC">
            <w:pPr>
              <w:rPr>
                <w:i/>
                <w:sz w:val="30"/>
                <w:szCs w:val="30"/>
              </w:rPr>
            </w:pPr>
            <w:r w:rsidRPr="00E81BDC">
              <w:rPr>
                <w:i/>
                <w:sz w:val="30"/>
                <w:szCs w:val="30"/>
              </w:rPr>
              <w:t xml:space="preserve">Cities across LAC are starting to develop Sustainable Urban Mobility Plans (SUMP) (7 financed by the EU </w:t>
            </w:r>
            <w:proofErr w:type="spellStart"/>
            <w:r w:rsidRPr="00E81BDC">
              <w:rPr>
                <w:i/>
                <w:sz w:val="30"/>
                <w:szCs w:val="30"/>
              </w:rPr>
              <w:t>Euroclima</w:t>
            </w:r>
            <w:proofErr w:type="spellEnd"/>
            <w:r w:rsidRPr="00E81BDC">
              <w:rPr>
                <w:i/>
                <w:sz w:val="30"/>
                <w:szCs w:val="30"/>
              </w:rPr>
              <w:t xml:space="preserve">+ program) and some countries are preparing National Urban Mobility Policies (NUMP)  (3 financed by the EU </w:t>
            </w:r>
            <w:proofErr w:type="spellStart"/>
            <w:r w:rsidRPr="00E81BDC">
              <w:rPr>
                <w:i/>
                <w:sz w:val="30"/>
                <w:szCs w:val="30"/>
              </w:rPr>
              <w:t>Euroclima</w:t>
            </w:r>
            <w:proofErr w:type="spellEnd"/>
            <w:r w:rsidRPr="00E81BDC">
              <w:rPr>
                <w:i/>
                <w:sz w:val="30"/>
                <w:szCs w:val="30"/>
              </w:rPr>
              <w:t xml:space="preserve">+ program) – these provide an opportunity to build and implement coordinated and effective urban mobility policies at the local and national levels – and serve as examples for the whole region. </w:t>
            </w:r>
          </w:p>
        </w:tc>
      </w:tr>
    </w:tbl>
    <w:p w14:paraId="67BBD9F0" w14:textId="77777777" w:rsidR="00EB2FDB" w:rsidRPr="00E81BDC" w:rsidRDefault="00EB2FDB" w:rsidP="00EB2FDB">
      <w:pPr>
        <w:rPr>
          <w:rFonts w:asciiTheme="minorHAnsi" w:hAnsiTheme="minorHAnsi"/>
          <w:i/>
          <w:sz w:val="30"/>
          <w:szCs w:val="30"/>
        </w:rPr>
      </w:pPr>
    </w:p>
    <w:p w14:paraId="2CA4BCBB" w14:textId="44F4242A" w:rsidR="00EB2FDB" w:rsidRPr="00E81BDC" w:rsidRDefault="00EB2FDB" w:rsidP="00EB2FDB">
      <w:pPr>
        <w:rPr>
          <w:rFonts w:asciiTheme="minorHAnsi" w:hAnsiTheme="minorHAnsi"/>
          <w:i/>
          <w:sz w:val="30"/>
          <w:szCs w:val="30"/>
        </w:rPr>
      </w:pPr>
    </w:p>
    <w:p w14:paraId="651C3220" w14:textId="77777777" w:rsidR="00E81BDC" w:rsidRPr="00E81BDC" w:rsidRDefault="00E81BDC" w:rsidP="00EB2FDB">
      <w:pPr>
        <w:rPr>
          <w:rFonts w:asciiTheme="minorHAnsi" w:hAnsiTheme="minorHAnsi"/>
          <w:i/>
          <w:sz w:val="30"/>
          <w:szCs w:val="30"/>
        </w:rPr>
      </w:pPr>
    </w:p>
    <w:tbl>
      <w:tblPr>
        <w:tblStyle w:val="TableGrid"/>
        <w:tblW w:w="0" w:type="auto"/>
        <w:tblLook w:val="04A0" w:firstRow="1" w:lastRow="0" w:firstColumn="1" w:lastColumn="0" w:noHBand="0" w:noVBand="1"/>
      </w:tblPr>
      <w:tblGrid>
        <w:gridCol w:w="9016"/>
      </w:tblGrid>
      <w:tr w:rsidR="00EB2FDB" w:rsidRPr="00E81BDC" w14:paraId="4045C79F" w14:textId="77777777" w:rsidTr="003C791F">
        <w:tc>
          <w:tcPr>
            <w:tcW w:w="9016" w:type="dxa"/>
          </w:tcPr>
          <w:p w14:paraId="164B944C" w14:textId="121A2816" w:rsidR="00EB2FDB" w:rsidRPr="00E81BDC" w:rsidRDefault="00EB2FDB" w:rsidP="003C791F">
            <w:pPr>
              <w:rPr>
                <w:i/>
                <w:sz w:val="30"/>
                <w:szCs w:val="30"/>
              </w:rPr>
            </w:pPr>
            <w:r w:rsidRPr="00E81BDC">
              <w:rPr>
                <w:i/>
                <w:sz w:val="30"/>
                <w:szCs w:val="30"/>
              </w:rPr>
              <w:t xml:space="preserve">Efficient low carbon mobility in Latin American and Caribbean cities would make a major contribution to improving road safety, urban air quality, health and to reduce inequality.  </w:t>
            </w:r>
          </w:p>
          <w:p w14:paraId="6C84DE01" w14:textId="77777777" w:rsidR="00EB2FDB" w:rsidRPr="00E81BDC" w:rsidRDefault="00EB2FDB" w:rsidP="003C791F">
            <w:pPr>
              <w:rPr>
                <w:i/>
                <w:sz w:val="30"/>
                <w:szCs w:val="30"/>
              </w:rPr>
            </w:pPr>
          </w:p>
        </w:tc>
      </w:tr>
    </w:tbl>
    <w:p w14:paraId="4212D407" w14:textId="33EF17C7" w:rsidR="00EB2FDB" w:rsidRPr="00E81BDC" w:rsidRDefault="00EB2FDB" w:rsidP="001D66AE">
      <w:pPr>
        <w:rPr>
          <w:rFonts w:asciiTheme="minorHAnsi" w:hAnsiTheme="minorHAnsi"/>
          <w:b/>
          <w:sz w:val="30"/>
          <w:szCs w:val="30"/>
        </w:rPr>
      </w:pPr>
    </w:p>
    <w:p w14:paraId="766FE99B" w14:textId="05BBF1C9" w:rsidR="00E81BDC" w:rsidRPr="00E81BDC" w:rsidRDefault="00E81BDC">
      <w:pPr>
        <w:tabs>
          <w:tab w:val="clear" w:pos="709"/>
          <w:tab w:val="clear" w:pos="5245"/>
        </w:tabs>
        <w:spacing w:after="200" w:line="276" w:lineRule="auto"/>
        <w:rPr>
          <w:rFonts w:asciiTheme="minorHAnsi" w:hAnsiTheme="minorHAnsi"/>
          <w:b/>
          <w:sz w:val="30"/>
          <w:szCs w:val="30"/>
        </w:rPr>
      </w:pPr>
      <w:r w:rsidRPr="00E81BDC">
        <w:rPr>
          <w:rFonts w:asciiTheme="minorHAnsi" w:hAnsiTheme="minorHAnsi"/>
          <w:b/>
          <w:sz w:val="30"/>
          <w:szCs w:val="30"/>
        </w:rPr>
        <w:br w:type="page"/>
      </w:r>
    </w:p>
    <w:p w14:paraId="16375EAD" w14:textId="77777777" w:rsidR="00EB2FDB" w:rsidRPr="00E81BDC" w:rsidRDefault="00EB2FDB" w:rsidP="001D66AE">
      <w:pPr>
        <w:rPr>
          <w:rFonts w:asciiTheme="minorHAnsi" w:hAnsiTheme="minorHAnsi"/>
          <w:b/>
          <w:sz w:val="30"/>
          <w:szCs w:val="30"/>
        </w:rPr>
      </w:pPr>
    </w:p>
    <w:p w14:paraId="4D0D47A6" w14:textId="11827F61" w:rsidR="00EB2FDB" w:rsidRPr="00E81BDC" w:rsidRDefault="00EB2FDB" w:rsidP="001D66AE">
      <w:pPr>
        <w:rPr>
          <w:rFonts w:asciiTheme="minorHAnsi" w:hAnsiTheme="minorHAnsi"/>
          <w:b/>
          <w:sz w:val="30"/>
          <w:szCs w:val="30"/>
        </w:rPr>
      </w:pPr>
    </w:p>
    <w:p w14:paraId="56088E58" w14:textId="77777777" w:rsidR="00EB2FDB" w:rsidRPr="00E81BDC" w:rsidRDefault="00EB2FDB" w:rsidP="00EB2FDB">
      <w:pPr>
        <w:jc w:val="center"/>
        <w:rPr>
          <w:rFonts w:asciiTheme="minorHAnsi" w:hAnsiTheme="minorHAnsi"/>
          <w:b/>
          <w:sz w:val="30"/>
          <w:szCs w:val="30"/>
        </w:rPr>
      </w:pPr>
      <w:r w:rsidRPr="00E81BDC">
        <w:rPr>
          <w:rFonts w:asciiTheme="minorHAnsi" w:hAnsiTheme="minorHAnsi"/>
          <w:b/>
          <w:sz w:val="30"/>
          <w:szCs w:val="30"/>
        </w:rPr>
        <w:t>Question 3 - How do we get there?</w:t>
      </w:r>
    </w:p>
    <w:p w14:paraId="21499DB6" w14:textId="77777777" w:rsidR="00EB2FDB" w:rsidRPr="00E81BDC" w:rsidRDefault="00EB2FDB" w:rsidP="00EB2FDB">
      <w:pPr>
        <w:rPr>
          <w:rFonts w:asciiTheme="minorHAnsi" w:hAnsiTheme="minorHAnsi"/>
          <w:b/>
          <w:sz w:val="30"/>
          <w:szCs w:val="30"/>
        </w:rPr>
      </w:pPr>
    </w:p>
    <w:p w14:paraId="7C84815C" w14:textId="6537BE3B" w:rsidR="00EB2FDB" w:rsidRPr="00E81BDC" w:rsidRDefault="00EB2FDB" w:rsidP="00EB2FDB">
      <w:pPr>
        <w:rPr>
          <w:rFonts w:asciiTheme="minorHAnsi" w:hAnsiTheme="minorHAnsi"/>
          <w:i/>
          <w:sz w:val="30"/>
          <w:szCs w:val="30"/>
        </w:rPr>
      </w:pPr>
      <w:bookmarkStart w:id="0" w:name="_GoBack"/>
      <w:bookmarkEnd w:id="0"/>
    </w:p>
    <w:tbl>
      <w:tblPr>
        <w:tblStyle w:val="TableGrid"/>
        <w:tblW w:w="0" w:type="auto"/>
        <w:tblLook w:val="04A0" w:firstRow="1" w:lastRow="0" w:firstColumn="1" w:lastColumn="0" w:noHBand="0" w:noVBand="1"/>
      </w:tblPr>
      <w:tblGrid>
        <w:gridCol w:w="9016"/>
      </w:tblGrid>
      <w:tr w:rsidR="00EB2FDB" w:rsidRPr="00E81BDC" w14:paraId="448442BD" w14:textId="77777777" w:rsidTr="003C791F">
        <w:tc>
          <w:tcPr>
            <w:tcW w:w="9016" w:type="dxa"/>
          </w:tcPr>
          <w:p w14:paraId="02639A44" w14:textId="77777777" w:rsidR="00EB2FDB" w:rsidRPr="00E81BDC" w:rsidRDefault="00EB2FDB" w:rsidP="003C791F">
            <w:pPr>
              <w:rPr>
                <w:i/>
                <w:sz w:val="30"/>
                <w:szCs w:val="30"/>
              </w:rPr>
            </w:pPr>
            <w:r w:rsidRPr="00E81BDC">
              <w:rPr>
                <w:i/>
                <w:sz w:val="30"/>
                <w:szCs w:val="30"/>
              </w:rPr>
              <w:t xml:space="preserve">Developing and implementing a low carbon urban mobility requires much better governmental co-ordination (horizontally and vertically) and broad consensus building. The UN Climate Change process should help engage different national ministries (urban, transport, health) as well as foster meaningful dialogue between local and national actors. Improved access to information and education will help build popular support for new urban mobility solutions.     </w:t>
            </w:r>
          </w:p>
          <w:p w14:paraId="4221CF49" w14:textId="77777777" w:rsidR="00EB2FDB" w:rsidRPr="00E81BDC" w:rsidRDefault="00EB2FDB" w:rsidP="003C791F">
            <w:pPr>
              <w:rPr>
                <w:i/>
                <w:sz w:val="30"/>
                <w:szCs w:val="30"/>
              </w:rPr>
            </w:pPr>
            <w:r w:rsidRPr="00E81BDC">
              <w:rPr>
                <w:i/>
                <w:sz w:val="30"/>
                <w:szCs w:val="30"/>
              </w:rPr>
              <w:t xml:space="preserve">Actual users of urban mobility systems need to be more directly involved in the development and implementation of new urban mobility systems through meaningful consultation mechanisms (e.g. social media). To tackle climate change there needs to be a significant improvement in the quality of public transport to make it more efficient and attractive to broad range of users.   </w:t>
            </w:r>
          </w:p>
          <w:p w14:paraId="261A0049" w14:textId="77777777" w:rsidR="00EB2FDB" w:rsidRPr="00E81BDC" w:rsidRDefault="00EB2FDB" w:rsidP="003C791F">
            <w:pPr>
              <w:rPr>
                <w:i/>
                <w:sz w:val="30"/>
                <w:szCs w:val="30"/>
              </w:rPr>
            </w:pPr>
          </w:p>
          <w:p w14:paraId="4E89B60D" w14:textId="33330B73" w:rsidR="00EB2FDB" w:rsidRPr="00E81BDC" w:rsidRDefault="00EB2FDB" w:rsidP="003C791F">
            <w:pPr>
              <w:rPr>
                <w:i/>
                <w:sz w:val="30"/>
                <w:szCs w:val="30"/>
              </w:rPr>
            </w:pPr>
            <w:r w:rsidRPr="00E81BDC">
              <w:rPr>
                <w:i/>
                <w:sz w:val="30"/>
                <w:szCs w:val="30"/>
              </w:rPr>
              <w:t xml:space="preserve">When asked “How do we get there?”  32% responded “Stronger national mobility policies”, 22% responded “More powers for cities”, only 5% responded “Better financing for cities” but 40% responded “Improved human capacity at the local level”.  </w:t>
            </w:r>
          </w:p>
          <w:p w14:paraId="141A0025" w14:textId="77777777" w:rsidR="00EB2FDB" w:rsidRPr="00E81BDC" w:rsidRDefault="00EB2FDB" w:rsidP="003C791F">
            <w:pPr>
              <w:rPr>
                <w:i/>
                <w:sz w:val="30"/>
                <w:szCs w:val="30"/>
              </w:rPr>
            </w:pPr>
          </w:p>
        </w:tc>
      </w:tr>
    </w:tbl>
    <w:p w14:paraId="21012873" w14:textId="77777777" w:rsidR="00EB2FDB" w:rsidRPr="00E81BDC" w:rsidRDefault="00EB2FDB" w:rsidP="00EB2FDB">
      <w:pPr>
        <w:rPr>
          <w:rFonts w:asciiTheme="minorHAnsi" w:hAnsiTheme="minorHAnsi"/>
          <w:i/>
          <w:sz w:val="30"/>
          <w:szCs w:val="30"/>
        </w:rPr>
      </w:pPr>
    </w:p>
    <w:p w14:paraId="44798ACF" w14:textId="23ADC19C" w:rsidR="00EB2FDB" w:rsidRPr="00E81BDC" w:rsidRDefault="00EB2FDB" w:rsidP="00E81BDC">
      <w:pPr>
        <w:tabs>
          <w:tab w:val="clear" w:pos="709"/>
          <w:tab w:val="clear" w:pos="5245"/>
        </w:tabs>
        <w:spacing w:after="200" w:line="276" w:lineRule="auto"/>
        <w:rPr>
          <w:rFonts w:asciiTheme="minorHAnsi" w:hAnsiTheme="minorHAnsi"/>
          <w:i/>
          <w:sz w:val="30"/>
          <w:szCs w:val="30"/>
        </w:rPr>
      </w:pPr>
    </w:p>
    <w:tbl>
      <w:tblPr>
        <w:tblStyle w:val="TableGrid"/>
        <w:tblW w:w="0" w:type="auto"/>
        <w:tblLook w:val="04A0" w:firstRow="1" w:lastRow="0" w:firstColumn="1" w:lastColumn="0" w:noHBand="0" w:noVBand="1"/>
      </w:tblPr>
      <w:tblGrid>
        <w:gridCol w:w="9016"/>
      </w:tblGrid>
      <w:tr w:rsidR="00EB2FDB" w:rsidRPr="00E81BDC" w14:paraId="49156526" w14:textId="77777777" w:rsidTr="003C791F">
        <w:tc>
          <w:tcPr>
            <w:tcW w:w="9016" w:type="dxa"/>
          </w:tcPr>
          <w:p w14:paraId="45181CCB" w14:textId="66A943DB" w:rsidR="00EB2FDB" w:rsidRPr="00E81BDC" w:rsidRDefault="00EB2FDB" w:rsidP="00E81BDC">
            <w:pPr>
              <w:rPr>
                <w:i/>
                <w:sz w:val="30"/>
                <w:szCs w:val="30"/>
              </w:rPr>
            </w:pPr>
            <w:r w:rsidRPr="00E81BDC">
              <w:rPr>
                <w:i/>
                <w:sz w:val="30"/>
                <w:szCs w:val="30"/>
              </w:rPr>
              <w:t xml:space="preserve">NDC´s need to include clear action on transport and include a co-ordinated mixture of regulation and technology measures to address urban mobility. Given the relatively clean energy supply in LAC the development of electromobility has a significant role to play in the region (public transport, cars and bikes).  Transport investments needs to support low carbon transport investments.   </w:t>
            </w:r>
          </w:p>
        </w:tc>
      </w:tr>
    </w:tbl>
    <w:p w14:paraId="54D62EA2" w14:textId="77777777" w:rsidR="00EB2FDB" w:rsidRPr="00E81BDC" w:rsidRDefault="00EB2FDB" w:rsidP="00EB2FDB">
      <w:pPr>
        <w:spacing w:line="240" w:lineRule="auto"/>
        <w:rPr>
          <w:rFonts w:asciiTheme="minorHAnsi" w:hAnsiTheme="minorHAnsi"/>
          <w:i/>
          <w:sz w:val="30"/>
          <w:szCs w:val="30"/>
        </w:rPr>
      </w:pPr>
    </w:p>
    <w:p w14:paraId="37C7CFCC" w14:textId="5BE949F3" w:rsidR="00EB2FDB" w:rsidRPr="00E81BDC" w:rsidRDefault="00EB2FDB" w:rsidP="00EB2FDB">
      <w:pPr>
        <w:rPr>
          <w:rFonts w:asciiTheme="minorHAnsi" w:hAnsiTheme="minorHAnsi"/>
          <w:i/>
          <w:sz w:val="30"/>
          <w:szCs w:val="30"/>
        </w:rPr>
      </w:pPr>
    </w:p>
    <w:tbl>
      <w:tblPr>
        <w:tblStyle w:val="TableGrid"/>
        <w:tblW w:w="0" w:type="auto"/>
        <w:tblLook w:val="04A0" w:firstRow="1" w:lastRow="0" w:firstColumn="1" w:lastColumn="0" w:noHBand="0" w:noVBand="1"/>
      </w:tblPr>
      <w:tblGrid>
        <w:gridCol w:w="9016"/>
      </w:tblGrid>
      <w:tr w:rsidR="00EB2FDB" w:rsidRPr="00E81BDC" w14:paraId="76AE6640" w14:textId="77777777" w:rsidTr="003C791F">
        <w:tc>
          <w:tcPr>
            <w:tcW w:w="9016" w:type="dxa"/>
          </w:tcPr>
          <w:p w14:paraId="1D44E268" w14:textId="069D222C" w:rsidR="00EB2FDB" w:rsidRPr="00E81BDC" w:rsidRDefault="00EB2FDB" w:rsidP="00E81BDC">
            <w:pPr>
              <w:rPr>
                <w:i/>
                <w:sz w:val="30"/>
                <w:szCs w:val="30"/>
              </w:rPr>
            </w:pPr>
            <w:r w:rsidRPr="00E81BDC">
              <w:rPr>
                <w:i/>
                <w:sz w:val="30"/>
                <w:szCs w:val="30"/>
              </w:rPr>
              <w:t xml:space="preserve">Tackling urban mobility requires coordination (horizontally and vertically) between different governmental agencies – the UN Climate Process should continue to provide opportunities for non-Party actors to participate in designing and implementing solutions – in particular during the preparation and maintenance  of NDC.    </w:t>
            </w:r>
          </w:p>
        </w:tc>
      </w:tr>
    </w:tbl>
    <w:p w14:paraId="1B95A77A" w14:textId="77777777" w:rsidR="00EB2FDB" w:rsidRPr="00E81BDC" w:rsidRDefault="00EB2FDB" w:rsidP="00EB2FDB">
      <w:pPr>
        <w:rPr>
          <w:rFonts w:asciiTheme="minorHAnsi" w:hAnsiTheme="minorHAnsi"/>
          <w:i/>
          <w:sz w:val="30"/>
          <w:szCs w:val="30"/>
        </w:rPr>
      </w:pPr>
    </w:p>
    <w:p w14:paraId="565D5812" w14:textId="77777777" w:rsidR="00EB2FDB" w:rsidRPr="00E81BDC" w:rsidRDefault="00EB2FDB" w:rsidP="001D66AE">
      <w:pPr>
        <w:rPr>
          <w:rFonts w:asciiTheme="minorHAnsi" w:hAnsiTheme="minorHAnsi"/>
          <w:b/>
          <w:sz w:val="30"/>
          <w:szCs w:val="30"/>
        </w:rPr>
      </w:pPr>
    </w:p>
    <w:sectPr w:rsidR="00EB2FDB" w:rsidRPr="00E81BDC" w:rsidSect="009B6C10">
      <w:headerReference w:type="default" r:id="rId7"/>
      <w:pgSz w:w="12240" w:h="15840"/>
      <w:pgMar w:top="1440" w:right="1440" w:bottom="1440" w:left="1440" w:header="119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E0A67" w14:textId="77777777" w:rsidR="00030574" w:rsidRDefault="00030574" w:rsidP="005339CC">
      <w:pPr>
        <w:spacing w:line="240" w:lineRule="auto"/>
      </w:pPr>
      <w:r>
        <w:separator/>
      </w:r>
    </w:p>
  </w:endnote>
  <w:endnote w:type="continuationSeparator" w:id="0">
    <w:p w14:paraId="69A98EF5" w14:textId="77777777" w:rsidR="00030574" w:rsidRDefault="00030574" w:rsidP="00533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23AB9" w14:textId="77777777" w:rsidR="00030574" w:rsidRDefault="00030574" w:rsidP="005339CC">
      <w:pPr>
        <w:spacing w:line="240" w:lineRule="auto"/>
      </w:pPr>
      <w:r>
        <w:separator/>
      </w:r>
    </w:p>
  </w:footnote>
  <w:footnote w:type="continuationSeparator" w:id="0">
    <w:p w14:paraId="7E004152" w14:textId="77777777" w:rsidR="00030574" w:rsidRDefault="00030574" w:rsidP="005339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262E5" w14:textId="77777777" w:rsidR="005339CC" w:rsidRDefault="009B6C10" w:rsidP="00AA4B66">
    <w:pPr>
      <w:pStyle w:val="Header"/>
      <w:widowControl w:val="0"/>
    </w:pPr>
    <w:r w:rsidRPr="000A100E">
      <w:rPr>
        <w:noProof/>
        <w:lang w:val="en-US"/>
      </w:rPr>
      <w:drawing>
        <wp:anchor distT="0" distB="0" distL="114300" distR="114300" simplePos="0" relativeHeight="251660288" behindDoc="0" locked="0" layoutInCell="1" allowOverlap="1" wp14:anchorId="7182A7C6" wp14:editId="3C6B3CE8">
          <wp:simplePos x="0" y="0"/>
          <wp:positionH relativeFrom="margin">
            <wp:posOffset>3152140</wp:posOffset>
          </wp:positionH>
          <wp:positionV relativeFrom="paragraph">
            <wp:posOffset>-697534</wp:posOffset>
          </wp:positionV>
          <wp:extent cx="2762250" cy="86169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62250" cy="861695"/>
                  </a:xfrm>
                  <a:prstGeom prst="rect">
                    <a:avLst/>
                  </a:prstGeom>
                </pic:spPr>
              </pic:pic>
            </a:graphicData>
          </a:graphic>
        </wp:anchor>
      </w:drawing>
    </w:r>
    <w:r w:rsidR="00AA4B66" w:rsidRPr="000A100E">
      <w:rPr>
        <w:noProof/>
        <w:lang w:val="en-US"/>
      </w:rPr>
      <w:drawing>
        <wp:anchor distT="0" distB="0" distL="114300" distR="114300" simplePos="0" relativeHeight="251659264" behindDoc="0" locked="0" layoutInCell="1" allowOverlap="1" wp14:anchorId="790C725C" wp14:editId="6D8C2AB5">
          <wp:simplePos x="0" y="0"/>
          <wp:positionH relativeFrom="margin">
            <wp:posOffset>-201416</wp:posOffset>
          </wp:positionH>
          <wp:positionV relativeFrom="topMargin">
            <wp:align>bottom</wp:align>
          </wp:positionV>
          <wp:extent cx="929640" cy="752475"/>
          <wp:effectExtent l="0" t="0" r="381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29640" cy="752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B2EE7"/>
    <w:multiLevelType w:val="hybridMultilevel"/>
    <w:tmpl w:val="BD54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E"/>
    <w:rsid w:val="00030574"/>
    <w:rsid w:val="00176EE2"/>
    <w:rsid w:val="001C774C"/>
    <w:rsid w:val="001D66AE"/>
    <w:rsid w:val="00216A9B"/>
    <w:rsid w:val="00237713"/>
    <w:rsid w:val="002605A0"/>
    <w:rsid w:val="00277706"/>
    <w:rsid w:val="00283365"/>
    <w:rsid w:val="002A0875"/>
    <w:rsid w:val="002D126F"/>
    <w:rsid w:val="00357841"/>
    <w:rsid w:val="00396682"/>
    <w:rsid w:val="003C11C1"/>
    <w:rsid w:val="003D371E"/>
    <w:rsid w:val="003E28D3"/>
    <w:rsid w:val="004D526B"/>
    <w:rsid w:val="005339CC"/>
    <w:rsid w:val="00594D34"/>
    <w:rsid w:val="00595EAB"/>
    <w:rsid w:val="005C7ACC"/>
    <w:rsid w:val="005E195E"/>
    <w:rsid w:val="005E6302"/>
    <w:rsid w:val="00607E2D"/>
    <w:rsid w:val="00636D4F"/>
    <w:rsid w:val="0066071D"/>
    <w:rsid w:val="0077583F"/>
    <w:rsid w:val="00801E89"/>
    <w:rsid w:val="0087125E"/>
    <w:rsid w:val="008F4D7F"/>
    <w:rsid w:val="00921E02"/>
    <w:rsid w:val="00962B1C"/>
    <w:rsid w:val="00962EDA"/>
    <w:rsid w:val="009B6C10"/>
    <w:rsid w:val="009C7B75"/>
    <w:rsid w:val="00A919B1"/>
    <w:rsid w:val="00AA4B66"/>
    <w:rsid w:val="00AF2BFB"/>
    <w:rsid w:val="00B77EA8"/>
    <w:rsid w:val="00B824E9"/>
    <w:rsid w:val="00C87EA6"/>
    <w:rsid w:val="00DF32B0"/>
    <w:rsid w:val="00DF5156"/>
    <w:rsid w:val="00E81BDC"/>
    <w:rsid w:val="00EA479B"/>
    <w:rsid w:val="00EB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FC96"/>
  <w15:chartTrackingRefBased/>
  <w15:docId w15:val="{CDDAFE38-227A-4F1F-87C4-4F9EF065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302"/>
    <w:pPr>
      <w:tabs>
        <w:tab w:val="left" w:pos="709"/>
        <w:tab w:val="left" w:pos="5245"/>
      </w:tabs>
      <w:spacing w:after="0" w:line="284" w:lineRule="atLeast"/>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D66AE"/>
    <w:rPr>
      <w:sz w:val="16"/>
    </w:rPr>
  </w:style>
  <w:style w:type="paragraph" w:styleId="CommentText">
    <w:name w:val="annotation text"/>
    <w:basedOn w:val="Normal"/>
    <w:link w:val="CommentTextChar"/>
    <w:uiPriority w:val="99"/>
    <w:semiHidden/>
    <w:rsid w:val="001D66AE"/>
  </w:style>
  <w:style w:type="character" w:customStyle="1" w:styleId="CommentTextChar">
    <w:name w:val="Comment Text Char"/>
    <w:basedOn w:val="DefaultParagraphFont"/>
    <w:link w:val="CommentText"/>
    <w:uiPriority w:val="99"/>
    <w:semiHidden/>
    <w:rsid w:val="001D66AE"/>
    <w:rPr>
      <w:rFonts w:ascii="Times New Roman" w:eastAsia="Times New Roman" w:hAnsi="Times New Roman" w:cs="Times New Roman"/>
      <w:szCs w:val="20"/>
      <w:lang w:val="en-GB"/>
    </w:rPr>
  </w:style>
  <w:style w:type="paragraph" w:styleId="NormalWeb">
    <w:name w:val="Normal (Web)"/>
    <w:basedOn w:val="Normal"/>
    <w:uiPriority w:val="99"/>
    <w:unhideWhenUsed/>
    <w:rsid w:val="001D66AE"/>
    <w:pPr>
      <w:tabs>
        <w:tab w:val="clear" w:pos="709"/>
        <w:tab w:val="clear" w:pos="5245"/>
      </w:tabs>
      <w:spacing w:before="100" w:beforeAutospacing="1" w:after="100" w:afterAutospacing="1" w:line="240" w:lineRule="auto"/>
    </w:pPr>
    <w:rPr>
      <w:rFonts w:eastAsia="Calibri"/>
      <w:sz w:val="24"/>
      <w:szCs w:val="24"/>
      <w:lang w:val="en-US"/>
    </w:rPr>
  </w:style>
  <w:style w:type="paragraph" w:styleId="ListParagraph">
    <w:name w:val="List Paragraph"/>
    <w:basedOn w:val="Normal"/>
    <w:uiPriority w:val="34"/>
    <w:qFormat/>
    <w:rsid w:val="001D66AE"/>
    <w:pPr>
      <w:tabs>
        <w:tab w:val="clear" w:pos="709"/>
        <w:tab w:val="clear" w:pos="5245"/>
      </w:tabs>
      <w:spacing w:after="160" w:line="259" w:lineRule="auto"/>
      <w:ind w:left="720"/>
      <w:contextualSpacing/>
    </w:pPr>
    <w:rPr>
      <w:rFonts w:asciiTheme="minorHAnsi" w:eastAsiaTheme="minorHAnsi" w:hAnsiTheme="minorHAnsi" w:cstheme="minorBidi"/>
      <w:szCs w:val="22"/>
      <w:lang w:val="en-IE"/>
    </w:rPr>
  </w:style>
  <w:style w:type="table" w:styleId="TableGrid">
    <w:name w:val="Table Grid"/>
    <w:basedOn w:val="TableNormal"/>
    <w:uiPriority w:val="39"/>
    <w:rsid w:val="001D66A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6AE"/>
    <w:rPr>
      <w:rFonts w:ascii="Segoe UI" w:eastAsia="Times New Roman" w:hAnsi="Segoe UI" w:cs="Segoe UI"/>
      <w:sz w:val="18"/>
      <w:szCs w:val="18"/>
      <w:lang w:val="en-GB"/>
    </w:rPr>
  </w:style>
  <w:style w:type="paragraph" w:styleId="Header">
    <w:name w:val="header"/>
    <w:basedOn w:val="Normal"/>
    <w:link w:val="HeaderChar"/>
    <w:uiPriority w:val="99"/>
    <w:unhideWhenUsed/>
    <w:rsid w:val="005339CC"/>
    <w:pPr>
      <w:tabs>
        <w:tab w:val="clear" w:pos="709"/>
        <w:tab w:val="clear" w:pos="5245"/>
        <w:tab w:val="center" w:pos="4680"/>
        <w:tab w:val="right" w:pos="9360"/>
      </w:tabs>
      <w:spacing w:line="240" w:lineRule="auto"/>
    </w:pPr>
  </w:style>
  <w:style w:type="character" w:customStyle="1" w:styleId="HeaderChar">
    <w:name w:val="Header Char"/>
    <w:basedOn w:val="DefaultParagraphFont"/>
    <w:link w:val="Header"/>
    <w:uiPriority w:val="99"/>
    <w:rsid w:val="005339CC"/>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5339CC"/>
    <w:pPr>
      <w:tabs>
        <w:tab w:val="clear" w:pos="709"/>
        <w:tab w:val="clear" w:pos="5245"/>
        <w:tab w:val="center" w:pos="4680"/>
        <w:tab w:val="right" w:pos="9360"/>
      </w:tabs>
      <w:spacing w:line="240" w:lineRule="auto"/>
    </w:pPr>
  </w:style>
  <w:style w:type="character" w:customStyle="1" w:styleId="FooterChar">
    <w:name w:val="Footer Char"/>
    <w:basedOn w:val="DefaultParagraphFont"/>
    <w:link w:val="Footer"/>
    <w:uiPriority w:val="99"/>
    <w:rsid w:val="005339CC"/>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FCCC Word Document" ma:contentTypeID="0x0101008459AB02ACC99C4E8121C112FA13B9A2004D55B22C876D9446942F493A07F39F38" ma:contentTypeVersion="1" ma:contentTypeDescription="Creates a new UNFCCC Document" ma:contentTypeScope="" ma:versionID="39b66b304a15e902439fb5a923b7c39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7F5D6-1A58-4732-9CFC-0A88F93086F8}"/>
</file>

<file path=customXml/itemProps2.xml><?xml version="1.0" encoding="utf-8"?>
<ds:datastoreItem xmlns:ds="http://schemas.openxmlformats.org/officeDocument/2006/customXml" ds:itemID="{CFF17692-0D6D-4282-AA38-A22EA50F7195}"/>
</file>

<file path=customXml/itemProps3.xml><?xml version="1.0" encoding="utf-8"?>
<ds:datastoreItem xmlns:ds="http://schemas.openxmlformats.org/officeDocument/2006/customXml" ds:itemID="{E853B3AA-7022-4AF1-9E08-2270C203EAC6}"/>
</file>

<file path=docProps/app.xml><?xml version="1.0" encoding="utf-8"?>
<Properties xmlns="http://schemas.openxmlformats.org/officeDocument/2006/extended-properties" xmlns:vt="http://schemas.openxmlformats.org/officeDocument/2006/docPropsVTypes">
  <Template>Normal.dotm</Template>
  <TotalTime>7</TotalTime>
  <Pages>5</Pages>
  <Words>642</Words>
  <Characters>3661</Characters>
  <Application>Microsoft Office Word</Application>
  <DocSecurity>0</DocSecurity>
  <Lines>30</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Magalhaes</dc:creator>
  <cp:keywords/>
  <dc:description/>
  <cp:lastModifiedBy>Mark Major</cp:lastModifiedBy>
  <cp:revision>7</cp:revision>
  <dcterms:created xsi:type="dcterms:W3CDTF">2018-10-29T21:04:00Z</dcterms:created>
  <dcterms:modified xsi:type="dcterms:W3CDTF">2018-10-29T21:11:00Z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0x0101008459AB02ACC99C4E8121C112FA13B9A2004D55B22C876D9446942F493A07F39F38</vt:lpwstr>
  </property>
</Properties>
</file>