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66AE" w:rsidRPr="00A318EB" w:rsidRDefault="001D66AE" w:rsidP="001D66AE">
      <w:pPr>
        <w:pStyle w:val="NormalWeb"/>
        <w:spacing w:before="0" w:beforeAutospacing="0" w:after="0" w:afterAutospacing="0" w:line="292" w:lineRule="atLeast"/>
        <w:rPr>
          <w:rFonts w:asciiTheme="minorHAnsi" w:hAnsiTheme="minorHAnsi"/>
          <w:sz w:val="22"/>
          <w:szCs w:val="22"/>
          <w:lang w:val="en-GB"/>
        </w:rPr>
      </w:pPr>
    </w:p>
    <w:p w:rsidR="001D66AE" w:rsidRPr="00A318EB" w:rsidRDefault="001D66AE" w:rsidP="001D66AE">
      <w:pPr>
        <w:jc w:val="center"/>
        <w:rPr>
          <w:rFonts w:asciiTheme="minorHAnsi" w:hAnsiTheme="minorHAnsi"/>
          <w:b/>
          <w:sz w:val="32"/>
          <w:szCs w:val="32"/>
        </w:rPr>
      </w:pPr>
      <w:r w:rsidRPr="00A318EB">
        <w:rPr>
          <w:rFonts w:asciiTheme="minorHAnsi" w:hAnsiTheme="minorHAnsi"/>
          <w:b/>
          <w:sz w:val="32"/>
          <w:szCs w:val="32"/>
        </w:rPr>
        <w:t xml:space="preserve">Template for non-Party stakeholders’ inputs </w:t>
      </w:r>
    </w:p>
    <w:p w:rsidR="001D66AE" w:rsidRDefault="001D66AE" w:rsidP="001D66AE">
      <w:pPr>
        <w:jc w:val="center"/>
        <w:rPr>
          <w:rFonts w:asciiTheme="minorHAnsi" w:hAnsiTheme="minorHAnsi"/>
          <w:b/>
          <w:sz w:val="32"/>
          <w:szCs w:val="32"/>
        </w:rPr>
      </w:pPr>
      <w:r w:rsidRPr="00A318EB">
        <w:rPr>
          <w:rFonts w:asciiTheme="minorHAnsi" w:hAnsiTheme="minorHAnsi"/>
          <w:b/>
          <w:sz w:val="32"/>
          <w:szCs w:val="32"/>
        </w:rPr>
        <w:t xml:space="preserve">for the Talanoa Dialogue </w:t>
      </w:r>
    </w:p>
    <w:p w:rsidR="000F44AD" w:rsidRPr="00A318EB" w:rsidRDefault="005F6158" w:rsidP="000F44AD">
      <w:pPr>
        <w:jc w:val="center"/>
        <w:rPr>
          <w:rFonts w:asciiTheme="minorHAnsi" w:hAnsiTheme="minorHAnsi"/>
          <w:b/>
          <w:sz w:val="24"/>
          <w:szCs w:val="24"/>
        </w:rPr>
      </w:pPr>
      <w:r>
        <w:rPr>
          <w:rFonts w:asciiTheme="minorHAnsi" w:hAnsiTheme="minorHAnsi"/>
          <w:sz w:val="32"/>
          <w:szCs w:val="32"/>
        </w:rPr>
        <w:t>Question 2</w:t>
      </w:r>
      <w:r w:rsidR="00AA4B66" w:rsidRPr="00AA4B66">
        <w:rPr>
          <w:rFonts w:asciiTheme="minorHAnsi" w:hAnsiTheme="minorHAnsi"/>
          <w:sz w:val="32"/>
          <w:szCs w:val="32"/>
        </w:rPr>
        <w:t xml:space="preserve"> - </w:t>
      </w:r>
      <w:r w:rsidR="000F44AD" w:rsidRPr="000F44AD">
        <w:rPr>
          <w:rFonts w:asciiTheme="minorHAnsi" w:hAnsiTheme="minorHAnsi"/>
          <w:sz w:val="32"/>
          <w:szCs w:val="32"/>
        </w:rPr>
        <w:t>Where do we want to go?</w:t>
      </w:r>
    </w:p>
    <w:p w:rsidR="001D66AE" w:rsidRDefault="001D66AE" w:rsidP="001D66AE">
      <w:pPr>
        <w:rPr>
          <w:rFonts w:asciiTheme="minorHAnsi" w:hAnsiTheme="minorHAnsi"/>
          <w:b/>
          <w:sz w:val="32"/>
          <w:szCs w:val="32"/>
        </w:rPr>
      </w:pPr>
    </w:p>
    <w:p w:rsidR="001D66AE" w:rsidRDefault="001D66AE" w:rsidP="00B77EA8">
      <w:pPr>
        <w:tabs>
          <w:tab w:val="left" w:pos="4111"/>
        </w:tabs>
        <w:rPr>
          <w:rFonts w:asciiTheme="minorHAnsi" w:hAnsiTheme="minorHAnsi"/>
          <w:i/>
          <w:sz w:val="20"/>
        </w:rPr>
      </w:pPr>
      <w:r>
        <w:rPr>
          <w:rFonts w:asciiTheme="minorHAnsi" w:hAnsiTheme="minorHAnsi"/>
          <w:i/>
          <w:sz w:val="20"/>
        </w:rPr>
        <w:t>This template is meant to guide non-Party stakeholders</w:t>
      </w:r>
      <w:r w:rsidR="0066071D">
        <w:rPr>
          <w:rFonts w:asciiTheme="minorHAnsi" w:hAnsiTheme="minorHAnsi"/>
          <w:i/>
          <w:sz w:val="20"/>
        </w:rPr>
        <w:t xml:space="preserve"> (</w:t>
      </w:r>
      <w:r w:rsidR="0066071D" w:rsidRPr="00A318EB">
        <w:rPr>
          <w:rFonts w:asciiTheme="minorHAnsi" w:hAnsiTheme="minorHAnsi"/>
          <w:i/>
          <w:sz w:val="20"/>
        </w:rPr>
        <w:t>organization(s), coalition(s), initiative(s) and/or sector</w:t>
      </w:r>
      <w:r w:rsidR="0066071D">
        <w:rPr>
          <w:rFonts w:asciiTheme="minorHAnsi" w:hAnsiTheme="minorHAnsi"/>
          <w:i/>
          <w:sz w:val="20"/>
        </w:rPr>
        <w:t>(s) etc.)</w:t>
      </w:r>
      <w:r>
        <w:rPr>
          <w:rFonts w:asciiTheme="minorHAnsi" w:hAnsiTheme="minorHAnsi"/>
          <w:i/>
          <w:sz w:val="20"/>
        </w:rPr>
        <w:t xml:space="preserve"> in providing inputs that are relevant and impactful to the Talanoa Dialogue process. Using such the template is not mandatory, however, the High-level Champions encourage non-Party stakeholders to use such a structure to facilitate capturing and highlighting the key messages across the three questions.</w:t>
      </w:r>
    </w:p>
    <w:p w:rsidR="001D66AE" w:rsidRPr="00A318EB" w:rsidRDefault="001D66AE" w:rsidP="001D66AE">
      <w:pPr>
        <w:rPr>
          <w:rFonts w:asciiTheme="minorHAnsi" w:hAnsiTheme="minorHAnsi"/>
          <w:b/>
          <w:sz w:val="24"/>
          <w:szCs w:val="24"/>
        </w:rPr>
      </w:pPr>
    </w:p>
    <w:p w:rsidR="001D66AE" w:rsidRPr="00A318EB" w:rsidRDefault="001D66AE" w:rsidP="001D66AE">
      <w:pPr>
        <w:rPr>
          <w:rFonts w:asciiTheme="minorHAnsi" w:hAnsiTheme="minorHAnsi"/>
          <w:b/>
          <w:sz w:val="24"/>
          <w:szCs w:val="24"/>
        </w:rPr>
      </w:pPr>
      <w:r w:rsidRPr="00A318EB">
        <w:rPr>
          <w:rFonts w:asciiTheme="minorHAnsi" w:hAnsiTheme="minorHAnsi"/>
          <w:b/>
          <w:sz w:val="24"/>
          <w:szCs w:val="24"/>
        </w:rPr>
        <w:t>Where do we want to go?</w:t>
      </w:r>
    </w:p>
    <w:p w:rsidR="001D66AE" w:rsidRPr="00A318EB" w:rsidRDefault="001D66AE" w:rsidP="001D66AE">
      <w:pPr>
        <w:rPr>
          <w:rFonts w:asciiTheme="minorHAnsi" w:hAnsiTheme="minorHAnsi"/>
          <w:i/>
          <w:sz w:val="20"/>
        </w:rPr>
      </w:pPr>
      <w:r w:rsidRPr="00A318EB">
        <w:rPr>
          <w:rFonts w:asciiTheme="minorHAnsi" w:hAnsiTheme="minorHAnsi"/>
          <w:i/>
          <w:sz w:val="20"/>
        </w:rPr>
        <w:t>Vision of the future for your organization</w:t>
      </w:r>
      <w:r w:rsidR="00B77EA8">
        <w:rPr>
          <w:rFonts w:asciiTheme="minorHAnsi" w:hAnsiTheme="minorHAnsi"/>
          <w:i/>
          <w:sz w:val="20"/>
        </w:rPr>
        <w:t xml:space="preserve"> </w:t>
      </w:r>
      <w:r w:rsidRPr="00A318EB">
        <w:rPr>
          <w:rFonts w:asciiTheme="minorHAnsi" w:hAnsiTheme="minorHAnsi"/>
          <w:i/>
          <w:sz w:val="20"/>
        </w:rPr>
        <w:t xml:space="preserve">and/or sector </w:t>
      </w:r>
      <w:r w:rsidR="005E6302">
        <w:rPr>
          <w:rFonts w:asciiTheme="minorHAnsi" w:hAnsiTheme="minorHAnsi"/>
          <w:i/>
          <w:sz w:val="20"/>
        </w:rPr>
        <w:t>in terms of</w:t>
      </w:r>
      <w:r w:rsidR="0066071D">
        <w:rPr>
          <w:rFonts w:asciiTheme="minorHAnsi" w:hAnsiTheme="minorHAnsi"/>
          <w:i/>
          <w:sz w:val="20"/>
        </w:rPr>
        <w:t xml:space="preserve"> its possible role in </w:t>
      </w:r>
      <w:r w:rsidR="005E6302">
        <w:rPr>
          <w:rFonts w:asciiTheme="minorHAnsi" w:hAnsiTheme="minorHAnsi"/>
          <w:i/>
          <w:sz w:val="20"/>
        </w:rPr>
        <w:t xml:space="preserve">achieving </w:t>
      </w:r>
      <w:r w:rsidR="005E6302" w:rsidRPr="00A318EB">
        <w:rPr>
          <w:rFonts w:asciiTheme="minorHAnsi" w:hAnsiTheme="minorHAnsi"/>
          <w:i/>
          <w:sz w:val="20"/>
        </w:rPr>
        <w:t>the 1.5/2 degrees’ goal</w:t>
      </w:r>
      <w:r w:rsidR="005E6302">
        <w:rPr>
          <w:rFonts w:asciiTheme="minorHAnsi" w:hAnsiTheme="minorHAnsi"/>
          <w:i/>
          <w:sz w:val="20"/>
        </w:rPr>
        <w:t xml:space="preserve"> and a net-zero emission world</w:t>
      </w:r>
      <w:r w:rsidR="004D526B">
        <w:rPr>
          <w:rFonts w:asciiTheme="minorHAnsi" w:hAnsiTheme="minorHAnsi"/>
          <w:i/>
          <w:sz w:val="20"/>
        </w:rPr>
        <w:t xml:space="preserve"> by this mid-century</w:t>
      </w:r>
      <w:r w:rsidR="005E6302" w:rsidRPr="00A318EB">
        <w:rPr>
          <w:rFonts w:asciiTheme="minorHAnsi" w:hAnsiTheme="minorHAnsi"/>
          <w:i/>
          <w:sz w:val="20"/>
        </w:rPr>
        <w:t xml:space="preserve"> </w:t>
      </w:r>
      <w:r w:rsidRPr="00A318EB">
        <w:rPr>
          <w:rFonts w:asciiTheme="minorHAnsi" w:hAnsiTheme="minorHAnsi"/>
          <w:i/>
          <w:sz w:val="20"/>
        </w:rPr>
        <w:t>[Maximum 300 words]</w:t>
      </w:r>
    </w:p>
    <w:tbl>
      <w:tblPr>
        <w:tblStyle w:val="TableGrid"/>
        <w:tblW w:w="0" w:type="auto"/>
        <w:tblLook w:val="04A0" w:firstRow="1" w:lastRow="0" w:firstColumn="1" w:lastColumn="0" w:noHBand="0" w:noVBand="1"/>
      </w:tblPr>
      <w:tblGrid>
        <w:gridCol w:w="9016"/>
      </w:tblGrid>
      <w:tr w:rsidR="001D66AE" w:rsidRPr="00A318EB" w:rsidTr="003A1CEA">
        <w:tc>
          <w:tcPr>
            <w:tcW w:w="9016" w:type="dxa"/>
          </w:tcPr>
          <w:p w:rsidR="003A1CEA" w:rsidRPr="003A1CEA" w:rsidRDefault="003A1CEA" w:rsidP="003A1CEA">
            <w:pPr>
              <w:rPr>
                <w:b/>
              </w:rPr>
            </w:pPr>
            <w:r w:rsidRPr="003A1CEA">
              <w:rPr>
                <w:b/>
              </w:rPr>
              <w:t>We must transform the food sector!</w:t>
            </w:r>
          </w:p>
          <w:p w:rsidR="003A1CEA" w:rsidRDefault="003A1CEA" w:rsidP="003A1CEA"/>
          <w:p w:rsidR="003A1CEA" w:rsidRDefault="003A1CEA" w:rsidP="003A1CEA">
            <w:r>
              <w:t>According to the IPCC 1.5C report, the goal in the Paris Agreement to prevent the worst effects of climate change</w:t>
            </w:r>
            <w:r w:rsidRPr="003A1CEA">
              <w:t xml:space="preserve"> is still reachable, but only if we take swifter, bolder, collective action in the next decade.</w:t>
            </w:r>
            <w:r>
              <w:t xml:space="preserve"> Last month, thousands of business, government and subnational leaders gathered at the </w:t>
            </w:r>
            <w:r w:rsidRPr="001173A4">
              <w:rPr>
                <w:b/>
              </w:rPr>
              <w:t>Global Climate Action Summit</w:t>
            </w:r>
            <w:r w:rsidRPr="00A92464">
              <w:t xml:space="preserve"> (GCAS)</w:t>
            </w:r>
            <w:r>
              <w:t xml:space="preserve"> and </w:t>
            </w:r>
            <w:r w:rsidRPr="001173A4">
              <w:rPr>
                <w:b/>
              </w:rPr>
              <w:t>Climate Week NYC</w:t>
            </w:r>
            <w:r>
              <w:t xml:space="preserve"> to step up climate action. Leaders made more than 500 bold, ambitious </w:t>
            </w:r>
            <w:hyperlink r:id="rId7" w:history="1">
              <w:r w:rsidRPr="00B660C6">
                <w:rPr>
                  <w:rStyle w:val="Hyperlink"/>
                </w:rPr>
                <w:t>commitments</w:t>
              </w:r>
            </w:hyperlink>
            <w:r>
              <w:t xml:space="preserve"> to curb emissions. It was clear that companies, like </w:t>
            </w:r>
            <w:hyperlink r:id="rId8" w:history="1">
              <w:r w:rsidRPr="008730DC">
                <w:rPr>
                  <w:rStyle w:val="Hyperlink"/>
                </w:rPr>
                <w:t>Mars Incorporated</w:t>
              </w:r>
            </w:hyperlink>
            <w:r>
              <w:t xml:space="preserve">, see both the business and moral imperative to taking swift climate action.  </w:t>
            </w:r>
          </w:p>
          <w:p w:rsidR="003A1CEA" w:rsidRDefault="003A1CEA" w:rsidP="003A1CEA"/>
          <w:p w:rsidR="003A1CEA" w:rsidRDefault="003A1CEA" w:rsidP="003A1CEA">
            <w:r>
              <w:t xml:space="preserve">One sector that will feel the impacts of climate change most is the food industry. Food companies like ours rely on hundreds of ingredients grown around the world. Climate change threatens the quantity and quality of ingredients; for example, the </w:t>
            </w:r>
            <w:hyperlink r:id="rId9" w:history="1">
              <w:r w:rsidRPr="006E3D27">
                <w:rPr>
                  <w:rStyle w:val="Hyperlink"/>
                </w:rPr>
                <w:t>IPCC report</w:t>
              </w:r>
            </w:hyperlink>
            <w:r>
              <w:t xml:space="preserve"> projects yield reductions for cereal crops and adverse impacts on livestock. To ensure a stable and resilient supply of these ingredients—and </w:t>
            </w:r>
            <w:r w:rsidRPr="00237A5C">
              <w:t>wellbeing of the communities</w:t>
            </w:r>
            <w:r>
              <w:t xml:space="preserve"> and </w:t>
            </w:r>
            <w:r w:rsidRPr="00237A5C">
              <w:t>ecosystems that surround them</w:t>
            </w:r>
            <w:r>
              <w:t>—</w:t>
            </w:r>
            <w:hyperlink r:id="rId10" w:history="1">
              <w:r w:rsidRPr="00237A5C">
                <w:rPr>
                  <w:rStyle w:val="Hyperlink"/>
                </w:rPr>
                <w:t>we need to move beyond commodities</w:t>
              </w:r>
            </w:hyperlink>
            <w:r>
              <w:t xml:space="preserve"> markets driven by </w:t>
            </w:r>
            <w:r w:rsidRPr="00160C79">
              <w:t xml:space="preserve">the lowest cost </w:t>
            </w:r>
            <w:r>
              <w:t xml:space="preserve">and shift to long-term models driven by sustainability. </w:t>
            </w:r>
          </w:p>
          <w:p w:rsidR="003A1CEA" w:rsidRDefault="003A1CEA" w:rsidP="003A1CEA"/>
          <w:p w:rsidR="003A1CEA" w:rsidRDefault="003A1CEA" w:rsidP="003A1CEA">
            <w:r>
              <w:t xml:space="preserve">Mars is calling on food companies to </w:t>
            </w:r>
            <w:hyperlink r:id="rId11" w:history="1">
              <w:r w:rsidRPr="001173A4">
                <w:rPr>
                  <w:rStyle w:val="Hyperlink"/>
                </w:rPr>
                <w:t>transform the way we do business</w:t>
              </w:r>
            </w:hyperlink>
            <w:r>
              <w:t>. Here are four transformations we need to create a climate-smart food sector:</w:t>
            </w:r>
          </w:p>
          <w:p w:rsidR="003A1CEA" w:rsidRPr="003A1CEA" w:rsidRDefault="003A1CEA" w:rsidP="003A1CEA">
            <w:pPr>
              <w:pStyle w:val="ListParagraph"/>
              <w:numPr>
                <w:ilvl w:val="0"/>
                <w:numId w:val="2"/>
              </w:numPr>
              <w:rPr>
                <w:rFonts w:ascii="Times New Roman" w:hAnsi="Times New Roman" w:cs="Times New Roman"/>
              </w:rPr>
            </w:pPr>
            <w:r w:rsidRPr="003A1CEA">
              <w:rPr>
                <w:rFonts w:ascii="Times New Roman" w:hAnsi="Times New Roman" w:cs="Times New Roman"/>
              </w:rPr>
              <w:t>Go all in for green energy.</w:t>
            </w:r>
          </w:p>
          <w:p w:rsidR="003A1CEA" w:rsidRPr="003A1CEA" w:rsidRDefault="003A1CEA" w:rsidP="003A1CEA">
            <w:pPr>
              <w:pStyle w:val="ListParagraph"/>
              <w:numPr>
                <w:ilvl w:val="0"/>
                <w:numId w:val="2"/>
              </w:numPr>
              <w:rPr>
                <w:rFonts w:ascii="Times New Roman" w:hAnsi="Times New Roman" w:cs="Times New Roman"/>
              </w:rPr>
            </w:pPr>
            <w:r w:rsidRPr="003A1CEA">
              <w:rPr>
                <w:rFonts w:ascii="Times New Roman" w:hAnsi="Times New Roman" w:cs="Times New Roman"/>
              </w:rPr>
              <w:t>Set bold and comprehensive science-based targets.</w:t>
            </w:r>
          </w:p>
          <w:p w:rsidR="003A1CEA" w:rsidRPr="003A1CEA" w:rsidRDefault="003A1CEA" w:rsidP="003A1CEA">
            <w:pPr>
              <w:pStyle w:val="ListParagraph"/>
              <w:numPr>
                <w:ilvl w:val="0"/>
                <w:numId w:val="2"/>
              </w:numPr>
              <w:rPr>
                <w:rFonts w:ascii="Times New Roman" w:hAnsi="Times New Roman" w:cs="Times New Roman"/>
              </w:rPr>
            </w:pPr>
            <w:r w:rsidRPr="003A1CEA">
              <w:rPr>
                <w:rFonts w:ascii="Times New Roman" w:hAnsi="Times New Roman" w:cs="Times New Roman"/>
              </w:rPr>
              <w:t>Invest in natural climate solutions.</w:t>
            </w:r>
          </w:p>
          <w:p w:rsidR="001D66AE" w:rsidRPr="00A318EB" w:rsidRDefault="003A1CEA" w:rsidP="003A1CEA">
            <w:pPr>
              <w:pStyle w:val="ListParagraph"/>
              <w:numPr>
                <w:ilvl w:val="0"/>
                <w:numId w:val="2"/>
              </w:numPr>
              <w:rPr>
                <w:i/>
                <w:sz w:val="20"/>
              </w:rPr>
            </w:pPr>
            <w:r w:rsidRPr="003A1CEA">
              <w:rPr>
                <w:rFonts w:ascii="Times New Roman" w:hAnsi="Times New Roman" w:cs="Times New Roman"/>
              </w:rPr>
              <w:t>Join the resilient supply chain revolution.</w:t>
            </w:r>
          </w:p>
        </w:tc>
      </w:tr>
    </w:tbl>
    <w:p w:rsidR="001D66AE" w:rsidRPr="00A318EB" w:rsidRDefault="001D66AE" w:rsidP="001D66AE">
      <w:pPr>
        <w:rPr>
          <w:rFonts w:asciiTheme="minorHAnsi" w:hAnsiTheme="minorHAnsi"/>
          <w:i/>
          <w:sz w:val="20"/>
        </w:rPr>
      </w:pPr>
    </w:p>
    <w:p w:rsidR="001D66AE" w:rsidRPr="00A318EB" w:rsidRDefault="0066071D" w:rsidP="001D66AE">
      <w:pPr>
        <w:rPr>
          <w:rFonts w:asciiTheme="minorHAnsi" w:hAnsiTheme="minorHAnsi"/>
          <w:i/>
          <w:sz w:val="20"/>
        </w:rPr>
      </w:pPr>
      <w:r>
        <w:rPr>
          <w:rFonts w:asciiTheme="minorHAnsi" w:hAnsiTheme="minorHAnsi"/>
          <w:i/>
          <w:sz w:val="20"/>
        </w:rPr>
        <w:t>Possible</w:t>
      </w:r>
      <w:r w:rsidR="005E6302">
        <w:rPr>
          <w:rFonts w:asciiTheme="minorHAnsi" w:hAnsiTheme="minorHAnsi"/>
          <w:i/>
          <w:sz w:val="20"/>
        </w:rPr>
        <w:t xml:space="preserve"> and potential</w:t>
      </w:r>
      <w:r>
        <w:rPr>
          <w:rFonts w:asciiTheme="minorHAnsi" w:hAnsiTheme="minorHAnsi"/>
          <w:i/>
          <w:sz w:val="20"/>
        </w:rPr>
        <w:t xml:space="preserve"> n</w:t>
      </w:r>
      <w:r w:rsidRPr="00A318EB">
        <w:rPr>
          <w:rFonts w:asciiTheme="minorHAnsi" w:hAnsiTheme="minorHAnsi"/>
          <w:i/>
          <w:sz w:val="20"/>
        </w:rPr>
        <w:t xml:space="preserve">ew </w:t>
      </w:r>
      <w:r w:rsidR="001D66AE" w:rsidRPr="00A318EB">
        <w:rPr>
          <w:rFonts w:asciiTheme="minorHAnsi" w:hAnsiTheme="minorHAnsi"/>
          <w:i/>
          <w:sz w:val="20"/>
        </w:rPr>
        <w:t>commitments</w:t>
      </w:r>
      <w:r w:rsidR="001D66AE">
        <w:rPr>
          <w:rFonts w:asciiTheme="minorHAnsi" w:hAnsiTheme="minorHAnsi"/>
          <w:i/>
          <w:sz w:val="20"/>
        </w:rPr>
        <w:t xml:space="preserve"> </w:t>
      </w:r>
      <w:r w:rsidR="001D66AE" w:rsidRPr="00A318EB">
        <w:rPr>
          <w:rFonts w:asciiTheme="minorHAnsi" w:hAnsiTheme="minorHAnsi"/>
          <w:i/>
          <w:sz w:val="20"/>
        </w:rPr>
        <w:t xml:space="preserve">and pledges of </w:t>
      </w:r>
      <w:r w:rsidR="00283365">
        <w:rPr>
          <w:rFonts w:asciiTheme="minorHAnsi" w:hAnsiTheme="minorHAnsi"/>
          <w:i/>
          <w:sz w:val="20"/>
        </w:rPr>
        <w:t xml:space="preserve">to achieve </w:t>
      </w:r>
      <w:r w:rsidR="001D66AE" w:rsidRPr="00A318EB">
        <w:rPr>
          <w:rFonts w:asciiTheme="minorHAnsi" w:hAnsiTheme="minorHAnsi"/>
          <w:i/>
          <w:sz w:val="20"/>
        </w:rPr>
        <w:t>the 1.5/2 degrees’ goal</w:t>
      </w:r>
      <w:r w:rsidR="00283365">
        <w:rPr>
          <w:rFonts w:asciiTheme="minorHAnsi" w:hAnsiTheme="minorHAnsi"/>
          <w:i/>
          <w:sz w:val="20"/>
        </w:rPr>
        <w:t xml:space="preserve"> and a net-zero emission world</w:t>
      </w:r>
      <w:r w:rsidR="004D526B">
        <w:rPr>
          <w:rFonts w:asciiTheme="minorHAnsi" w:hAnsiTheme="minorHAnsi"/>
          <w:i/>
          <w:sz w:val="20"/>
        </w:rPr>
        <w:t xml:space="preserve"> by this mid-century</w:t>
      </w:r>
      <w:r w:rsidR="001D66AE" w:rsidRPr="00A318EB">
        <w:rPr>
          <w:rFonts w:asciiTheme="minorHAnsi" w:hAnsiTheme="minorHAnsi"/>
          <w:i/>
          <w:sz w:val="20"/>
        </w:rPr>
        <w:t xml:space="preserve"> [Maximum 300 words]</w:t>
      </w:r>
    </w:p>
    <w:tbl>
      <w:tblPr>
        <w:tblStyle w:val="TableGrid"/>
        <w:tblW w:w="0" w:type="auto"/>
        <w:tblLook w:val="04A0" w:firstRow="1" w:lastRow="0" w:firstColumn="1" w:lastColumn="0" w:noHBand="0" w:noVBand="1"/>
      </w:tblPr>
      <w:tblGrid>
        <w:gridCol w:w="9016"/>
      </w:tblGrid>
      <w:tr w:rsidR="001D66AE" w:rsidRPr="00A318EB" w:rsidTr="003A1CEA">
        <w:tc>
          <w:tcPr>
            <w:tcW w:w="9016" w:type="dxa"/>
          </w:tcPr>
          <w:p w:rsidR="001D66AE" w:rsidRPr="00E01A70" w:rsidRDefault="003A1CEA" w:rsidP="003A1CEA">
            <w:pPr>
              <w:pStyle w:val="ListParagraph"/>
              <w:numPr>
                <w:ilvl w:val="0"/>
                <w:numId w:val="4"/>
              </w:numPr>
              <w:rPr>
                <w:rFonts w:ascii="Times New Roman" w:hAnsi="Times New Roman" w:cs="Times New Roman"/>
              </w:rPr>
            </w:pPr>
            <w:r w:rsidRPr="00E01A70">
              <w:rPr>
                <w:rFonts w:ascii="Times New Roman" w:hAnsi="Times New Roman" w:cs="Times New Roman"/>
                <w:b/>
              </w:rPr>
              <w:t>Commit to renewable thermal energy</w:t>
            </w:r>
            <w:r w:rsidRPr="00E01A70">
              <w:rPr>
                <w:rFonts w:ascii="Times New Roman" w:hAnsi="Times New Roman" w:cs="Times New Roman"/>
              </w:rPr>
              <w:t xml:space="preserve">: 400 companies and local governments have set 100% renewable electricity targets. The reason is simple – green energy saves companies money. </w:t>
            </w:r>
            <w:r w:rsidR="006345F5" w:rsidRPr="00E01A70">
              <w:rPr>
                <w:rFonts w:ascii="Times New Roman" w:hAnsi="Times New Roman" w:cs="Times New Roman"/>
              </w:rPr>
              <w:t>However</w:t>
            </w:r>
            <w:r w:rsidRPr="00E01A70">
              <w:rPr>
                <w:rFonts w:ascii="Times New Roman" w:hAnsi="Times New Roman" w:cs="Times New Roman"/>
              </w:rPr>
              <w:t xml:space="preserve">, the IEA concludes there’s an overlooked green energy opportunity: </w:t>
            </w:r>
            <w:r w:rsidRPr="00E01A70">
              <w:rPr>
                <w:rFonts w:ascii="Times New Roman" w:hAnsi="Times New Roman" w:cs="Times New Roman"/>
              </w:rPr>
              <w:lastRenderedPageBreak/>
              <w:t xml:space="preserve">bioenergy for heat. Heat </w:t>
            </w:r>
            <w:r w:rsidR="009264FE">
              <w:rPr>
                <w:rFonts w:ascii="Times New Roman" w:hAnsi="Times New Roman" w:cs="Times New Roman"/>
              </w:rPr>
              <w:t>accounts</w:t>
            </w:r>
            <w:r w:rsidRPr="00E01A70">
              <w:rPr>
                <w:rFonts w:ascii="Times New Roman" w:hAnsi="Times New Roman" w:cs="Times New Roman"/>
              </w:rPr>
              <w:t xml:space="preserve"> for 50% of total </w:t>
            </w:r>
            <w:r w:rsidR="009264FE">
              <w:rPr>
                <w:rFonts w:ascii="Times New Roman" w:hAnsi="Times New Roman" w:cs="Times New Roman"/>
              </w:rPr>
              <w:t xml:space="preserve">energy </w:t>
            </w:r>
            <w:r w:rsidRPr="00E01A70">
              <w:rPr>
                <w:rFonts w:ascii="Times New Roman" w:hAnsi="Times New Roman" w:cs="Times New Roman"/>
              </w:rPr>
              <w:t>consumption</w:t>
            </w:r>
            <w:r w:rsidR="00E01A70" w:rsidRPr="00E01A70">
              <w:rPr>
                <w:rFonts w:ascii="Times New Roman" w:hAnsi="Times New Roman" w:cs="Times New Roman"/>
              </w:rPr>
              <w:t>,</w:t>
            </w:r>
            <w:r w:rsidR="009264FE">
              <w:rPr>
                <w:rFonts w:ascii="Times New Roman" w:hAnsi="Times New Roman" w:cs="Times New Roman"/>
              </w:rPr>
              <w:t xml:space="preserve"> e.g.,</w:t>
            </w:r>
            <w:r w:rsidR="00E01A70" w:rsidRPr="00E01A70">
              <w:rPr>
                <w:rFonts w:ascii="Times New Roman" w:hAnsi="Times New Roman" w:cs="Times New Roman"/>
              </w:rPr>
              <w:t xml:space="preserve"> for industrial processes like heating and drying</w:t>
            </w:r>
            <w:r w:rsidRPr="00E01A70">
              <w:rPr>
                <w:rFonts w:ascii="Times New Roman" w:hAnsi="Times New Roman" w:cs="Times New Roman"/>
              </w:rPr>
              <w:t>. We need more viable, cost-effective bioenergy</w:t>
            </w:r>
            <w:r w:rsidR="009264FE">
              <w:rPr>
                <w:rFonts w:ascii="Times New Roman" w:hAnsi="Times New Roman" w:cs="Times New Roman"/>
              </w:rPr>
              <w:t xml:space="preserve">. </w:t>
            </w:r>
            <w:r w:rsidRPr="00E01A70">
              <w:rPr>
                <w:rFonts w:ascii="Times New Roman" w:hAnsi="Times New Roman" w:cs="Times New Roman"/>
              </w:rPr>
              <w:t xml:space="preserve"> </w:t>
            </w:r>
            <w:r w:rsidR="009264FE">
              <w:rPr>
                <w:rFonts w:ascii="Times New Roman" w:hAnsi="Times New Roman" w:cs="Times New Roman"/>
              </w:rPr>
              <w:t>C</w:t>
            </w:r>
            <w:r w:rsidR="009264FE" w:rsidRPr="00E01A70">
              <w:rPr>
                <w:rFonts w:ascii="Times New Roman" w:hAnsi="Times New Roman" w:cs="Times New Roman"/>
              </w:rPr>
              <w:t xml:space="preserve">ompanies should join </w:t>
            </w:r>
            <w:r w:rsidRPr="00E01A70">
              <w:rPr>
                <w:rFonts w:ascii="Times New Roman" w:hAnsi="Times New Roman" w:cs="Times New Roman"/>
              </w:rPr>
              <w:t>the Renewable Thermal Collaborative</w:t>
            </w:r>
            <w:r w:rsidR="009264FE">
              <w:rPr>
                <w:rFonts w:ascii="Times New Roman" w:hAnsi="Times New Roman" w:cs="Times New Roman"/>
              </w:rPr>
              <w:t xml:space="preserve"> (launched by Mars and others)</w:t>
            </w:r>
            <w:r w:rsidRPr="00E01A70">
              <w:rPr>
                <w:rFonts w:ascii="Times New Roman" w:hAnsi="Times New Roman" w:cs="Times New Roman"/>
              </w:rPr>
              <w:t xml:space="preserve"> to scale up renewable heating solutions. </w:t>
            </w:r>
          </w:p>
          <w:p w:rsidR="003A1CEA" w:rsidRPr="00E01A70" w:rsidRDefault="003A1CEA" w:rsidP="003A1CEA">
            <w:pPr>
              <w:pStyle w:val="ListParagraph"/>
              <w:rPr>
                <w:rFonts w:ascii="Times New Roman" w:hAnsi="Times New Roman" w:cs="Times New Roman"/>
              </w:rPr>
            </w:pPr>
          </w:p>
          <w:p w:rsidR="003A1CEA" w:rsidRPr="00E01A70" w:rsidRDefault="003A1CEA" w:rsidP="003A1CEA">
            <w:pPr>
              <w:pStyle w:val="ListParagraph"/>
              <w:numPr>
                <w:ilvl w:val="0"/>
                <w:numId w:val="4"/>
              </w:numPr>
              <w:rPr>
                <w:rFonts w:ascii="Times New Roman" w:hAnsi="Times New Roman" w:cs="Times New Roman"/>
              </w:rPr>
            </w:pPr>
            <w:r w:rsidRPr="00E01A70">
              <w:rPr>
                <w:rFonts w:ascii="Times New Roman" w:hAnsi="Times New Roman" w:cs="Times New Roman"/>
                <w:b/>
              </w:rPr>
              <w:t>Incorporate Land Use Change (LUC) into Science Based Targets (SBTs):</w:t>
            </w:r>
            <w:r w:rsidRPr="00E01A70">
              <w:rPr>
                <w:rFonts w:ascii="Times New Roman" w:hAnsi="Times New Roman" w:cs="Times New Roman"/>
              </w:rPr>
              <w:t xml:space="preserve"> 492 companies from 38 countries have committed to </w:t>
            </w:r>
            <w:r w:rsidR="006345F5" w:rsidRPr="00E01A70">
              <w:rPr>
                <w:rFonts w:ascii="Times New Roman" w:hAnsi="Times New Roman" w:cs="Times New Roman"/>
              </w:rPr>
              <w:t>a</w:t>
            </w:r>
            <w:r w:rsidRPr="00E01A70">
              <w:rPr>
                <w:rFonts w:ascii="Times New Roman" w:hAnsi="Times New Roman" w:cs="Times New Roman"/>
              </w:rPr>
              <w:t xml:space="preserve"> SBT.</w:t>
            </w:r>
            <w:r w:rsidR="006345F5" w:rsidRPr="00E01A70">
              <w:rPr>
                <w:rFonts w:ascii="Times New Roman" w:hAnsi="Times New Roman" w:cs="Times New Roman"/>
              </w:rPr>
              <w:t xml:space="preserve"> For food companies, such as Mars, LUC </w:t>
            </w:r>
            <w:r w:rsidR="009264FE">
              <w:rPr>
                <w:rFonts w:ascii="Times New Roman" w:hAnsi="Times New Roman" w:cs="Times New Roman"/>
              </w:rPr>
              <w:t>from</w:t>
            </w:r>
            <w:r w:rsidR="006345F5" w:rsidRPr="00E01A70">
              <w:rPr>
                <w:rFonts w:ascii="Times New Roman" w:hAnsi="Times New Roman" w:cs="Times New Roman"/>
              </w:rPr>
              <w:t xml:space="preserve"> agricultural production of ingredients can account for 1/3 of their </w:t>
            </w:r>
            <w:r w:rsidR="009264FE">
              <w:rPr>
                <w:rFonts w:ascii="Times New Roman" w:hAnsi="Times New Roman" w:cs="Times New Roman"/>
              </w:rPr>
              <w:t>value-</w:t>
            </w:r>
            <w:r w:rsidR="006345F5" w:rsidRPr="00E01A70">
              <w:rPr>
                <w:rFonts w:ascii="Times New Roman" w:hAnsi="Times New Roman" w:cs="Times New Roman"/>
              </w:rPr>
              <w:t>chain carbon footprint. If a company’s SBT is not factoring this in, they are missing a significant portion of their carbon responsibility. All food companies should use Quantis’s</w:t>
            </w:r>
            <w:r w:rsidR="006345F5" w:rsidRPr="00E01A70">
              <w:rPr>
                <w:rStyle w:val="Hyperlink"/>
                <w:rFonts w:ascii="Times New Roman" w:hAnsi="Times New Roman" w:cs="Times New Roman"/>
              </w:rPr>
              <w:t xml:space="preserve"> </w:t>
            </w:r>
            <w:hyperlink r:id="rId12" w:history="1">
              <w:r w:rsidR="006345F5" w:rsidRPr="00E01A70">
                <w:rPr>
                  <w:rStyle w:val="Hyperlink"/>
                  <w:rFonts w:ascii="Times New Roman" w:hAnsi="Times New Roman" w:cs="Times New Roman"/>
                </w:rPr>
                <w:t>methodology</w:t>
              </w:r>
            </w:hyperlink>
            <w:r w:rsidR="009264FE">
              <w:rPr>
                <w:rFonts w:ascii="Times New Roman" w:hAnsi="Times New Roman" w:cs="Times New Roman"/>
              </w:rPr>
              <w:t xml:space="preserve"> for incorporating LUC into </w:t>
            </w:r>
            <w:r w:rsidR="006345F5" w:rsidRPr="00E01A70">
              <w:rPr>
                <w:rFonts w:ascii="Times New Roman" w:hAnsi="Times New Roman" w:cs="Times New Roman"/>
              </w:rPr>
              <w:t xml:space="preserve">carbon footprints and targets. </w:t>
            </w:r>
          </w:p>
          <w:p w:rsidR="006345F5" w:rsidRPr="00E01A70" w:rsidRDefault="006345F5" w:rsidP="006345F5">
            <w:pPr>
              <w:pStyle w:val="ListParagraph"/>
              <w:rPr>
                <w:rFonts w:ascii="Times New Roman" w:hAnsi="Times New Roman" w:cs="Times New Roman"/>
              </w:rPr>
            </w:pPr>
          </w:p>
          <w:p w:rsidR="001D66AE" w:rsidRPr="00E01A70" w:rsidRDefault="006345F5" w:rsidP="00E01A70">
            <w:pPr>
              <w:pStyle w:val="ListParagraph"/>
              <w:numPr>
                <w:ilvl w:val="0"/>
                <w:numId w:val="4"/>
              </w:numPr>
              <w:rPr>
                <w:i/>
                <w:sz w:val="20"/>
              </w:rPr>
            </w:pPr>
            <w:r w:rsidRPr="00E01A70">
              <w:rPr>
                <w:rFonts w:ascii="Times New Roman" w:hAnsi="Times New Roman" w:cs="Times New Roman"/>
                <w:b/>
              </w:rPr>
              <w:t>Invest in Natural Climate Solutions:</w:t>
            </w:r>
            <w:r w:rsidRPr="00E01A70">
              <w:rPr>
                <w:rFonts w:ascii="Times New Roman" w:hAnsi="Times New Roman" w:cs="Times New Roman"/>
              </w:rPr>
              <w:t xml:space="preserve"> </w:t>
            </w:r>
            <w:hyperlink r:id="rId13" w:history="1">
              <w:r w:rsidRPr="00E01A70">
                <w:rPr>
                  <w:rStyle w:val="Hyperlink"/>
                  <w:rFonts w:ascii="Times New Roman" w:hAnsi="Times New Roman" w:cs="Times New Roman"/>
                </w:rPr>
                <w:t>The Nature Conservancy</w:t>
              </w:r>
            </w:hyperlink>
            <w:r w:rsidRPr="00E01A70">
              <w:rPr>
                <w:rFonts w:ascii="Times New Roman" w:hAnsi="Times New Roman" w:cs="Times New Roman"/>
              </w:rPr>
              <w:t xml:space="preserve"> estimates natural solutions, such as conservation, reforestation, and regenerative agri</w:t>
            </w:r>
            <w:r w:rsidR="00E01A70">
              <w:rPr>
                <w:rFonts w:ascii="Times New Roman" w:hAnsi="Times New Roman" w:cs="Times New Roman"/>
              </w:rPr>
              <w:t xml:space="preserve">culture, can provide 1/3 of </w:t>
            </w:r>
            <w:r w:rsidRPr="00E01A70">
              <w:rPr>
                <w:rFonts w:ascii="Times New Roman" w:hAnsi="Times New Roman" w:cs="Times New Roman"/>
              </w:rPr>
              <w:t xml:space="preserve">emissions reductions to keep warming below 2°. </w:t>
            </w:r>
            <w:r w:rsidR="00E01A70">
              <w:rPr>
                <w:rFonts w:ascii="Times New Roman" w:hAnsi="Times New Roman" w:cs="Times New Roman"/>
              </w:rPr>
              <w:t>T</w:t>
            </w:r>
            <w:r w:rsidRPr="00E01A70">
              <w:rPr>
                <w:rFonts w:ascii="Times New Roman" w:hAnsi="Times New Roman" w:cs="Times New Roman"/>
              </w:rPr>
              <w:t xml:space="preserve">he key is to unlock the potential of trees and soils on agricultural lands to </w:t>
            </w:r>
            <w:r w:rsidR="009264FE">
              <w:rPr>
                <w:rFonts w:ascii="Times New Roman" w:hAnsi="Times New Roman" w:cs="Times New Roman"/>
              </w:rPr>
              <w:t>sequester</w:t>
            </w:r>
            <w:r w:rsidRPr="00E01A70">
              <w:rPr>
                <w:rFonts w:ascii="Times New Roman" w:hAnsi="Times New Roman" w:cs="Times New Roman"/>
              </w:rPr>
              <w:t xml:space="preserve"> carbon and improve soil health, water retention, and crop yields. This can raise </w:t>
            </w:r>
            <w:r w:rsidR="009264FE">
              <w:rPr>
                <w:rFonts w:ascii="Times New Roman" w:hAnsi="Times New Roman" w:cs="Times New Roman"/>
              </w:rPr>
              <w:t xml:space="preserve">farmers’ </w:t>
            </w:r>
            <w:r w:rsidRPr="00E01A70">
              <w:rPr>
                <w:rFonts w:ascii="Times New Roman" w:hAnsi="Times New Roman" w:cs="Times New Roman"/>
              </w:rPr>
              <w:t>incomes and require less land for crops, reducing pressures on forests. We need public-private partnerships – companies working with governments to incentivize those practices through collaborations, longer-term procurement, premium pricing, and investing in data and measurement.</w:t>
            </w:r>
          </w:p>
          <w:p w:rsidR="00E01A70" w:rsidRPr="00E01A70" w:rsidRDefault="00E01A70" w:rsidP="00E01A70">
            <w:pPr>
              <w:pStyle w:val="ListParagraph"/>
              <w:rPr>
                <w:rFonts w:ascii="Times New Roman" w:hAnsi="Times New Roman" w:cs="Times New Roman"/>
                <w:i/>
              </w:rPr>
            </w:pPr>
          </w:p>
          <w:p w:rsidR="00E01A70" w:rsidRPr="00A318EB" w:rsidRDefault="00E01A70" w:rsidP="009264FE">
            <w:pPr>
              <w:pStyle w:val="ListParagraph"/>
              <w:numPr>
                <w:ilvl w:val="0"/>
                <w:numId w:val="4"/>
              </w:numPr>
              <w:rPr>
                <w:i/>
                <w:sz w:val="20"/>
              </w:rPr>
            </w:pPr>
            <w:r w:rsidRPr="009264FE">
              <w:rPr>
                <w:rFonts w:ascii="Times New Roman" w:hAnsi="Times New Roman" w:cs="Times New Roman"/>
                <w:b/>
              </w:rPr>
              <w:t>Advance resilient supply chains:</w:t>
            </w:r>
            <w:r w:rsidRPr="00E01A70">
              <w:rPr>
                <w:rFonts w:ascii="Times New Roman" w:hAnsi="Times New Roman" w:cs="Times New Roman"/>
                <w:i/>
              </w:rPr>
              <w:t xml:space="preserve"> </w:t>
            </w:r>
            <w:r w:rsidR="009264FE">
              <w:rPr>
                <w:rFonts w:ascii="Times New Roman" w:hAnsi="Times New Roman" w:cs="Times New Roman"/>
              </w:rPr>
              <w:t>Resilience</w:t>
            </w:r>
            <w:bookmarkStart w:id="0" w:name="_GoBack"/>
            <w:bookmarkEnd w:id="0"/>
            <w:r w:rsidRPr="00E01A70">
              <w:rPr>
                <w:rFonts w:ascii="Times New Roman" w:hAnsi="Times New Roman" w:cs="Times New Roman"/>
              </w:rPr>
              <w:t xml:space="preserve"> to physical climate risks (storms, droughts, etc.) is critical for companies with supply chains in the most vulnerable parts of the world. Companies should join BSR’s </w:t>
            </w:r>
            <w:hyperlink r:id="rId14" w:history="1">
              <w:r w:rsidRPr="00E01A70">
                <w:rPr>
                  <w:rStyle w:val="Hyperlink"/>
                  <w:rFonts w:ascii="Times New Roman" w:hAnsi="Times New Roman" w:cs="Times New Roman"/>
                </w:rPr>
                <w:t>new corporate leadership platform</w:t>
              </w:r>
            </w:hyperlink>
            <w:r w:rsidRPr="00E01A70">
              <w:rPr>
                <w:rFonts w:ascii="Times New Roman" w:hAnsi="Times New Roman" w:cs="Times New Roman"/>
              </w:rPr>
              <w:t xml:space="preserve"> that will enable businesses to diagnose climate risk throughout supply chains.</w:t>
            </w:r>
          </w:p>
        </w:tc>
      </w:tr>
    </w:tbl>
    <w:p w:rsidR="001D66AE" w:rsidRPr="00A318EB" w:rsidRDefault="001D66AE" w:rsidP="001D66AE">
      <w:pPr>
        <w:rPr>
          <w:rFonts w:asciiTheme="minorHAnsi" w:hAnsiTheme="minorHAnsi"/>
          <w:i/>
          <w:sz w:val="20"/>
        </w:rPr>
      </w:pPr>
    </w:p>
    <w:p w:rsidR="001D66AE" w:rsidRPr="00A318EB" w:rsidRDefault="0066071D" w:rsidP="001D66AE">
      <w:pPr>
        <w:rPr>
          <w:rFonts w:asciiTheme="minorHAnsi" w:hAnsiTheme="minorHAnsi"/>
          <w:i/>
          <w:sz w:val="20"/>
        </w:rPr>
      </w:pPr>
      <w:r>
        <w:rPr>
          <w:rFonts w:asciiTheme="minorHAnsi" w:hAnsiTheme="minorHAnsi"/>
          <w:i/>
          <w:sz w:val="20"/>
        </w:rPr>
        <w:t>Foreseen positive i</w:t>
      </w:r>
      <w:r w:rsidRPr="00A318EB">
        <w:rPr>
          <w:rFonts w:asciiTheme="minorHAnsi" w:hAnsiTheme="minorHAnsi"/>
          <w:i/>
          <w:sz w:val="20"/>
        </w:rPr>
        <w:t xml:space="preserve">mpact </w:t>
      </w:r>
      <w:r w:rsidR="001D66AE" w:rsidRPr="00A318EB">
        <w:rPr>
          <w:rFonts w:asciiTheme="minorHAnsi" w:hAnsiTheme="minorHAnsi"/>
          <w:i/>
          <w:sz w:val="20"/>
        </w:rPr>
        <w:t>of these commitments once they are realized</w:t>
      </w:r>
      <w:r w:rsidR="004D526B">
        <w:rPr>
          <w:rFonts w:asciiTheme="minorHAnsi" w:hAnsiTheme="minorHAnsi"/>
          <w:i/>
          <w:sz w:val="20"/>
        </w:rPr>
        <w:t>, including contributions to the sustainable development agenda</w:t>
      </w:r>
      <w:r w:rsidR="001D66AE" w:rsidRPr="00A318EB">
        <w:rPr>
          <w:rFonts w:asciiTheme="minorHAnsi" w:hAnsiTheme="minorHAnsi"/>
          <w:i/>
          <w:sz w:val="20"/>
        </w:rPr>
        <w:t xml:space="preserve"> [Maximum 300 words]</w:t>
      </w:r>
    </w:p>
    <w:tbl>
      <w:tblPr>
        <w:tblStyle w:val="TableGrid"/>
        <w:tblW w:w="0" w:type="auto"/>
        <w:tblLook w:val="04A0" w:firstRow="1" w:lastRow="0" w:firstColumn="1" w:lastColumn="0" w:noHBand="0" w:noVBand="1"/>
      </w:tblPr>
      <w:tblGrid>
        <w:gridCol w:w="9016"/>
      </w:tblGrid>
      <w:tr w:rsidR="001D66AE" w:rsidRPr="00A318EB" w:rsidTr="00E01A70">
        <w:tc>
          <w:tcPr>
            <w:tcW w:w="9016" w:type="dxa"/>
          </w:tcPr>
          <w:p w:rsidR="001D66AE" w:rsidRDefault="00E01A70" w:rsidP="003A1CEA">
            <w:pPr>
              <w:rPr>
                <w:i/>
                <w:sz w:val="20"/>
              </w:rPr>
            </w:pPr>
            <w:r>
              <w:t>Taken together, these actions could completely transform the way food systems work, including how we as consumers value the food we buy and the companies we buy from. These efforts can have significant contributions to raise farmer income (SDG 1), increase food productivity (SDG 2), ramp up clean energy (SDG 7), prevent deforestation and restore land health (SDG 15), and combat climate change (SDG 13). All of these steps are possible with the technologies and approaches we have today. Food companies and their value chains – from farmers to consumers – must simply act together over the next decade to make it happen.</w:t>
            </w:r>
          </w:p>
          <w:p w:rsidR="003D371E" w:rsidRPr="00A318EB" w:rsidRDefault="003D371E" w:rsidP="003A1CEA">
            <w:pPr>
              <w:rPr>
                <w:i/>
                <w:sz w:val="20"/>
              </w:rPr>
            </w:pPr>
          </w:p>
          <w:p w:rsidR="001D66AE" w:rsidRPr="00A318EB" w:rsidRDefault="001D66AE" w:rsidP="003A1CEA">
            <w:pPr>
              <w:rPr>
                <w:i/>
                <w:sz w:val="20"/>
              </w:rPr>
            </w:pPr>
          </w:p>
        </w:tc>
      </w:tr>
    </w:tbl>
    <w:p w:rsidR="00396682" w:rsidRDefault="00396682" w:rsidP="001D66AE">
      <w:pPr>
        <w:rPr>
          <w:rFonts w:asciiTheme="minorHAnsi" w:hAnsiTheme="minorHAnsi"/>
          <w:b/>
          <w:sz w:val="24"/>
          <w:szCs w:val="24"/>
        </w:rPr>
      </w:pPr>
    </w:p>
    <w:sectPr w:rsidR="00396682" w:rsidSect="000F44AD">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1134"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1A70" w:rsidRDefault="00E01A70" w:rsidP="005339CC">
      <w:pPr>
        <w:spacing w:line="240" w:lineRule="auto"/>
      </w:pPr>
      <w:r>
        <w:separator/>
      </w:r>
    </w:p>
  </w:endnote>
  <w:endnote w:type="continuationSeparator" w:id="0">
    <w:p w:rsidR="00E01A70" w:rsidRDefault="00E01A70" w:rsidP="005339C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64FE" w:rsidRDefault="009264F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64FE" w:rsidRDefault="009264F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64FE" w:rsidRDefault="009264F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1A70" w:rsidRDefault="00E01A70" w:rsidP="005339CC">
      <w:pPr>
        <w:spacing w:line="240" w:lineRule="auto"/>
      </w:pPr>
      <w:r>
        <w:separator/>
      </w:r>
    </w:p>
  </w:footnote>
  <w:footnote w:type="continuationSeparator" w:id="0">
    <w:p w:rsidR="00E01A70" w:rsidRDefault="00E01A70" w:rsidP="005339CC">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64FE" w:rsidRDefault="009264F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1A70" w:rsidRDefault="00E01A70" w:rsidP="00AA4B66">
    <w:pPr>
      <w:pStyle w:val="Header"/>
      <w:widowControl w:val="0"/>
    </w:pPr>
    <w:r w:rsidRPr="000A100E">
      <w:rPr>
        <w:noProof/>
        <w:lang w:val="en-US"/>
      </w:rPr>
      <w:drawing>
        <wp:anchor distT="0" distB="0" distL="114300" distR="114300" simplePos="0" relativeHeight="251660288" behindDoc="0" locked="0" layoutInCell="1" allowOverlap="1" wp14:anchorId="3A41A58F" wp14:editId="037926A9">
          <wp:simplePos x="0" y="0"/>
          <wp:positionH relativeFrom="margin">
            <wp:align>right</wp:align>
          </wp:positionH>
          <wp:positionV relativeFrom="paragraph">
            <wp:posOffset>-666693</wp:posOffset>
          </wp:positionV>
          <wp:extent cx="2762250" cy="861695"/>
          <wp:effectExtent l="0" t="0" r="0" b="0"/>
          <wp:wrapSquare wrapText="bothSides"/>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762250" cy="861695"/>
                  </a:xfrm>
                  <a:prstGeom prst="rect">
                    <a:avLst/>
                  </a:prstGeom>
                </pic:spPr>
              </pic:pic>
            </a:graphicData>
          </a:graphic>
        </wp:anchor>
      </w:drawing>
    </w:r>
    <w:r w:rsidRPr="000A100E">
      <w:rPr>
        <w:noProof/>
        <w:lang w:val="en-US"/>
      </w:rPr>
      <w:drawing>
        <wp:anchor distT="0" distB="0" distL="114300" distR="114300" simplePos="0" relativeHeight="251659264" behindDoc="0" locked="0" layoutInCell="1" allowOverlap="1" wp14:anchorId="59CCCE5A" wp14:editId="21152BF0">
          <wp:simplePos x="0" y="0"/>
          <wp:positionH relativeFrom="margin">
            <wp:posOffset>-201416</wp:posOffset>
          </wp:positionH>
          <wp:positionV relativeFrom="topMargin">
            <wp:align>bottom</wp:align>
          </wp:positionV>
          <wp:extent cx="929640" cy="752475"/>
          <wp:effectExtent l="0" t="0" r="3810" b="9525"/>
          <wp:wrapSquare wrapText="bothSides"/>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extLst>
                      <a:ext uri="{28A0092B-C50C-407E-A947-70E740481C1C}">
                        <a14:useLocalDpi xmlns:a14="http://schemas.microsoft.com/office/drawing/2010/main" val="0"/>
                      </a:ext>
                    </a:extLst>
                  </a:blip>
                  <a:stretch>
                    <a:fillRect/>
                  </a:stretch>
                </pic:blipFill>
                <pic:spPr>
                  <a:xfrm>
                    <a:off x="0" y="0"/>
                    <a:ext cx="929640" cy="752475"/>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64FE" w:rsidRDefault="009264F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BA41A6"/>
    <w:multiLevelType w:val="hybridMultilevel"/>
    <w:tmpl w:val="8BF6F22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F371443"/>
    <w:multiLevelType w:val="hybridMultilevel"/>
    <w:tmpl w:val="81586F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7C217FE"/>
    <w:multiLevelType w:val="hybridMultilevel"/>
    <w:tmpl w:val="51BE39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3BB2EE7"/>
    <w:multiLevelType w:val="hybridMultilevel"/>
    <w:tmpl w:val="BD54CA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9"/>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66AE"/>
    <w:rsid w:val="000F44AD"/>
    <w:rsid w:val="001D66AE"/>
    <w:rsid w:val="00216A9B"/>
    <w:rsid w:val="00283365"/>
    <w:rsid w:val="002A0875"/>
    <w:rsid w:val="00396682"/>
    <w:rsid w:val="003A1CEA"/>
    <w:rsid w:val="003D371E"/>
    <w:rsid w:val="004D526B"/>
    <w:rsid w:val="005339CC"/>
    <w:rsid w:val="005C7ACC"/>
    <w:rsid w:val="005E6302"/>
    <w:rsid w:val="005E7EBA"/>
    <w:rsid w:val="005F6158"/>
    <w:rsid w:val="006345F5"/>
    <w:rsid w:val="0066071D"/>
    <w:rsid w:val="009264FE"/>
    <w:rsid w:val="00AA4B66"/>
    <w:rsid w:val="00B77EA8"/>
    <w:rsid w:val="00B824E9"/>
    <w:rsid w:val="00BD7BBB"/>
    <w:rsid w:val="00DF5156"/>
    <w:rsid w:val="00E01A70"/>
    <w:rsid w:val="00E03D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DDAFE38-227A-4F1F-87C4-4F9EF06517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6302"/>
    <w:pPr>
      <w:tabs>
        <w:tab w:val="left" w:pos="709"/>
        <w:tab w:val="left" w:pos="5245"/>
      </w:tabs>
      <w:spacing w:after="0" w:line="284" w:lineRule="atLeast"/>
    </w:pPr>
    <w:rPr>
      <w:rFonts w:ascii="Times New Roman" w:eastAsia="Times New Roman" w:hAnsi="Times New Roman" w:cs="Times New Roman"/>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rsid w:val="001D66AE"/>
    <w:rPr>
      <w:sz w:val="16"/>
    </w:rPr>
  </w:style>
  <w:style w:type="paragraph" w:styleId="CommentText">
    <w:name w:val="annotation text"/>
    <w:basedOn w:val="Normal"/>
    <w:link w:val="CommentTextChar"/>
    <w:uiPriority w:val="99"/>
    <w:semiHidden/>
    <w:rsid w:val="001D66AE"/>
  </w:style>
  <w:style w:type="character" w:customStyle="1" w:styleId="CommentTextChar">
    <w:name w:val="Comment Text Char"/>
    <w:basedOn w:val="DefaultParagraphFont"/>
    <w:link w:val="CommentText"/>
    <w:uiPriority w:val="99"/>
    <w:semiHidden/>
    <w:rsid w:val="001D66AE"/>
    <w:rPr>
      <w:rFonts w:ascii="Times New Roman" w:eastAsia="Times New Roman" w:hAnsi="Times New Roman" w:cs="Times New Roman"/>
      <w:szCs w:val="20"/>
      <w:lang w:val="en-GB"/>
    </w:rPr>
  </w:style>
  <w:style w:type="paragraph" w:styleId="NormalWeb">
    <w:name w:val="Normal (Web)"/>
    <w:basedOn w:val="Normal"/>
    <w:uiPriority w:val="99"/>
    <w:unhideWhenUsed/>
    <w:rsid w:val="001D66AE"/>
    <w:pPr>
      <w:tabs>
        <w:tab w:val="clear" w:pos="709"/>
        <w:tab w:val="clear" w:pos="5245"/>
      </w:tabs>
      <w:spacing w:before="100" w:beforeAutospacing="1" w:after="100" w:afterAutospacing="1" w:line="240" w:lineRule="auto"/>
    </w:pPr>
    <w:rPr>
      <w:rFonts w:eastAsia="Calibri"/>
      <w:sz w:val="24"/>
      <w:szCs w:val="24"/>
      <w:lang w:val="en-US"/>
    </w:rPr>
  </w:style>
  <w:style w:type="paragraph" w:styleId="ListParagraph">
    <w:name w:val="List Paragraph"/>
    <w:basedOn w:val="Normal"/>
    <w:uiPriority w:val="34"/>
    <w:qFormat/>
    <w:rsid w:val="001D66AE"/>
    <w:pPr>
      <w:tabs>
        <w:tab w:val="clear" w:pos="709"/>
        <w:tab w:val="clear" w:pos="5245"/>
      </w:tabs>
      <w:spacing w:after="160" w:line="259" w:lineRule="auto"/>
      <w:ind w:left="720"/>
      <w:contextualSpacing/>
    </w:pPr>
    <w:rPr>
      <w:rFonts w:asciiTheme="minorHAnsi" w:eastAsiaTheme="minorHAnsi" w:hAnsiTheme="minorHAnsi" w:cstheme="minorBidi"/>
      <w:szCs w:val="22"/>
      <w:lang w:val="en-IE"/>
    </w:rPr>
  </w:style>
  <w:style w:type="table" w:styleId="TableGrid">
    <w:name w:val="Table Grid"/>
    <w:basedOn w:val="TableNormal"/>
    <w:uiPriority w:val="39"/>
    <w:rsid w:val="001D66AE"/>
    <w:pPr>
      <w:spacing w:after="0" w:line="240" w:lineRule="auto"/>
    </w:pPr>
    <w:rPr>
      <w:lang w:val="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D66AE"/>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D66AE"/>
    <w:rPr>
      <w:rFonts w:ascii="Segoe UI" w:eastAsia="Times New Roman" w:hAnsi="Segoe UI" w:cs="Segoe UI"/>
      <w:sz w:val="18"/>
      <w:szCs w:val="18"/>
      <w:lang w:val="en-GB"/>
    </w:rPr>
  </w:style>
  <w:style w:type="paragraph" w:styleId="Header">
    <w:name w:val="header"/>
    <w:basedOn w:val="Normal"/>
    <w:link w:val="HeaderChar"/>
    <w:uiPriority w:val="99"/>
    <w:unhideWhenUsed/>
    <w:rsid w:val="005339CC"/>
    <w:pPr>
      <w:tabs>
        <w:tab w:val="clear" w:pos="709"/>
        <w:tab w:val="clear" w:pos="5245"/>
        <w:tab w:val="center" w:pos="4680"/>
        <w:tab w:val="right" w:pos="9360"/>
      </w:tabs>
      <w:spacing w:line="240" w:lineRule="auto"/>
    </w:pPr>
  </w:style>
  <w:style w:type="character" w:customStyle="1" w:styleId="HeaderChar">
    <w:name w:val="Header Char"/>
    <w:basedOn w:val="DefaultParagraphFont"/>
    <w:link w:val="Header"/>
    <w:uiPriority w:val="99"/>
    <w:rsid w:val="005339CC"/>
    <w:rPr>
      <w:rFonts w:ascii="Times New Roman" w:eastAsia="Times New Roman" w:hAnsi="Times New Roman" w:cs="Times New Roman"/>
      <w:szCs w:val="20"/>
      <w:lang w:val="en-GB"/>
    </w:rPr>
  </w:style>
  <w:style w:type="paragraph" w:styleId="Footer">
    <w:name w:val="footer"/>
    <w:basedOn w:val="Normal"/>
    <w:link w:val="FooterChar"/>
    <w:uiPriority w:val="99"/>
    <w:unhideWhenUsed/>
    <w:rsid w:val="005339CC"/>
    <w:pPr>
      <w:tabs>
        <w:tab w:val="clear" w:pos="709"/>
        <w:tab w:val="clear" w:pos="5245"/>
        <w:tab w:val="center" w:pos="4680"/>
        <w:tab w:val="right" w:pos="9360"/>
      </w:tabs>
      <w:spacing w:line="240" w:lineRule="auto"/>
    </w:pPr>
  </w:style>
  <w:style w:type="character" w:customStyle="1" w:styleId="FooterChar">
    <w:name w:val="Footer Char"/>
    <w:basedOn w:val="DefaultParagraphFont"/>
    <w:link w:val="Footer"/>
    <w:uiPriority w:val="99"/>
    <w:rsid w:val="005339CC"/>
    <w:rPr>
      <w:rFonts w:ascii="Times New Roman" w:eastAsia="Times New Roman" w:hAnsi="Times New Roman" w:cs="Times New Roman"/>
      <w:szCs w:val="20"/>
      <w:lang w:val="en-GB"/>
    </w:rPr>
  </w:style>
  <w:style w:type="character" w:styleId="Hyperlink">
    <w:name w:val="Hyperlink"/>
    <w:basedOn w:val="DefaultParagraphFont"/>
    <w:uiPriority w:val="99"/>
    <w:unhideWhenUsed/>
    <w:rsid w:val="003A1CE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inkedin.com/company/mars/" TargetMode="External"/><Relationship Id="rId13" Type="http://schemas.openxmlformats.org/officeDocument/2006/relationships/hyperlink" Target="https://global.nature.org/initiatives/natural-climate-solutions"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www.globalclimateactionsummit.org/all-announcements/" TargetMode="External"/><Relationship Id="rId12" Type="http://schemas.openxmlformats.org/officeDocument/2006/relationships/hyperlink" Target="https://quantis-intl.com/metrics/initiatives/lucguidance/" TargetMode="External"/><Relationship Id="rId17" Type="http://schemas.openxmlformats.org/officeDocument/2006/relationships/footer" Target="footer1.xml"/><Relationship Id="rId25"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mars.com/global/sustainable-in-a-generation" TargetMode="External"/><Relationship Id="rId24" Type="http://schemas.openxmlformats.org/officeDocument/2006/relationships/customXml" Target="../customXml/item2.xml"/><Relationship Id="rId5" Type="http://schemas.openxmlformats.org/officeDocument/2006/relationships/footnotes" Target="footnotes.xml"/><Relationship Id="rId15" Type="http://schemas.openxmlformats.org/officeDocument/2006/relationships/header" Target="header1.xml"/><Relationship Id="rId23" Type="http://schemas.openxmlformats.org/officeDocument/2006/relationships/customXml" Target="../customXml/item1.xml"/><Relationship Id="rId10" Type="http://schemas.openxmlformats.org/officeDocument/2006/relationships/hyperlink" Target="https://www.triplepundit.com/2018/05/is-the-commodity-era-over/"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report.ipcc.ch/sr15/pdf/sr15_chapter3.pdf" TargetMode="External"/><Relationship Id="rId14" Type="http://schemas.openxmlformats.org/officeDocument/2006/relationships/hyperlink" Target="https://www.bsr.org/en/our-insights/news/major-companies-join-forces-to-drive-climate-resilience-in-supply-chains"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FCCC Word Document" ma:contentTypeID="0x0101008459AB02ACC99C4E8121C112FA13B9A2004D55B22C876D9446942F493A07F39F38" ma:contentTypeVersion="1" ma:contentTypeDescription="Creates a new UNFCCC Document" ma:contentTypeScope="" ma:versionID="39b66b304a15e902439fb5a923b7c39c">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F91F6F8-E7B2-4B6F-B931-DE783ABA6339}"/>
</file>

<file path=customXml/itemProps2.xml><?xml version="1.0" encoding="utf-8"?>
<ds:datastoreItem xmlns:ds="http://schemas.openxmlformats.org/officeDocument/2006/customXml" ds:itemID="{85722245-C578-4FA0-9CED-EC22D7CD4B31}"/>
</file>

<file path=customXml/itemProps3.xml><?xml version="1.0" encoding="utf-8"?>
<ds:datastoreItem xmlns:ds="http://schemas.openxmlformats.org/officeDocument/2006/customXml" ds:itemID="{F43A71FF-5EF5-4640-B447-D0B22A15F4F2}"/>
</file>

<file path=docProps/app.xml><?xml version="1.0" encoding="utf-8"?>
<Properties xmlns="http://schemas.openxmlformats.org/officeDocument/2006/extended-properties" xmlns:vt="http://schemas.openxmlformats.org/officeDocument/2006/docPropsVTypes">
  <Template>Normal.dotm</Template>
  <TotalTime>0</TotalTime>
  <Pages>2</Pages>
  <Words>881</Words>
  <Characters>5028</Characters>
  <Application>Microsoft Office Word</Application>
  <DocSecurity>4</DocSecurity>
  <Lines>41</Lines>
  <Paragraphs>11</Paragraphs>
  <ScaleCrop>false</ScaleCrop>
  <HeadingPairs>
    <vt:vector size="4" baseType="variant">
      <vt:variant>
        <vt:lpstr>Title</vt:lpstr>
      </vt:variant>
      <vt:variant>
        <vt:i4>1</vt:i4>
      </vt:variant>
      <vt:variant>
        <vt:lpstr>Tytuł</vt:lpstr>
      </vt:variant>
      <vt:variant>
        <vt:i4>1</vt:i4>
      </vt:variant>
    </vt:vector>
  </HeadingPairs>
  <TitlesOfParts>
    <vt:vector size="2" baseType="lpstr">
      <vt:lpstr/>
      <vt:lpstr/>
    </vt:vector>
  </TitlesOfParts>
  <Company/>
  <LinksUpToDate>false</LinksUpToDate>
  <CharactersWithSpaces>5898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Danielle Magalhaes</dc:creator>
  <cp:keywords/>
  <dc:description/>
  <cp:lastModifiedBy>Allen, Ashley</cp:lastModifiedBy>
  <cp:revision>2</cp:revision>
  <dcterms:created xsi:type="dcterms:W3CDTF">2018-10-29T17:48:00Z</dcterms:created>
  <dcterms:modified xsi:type="dcterms:W3CDTF">2018-10-29T17:48:00Z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0x0101008459AB02ACC99C4E8121C112FA13B9A2004D55B22C876D9446942F493A07F39F38</vt:lpwstr>
  </property>
</Properties>
</file>