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C21" w:rsidRDefault="001F1C8D" w:rsidP="003D60C0">
      <w:pPr>
        <w:pStyle w:val="Body"/>
        <w:spacing w:after="0" w:line="240" w:lineRule="auto"/>
        <w:jc w:val="center"/>
        <w:rPr>
          <w:rFonts w:ascii="Times New Roman" w:eastAsia="Times New Roman" w:hAnsi="Times New Roman" w:cs="Times New Roman"/>
          <w:b/>
          <w:bCs/>
        </w:rPr>
      </w:pPr>
      <w:bookmarkStart w:id="0" w:name="_GoBack"/>
      <w:bookmarkEnd w:id="0"/>
      <w:r>
        <w:rPr>
          <w:rFonts w:ascii="Times New Roman" w:hAnsi="Times New Roman"/>
          <w:b/>
          <w:bCs/>
        </w:rPr>
        <w:t xml:space="preserve">Thailand’s input for the </w:t>
      </w:r>
      <w:r w:rsidR="003D60C0">
        <w:rPr>
          <w:rFonts w:ascii="Times New Roman" w:hAnsi="Times New Roman"/>
          <w:b/>
          <w:bCs/>
        </w:rPr>
        <w:t>Talanoa Dialogue</w:t>
      </w:r>
    </w:p>
    <w:p w:rsidR="00FF388F" w:rsidRDefault="004B5CEC" w:rsidP="0033297F">
      <w:pPr>
        <w:spacing w:before="240" w:after="120"/>
        <w:ind w:firstLine="714"/>
        <w:jc w:val="both"/>
        <w:rPr>
          <w:rFonts w:eastAsia="EucrosiaUPC"/>
          <w:color w:val="000000"/>
          <w:sz w:val="28"/>
          <w:szCs w:val="28"/>
          <w:u w:color="000000"/>
          <w:lang w:bidi="th-TH"/>
        </w:rPr>
      </w:pPr>
      <w:r w:rsidRPr="004B5CEC">
        <w:rPr>
          <w:sz w:val="28"/>
          <w:szCs w:val="28"/>
        </w:rPr>
        <w:t xml:space="preserve">Thailand welcomes the Talanoa Dialogue as an opportunity to take stock of our collective efforts and </w:t>
      </w:r>
      <w:r w:rsidRPr="00FF388F">
        <w:rPr>
          <w:sz w:val="28"/>
          <w:szCs w:val="28"/>
        </w:rPr>
        <w:t xml:space="preserve">to consider both pre-2020 and post-2020 action and ambition. </w:t>
      </w:r>
      <w:r w:rsidR="00677ECA">
        <w:rPr>
          <w:sz w:val="28"/>
          <w:szCs w:val="28"/>
        </w:rPr>
        <w:t>T</w:t>
      </w:r>
      <w:r w:rsidRPr="00FF388F">
        <w:rPr>
          <w:sz w:val="28"/>
          <w:szCs w:val="28"/>
        </w:rPr>
        <w:t>he Talanoa Dialogue should be facilitative and comprehensive</w:t>
      </w:r>
      <w:r w:rsidR="003714C6">
        <w:rPr>
          <w:sz w:val="28"/>
          <w:szCs w:val="28"/>
        </w:rPr>
        <w:t>,</w:t>
      </w:r>
      <w:r w:rsidR="000D6EC9">
        <w:rPr>
          <w:sz w:val="28"/>
          <w:szCs w:val="28"/>
        </w:rPr>
        <w:t xml:space="preserve"> where all major </w:t>
      </w:r>
      <w:r w:rsidRPr="00FF388F">
        <w:rPr>
          <w:sz w:val="28"/>
          <w:szCs w:val="28"/>
        </w:rPr>
        <w:t xml:space="preserve">issues (mitigation, adaptation, finance, technology and capacity building) should be addressed.  </w:t>
      </w:r>
      <w:r w:rsidR="00FF388F" w:rsidRPr="00FF388F">
        <w:rPr>
          <w:sz w:val="28"/>
          <w:szCs w:val="28"/>
        </w:rPr>
        <w:t>It</w:t>
      </w:r>
      <w:r w:rsidRPr="00FF388F">
        <w:rPr>
          <w:sz w:val="28"/>
          <w:szCs w:val="28"/>
        </w:rPr>
        <w:t xml:space="preserve"> should </w:t>
      </w:r>
      <w:r w:rsidR="005D5C75" w:rsidRPr="00FF388F">
        <w:rPr>
          <w:rFonts w:eastAsia="EucrosiaUPC"/>
          <w:color w:val="000000"/>
          <w:sz w:val="28"/>
          <w:szCs w:val="28"/>
          <w:u w:color="000000"/>
          <w:lang w:bidi="th-TH"/>
        </w:rPr>
        <w:t xml:space="preserve">identify </w:t>
      </w:r>
      <w:r w:rsidR="00550ACC" w:rsidRPr="00FF388F">
        <w:rPr>
          <w:rFonts w:eastAsia="EucrosiaUPC"/>
          <w:color w:val="000000"/>
          <w:sz w:val="28"/>
          <w:szCs w:val="28"/>
          <w:u w:color="000000"/>
          <w:lang w:bidi="th-TH"/>
        </w:rPr>
        <w:t xml:space="preserve">difficulties, gaps and </w:t>
      </w:r>
      <w:r w:rsidR="005D5C75" w:rsidRPr="00FF388F">
        <w:rPr>
          <w:rFonts w:eastAsia="EucrosiaUPC"/>
          <w:color w:val="000000"/>
          <w:sz w:val="28"/>
          <w:szCs w:val="28"/>
          <w:u w:color="000000"/>
          <w:lang w:bidi="th-TH"/>
        </w:rPr>
        <w:t>challenges</w:t>
      </w:r>
      <w:r w:rsidR="00550ACC" w:rsidRPr="00FF388F">
        <w:rPr>
          <w:rFonts w:eastAsia="EucrosiaUPC"/>
          <w:color w:val="000000"/>
          <w:sz w:val="28"/>
          <w:szCs w:val="28"/>
          <w:u w:color="000000"/>
          <w:lang w:bidi="th-TH"/>
        </w:rPr>
        <w:t xml:space="preserve"> of Parties and stakeholders to combat climate change and to meet pre-2020 </w:t>
      </w:r>
      <w:r w:rsidR="005D5C75" w:rsidRPr="00FF388F">
        <w:rPr>
          <w:rFonts w:eastAsia="EucrosiaUPC"/>
          <w:color w:val="000000"/>
          <w:sz w:val="28"/>
          <w:szCs w:val="28"/>
          <w:u w:color="000000"/>
          <w:lang w:bidi="th-TH"/>
        </w:rPr>
        <w:t>obligations.</w:t>
      </w:r>
      <w:r w:rsidR="00550ACC" w:rsidRPr="00FF388F">
        <w:rPr>
          <w:rFonts w:eastAsia="EucrosiaUPC"/>
          <w:color w:val="000000"/>
          <w:sz w:val="28"/>
          <w:szCs w:val="28"/>
          <w:u w:color="000000"/>
          <w:lang w:bidi="th-TH"/>
        </w:rPr>
        <w:t xml:space="preserve"> At the same time, it should also highlight progress, lessons learned, innovative solutions and best practices to contribute to our </w:t>
      </w:r>
      <w:r w:rsidR="00ED1237" w:rsidRPr="00FF388F">
        <w:rPr>
          <w:rFonts w:eastAsia="EucrosiaUPC"/>
          <w:color w:val="000000"/>
          <w:sz w:val="28"/>
          <w:szCs w:val="28"/>
          <w:u w:color="000000"/>
          <w:lang w:bidi="th-TH"/>
        </w:rPr>
        <w:t xml:space="preserve">future </w:t>
      </w:r>
      <w:r w:rsidR="00550ACC" w:rsidRPr="00FF388F">
        <w:rPr>
          <w:rFonts w:eastAsia="EucrosiaUPC"/>
          <w:color w:val="000000"/>
          <w:sz w:val="28"/>
          <w:szCs w:val="28"/>
          <w:u w:color="000000"/>
          <w:lang w:bidi="th-TH"/>
        </w:rPr>
        <w:t>actions.</w:t>
      </w:r>
    </w:p>
    <w:p w:rsidR="00FF388F" w:rsidRPr="003B41A0" w:rsidRDefault="00677ECA" w:rsidP="0033297F">
      <w:pPr>
        <w:spacing w:before="240" w:after="120"/>
        <w:jc w:val="both"/>
        <w:rPr>
          <w:b/>
          <w:bCs/>
          <w:sz w:val="32"/>
          <w:szCs w:val="32"/>
        </w:rPr>
      </w:pPr>
      <w:r w:rsidRPr="003B41A0">
        <w:rPr>
          <w:b/>
          <w:bCs/>
          <w:sz w:val="32"/>
          <w:szCs w:val="32"/>
        </w:rPr>
        <w:t xml:space="preserve">1. </w:t>
      </w:r>
      <w:r w:rsidR="00FF388F" w:rsidRPr="003B41A0">
        <w:rPr>
          <w:b/>
          <w:bCs/>
          <w:sz w:val="32"/>
          <w:szCs w:val="32"/>
        </w:rPr>
        <w:t>W</w:t>
      </w:r>
      <w:r w:rsidR="00B77961" w:rsidRPr="003B41A0">
        <w:rPr>
          <w:b/>
          <w:bCs/>
          <w:sz w:val="32"/>
          <w:szCs w:val="32"/>
        </w:rPr>
        <w:t xml:space="preserve">here are we? </w:t>
      </w:r>
    </w:p>
    <w:p w:rsidR="00FF388F" w:rsidRDefault="00FF388F" w:rsidP="001322E3">
      <w:pPr>
        <w:spacing w:before="120" w:after="120"/>
        <w:ind w:firstLine="720"/>
        <w:jc w:val="both"/>
        <w:rPr>
          <w:sz w:val="28"/>
          <w:szCs w:val="28"/>
        </w:rPr>
      </w:pPr>
      <w:r w:rsidRPr="008645BF">
        <w:rPr>
          <w:b/>
          <w:bCs/>
          <w:sz w:val="28"/>
          <w:szCs w:val="28"/>
        </w:rPr>
        <w:t xml:space="preserve">The adverse impacts of climate change continues to exacerbate. </w:t>
      </w:r>
      <w:r w:rsidRPr="008645BF">
        <w:rPr>
          <w:sz w:val="28"/>
          <w:szCs w:val="28"/>
        </w:rPr>
        <w:t xml:space="preserve"> In 2017, we </w:t>
      </w:r>
      <w:r w:rsidR="00677ECA">
        <w:rPr>
          <w:sz w:val="28"/>
          <w:szCs w:val="28"/>
        </w:rPr>
        <w:t xml:space="preserve">were </w:t>
      </w:r>
      <w:r w:rsidRPr="008645BF">
        <w:rPr>
          <w:sz w:val="28"/>
          <w:szCs w:val="28"/>
        </w:rPr>
        <w:t>faced with the warmest year not influenced by an El Ni</w:t>
      </w:r>
      <w:r w:rsidRPr="008645BF">
        <w:rPr>
          <w:sz w:val="28"/>
          <w:szCs w:val="28"/>
          <w:lang w:val="es-ES_tradnl"/>
        </w:rPr>
        <w:t>ñ</w:t>
      </w:r>
      <w:r w:rsidRPr="008645BF">
        <w:rPr>
          <w:sz w:val="28"/>
          <w:szCs w:val="28"/>
        </w:rPr>
        <w:t xml:space="preserve">o event, the most costly hurricane season, destructive wildfires, and 30% of our populations faced extreme heatwaves. The World Meteorological Organization estimated that disaster losses from weather and climate-related events last year was $320 billion – the largest annual total on record. These adverse impacts affect and undermine the ability of all countries, in particular, developing countries, to achieve sustainable development. Thailand is among the most vulnerable countries to the climate change impacts.  </w:t>
      </w:r>
      <w:r w:rsidR="00677ECA">
        <w:rPr>
          <w:sz w:val="28"/>
          <w:szCs w:val="28"/>
        </w:rPr>
        <w:t>T</w:t>
      </w:r>
      <w:r w:rsidRPr="008645BF">
        <w:rPr>
          <w:sz w:val="28"/>
          <w:szCs w:val="28"/>
        </w:rPr>
        <w:t>he Global Climate Risk Index</w:t>
      </w:r>
      <w:r w:rsidR="00677ECA">
        <w:rPr>
          <w:sz w:val="28"/>
          <w:szCs w:val="28"/>
        </w:rPr>
        <w:t xml:space="preserve"> placed</w:t>
      </w:r>
      <w:r w:rsidRPr="008645BF">
        <w:rPr>
          <w:sz w:val="28"/>
          <w:szCs w:val="28"/>
        </w:rPr>
        <w:t xml:space="preserve"> Thailand as the 9th country most affected by the long-term impacts of climate change. </w:t>
      </w:r>
    </w:p>
    <w:p w:rsidR="00FF388F" w:rsidRDefault="00AD2355" w:rsidP="001322E3">
      <w:pPr>
        <w:spacing w:before="120" w:after="120"/>
        <w:ind w:firstLine="720"/>
        <w:jc w:val="both"/>
        <w:rPr>
          <w:sz w:val="28"/>
          <w:szCs w:val="28"/>
        </w:rPr>
      </w:pPr>
      <w:r>
        <w:rPr>
          <w:b/>
          <w:bCs/>
          <w:sz w:val="28"/>
          <w:szCs w:val="28"/>
        </w:rPr>
        <w:t>C</w:t>
      </w:r>
      <w:r w:rsidR="00FF388F" w:rsidRPr="008645BF">
        <w:rPr>
          <w:b/>
          <w:bCs/>
          <w:sz w:val="28"/>
          <w:szCs w:val="28"/>
        </w:rPr>
        <w:t xml:space="preserve">urrent </w:t>
      </w:r>
      <w:r>
        <w:rPr>
          <w:b/>
          <w:bCs/>
          <w:sz w:val="28"/>
          <w:szCs w:val="28"/>
        </w:rPr>
        <w:t xml:space="preserve">global </w:t>
      </w:r>
      <w:r w:rsidR="00FF388F" w:rsidRPr="008645BF">
        <w:rPr>
          <w:b/>
          <w:bCs/>
          <w:sz w:val="28"/>
          <w:szCs w:val="28"/>
        </w:rPr>
        <w:t xml:space="preserve">efforts to address climate change remain inadequate.  </w:t>
      </w:r>
      <w:r w:rsidR="00FF388F" w:rsidRPr="00FF388F">
        <w:rPr>
          <w:sz w:val="28"/>
          <w:szCs w:val="28"/>
        </w:rPr>
        <w:t>There are still significant gaps in pre-2020 period in mitigation  ambition and actions. I</w:t>
      </w:r>
      <w:r w:rsidR="00FF388F" w:rsidRPr="008645BF">
        <w:rPr>
          <w:sz w:val="28"/>
          <w:szCs w:val="28"/>
        </w:rPr>
        <w:t>n 2016,</w:t>
      </w:r>
      <w:r w:rsidR="00FF388F" w:rsidRPr="008645BF">
        <w:rPr>
          <w:b/>
          <w:bCs/>
          <w:sz w:val="28"/>
          <w:szCs w:val="28"/>
        </w:rPr>
        <w:t xml:space="preserve"> </w:t>
      </w:r>
      <w:r w:rsidR="00FF388F" w:rsidRPr="008645BF">
        <w:rPr>
          <w:sz w:val="28"/>
          <w:szCs w:val="28"/>
        </w:rPr>
        <w:t>greenhouse gas concentrations reached new highs, the global mean temperature in 2017 was approximately 1.1</w:t>
      </w:r>
      <w:r w:rsidR="003812E6">
        <w:rPr>
          <w:sz w:val="28"/>
          <w:szCs w:val="28"/>
        </w:rPr>
        <w:t xml:space="preserve"> degree </w:t>
      </w:r>
      <w:r w:rsidR="003812E6" w:rsidRPr="008645BF">
        <w:rPr>
          <w:sz w:val="28"/>
          <w:szCs w:val="28"/>
        </w:rPr>
        <w:t>C</w:t>
      </w:r>
      <w:r w:rsidR="003812E6">
        <w:rPr>
          <w:sz w:val="28"/>
          <w:szCs w:val="28"/>
        </w:rPr>
        <w:t>elsius</w:t>
      </w:r>
      <w:r w:rsidR="00FF388F" w:rsidRPr="008645BF">
        <w:rPr>
          <w:sz w:val="28"/>
          <w:szCs w:val="28"/>
        </w:rPr>
        <w:t xml:space="preserve"> above the pre-industrial era. As our effort to </w:t>
      </w:r>
      <w:r w:rsidR="003812E6">
        <w:rPr>
          <w:sz w:val="28"/>
          <w:szCs w:val="28"/>
        </w:rPr>
        <w:t>contribute to the closing of</w:t>
      </w:r>
      <w:r w:rsidR="00FF388F" w:rsidRPr="008645BF">
        <w:rPr>
          <w:sz w:val="28"/>
          <w:szCs w:val="28"/>
        </w:rPr>
        <w:t xml:space="preserve"> these gaps, Thailand voluntarily pledged our NAMAs in 2014 to reduce its greenhouse gas emissions by 7-20% by 2020.  So far, we have successfully reduced our emission by 11%.  Nonetheless, more need to be done globally to enhance pre-2020 action and support in order to provide a solid foundation for post-2020 implementation. </w:t>
      </w:r>
    </w:p>
    <w:p w:rsidR="00FF388F" w:rsidRDefault="00FF388F" w:rsidP="001322E3">
      <w:pPr>
        <w:spacing w:before="120" w:after="120"/>
        <w:ind w:firstLine="720"/>
        <w:jc w:val="both"/>
        <w:rPr>
          <w:b/>
          <w:bCs/>
          <w:sz w:val="28"/>
          <w:szCs w:val="28"/>
        </w:rPr>
      </w:pPr>
      <w:r w:rsidRPr="008645BF">
        <w:rPr>
          <w:b/>
          <w:bCs/>
          <w:sz w:val="28"/>
          <w:szCs w:val="28"/>
        </w:rPr>
        <w:t xml:space="preserve">Developing countries still face difficulties in delivering climate actions. </w:t>
      </w:r>
      <w:r w:rsidRPr="008645BF">
        <w:rPr>
          <w:sz w:val="28"/>
          <w:szCs w:val="28"/>
        </w:rPr>
        <w:t xml:space="preserve">From Thailand’s experience in the implementation of NAMAs and the development of NDC, we have encountered gaps and needs, and </w:t>
      </w:r>
      <w:r w:rsidRPr="001A01FB">
        <w:rPr>
          <w:sz w:val="28"/>
          <w:szCs w:val="28"/>
        </w:rPr>
        <w:t>continued to require assistance on many areas such as data collection system, modelling, R&amp;D, technical expertise, technology transfer and development</w:t>
      </w:r>
      <w:r>
        <w:rPr>
          <w:sz w:val="28"/>
          <w:szCs w:val="28"/>
        </w:rPr>
        <w:t xml:space="preserve"> </w:t>
      </w:r>
      <w:r w:rsidRPr="008645BF">
        <w:rPr>
          <w:sz w:val="28"/>
          <w:szCs w:val="28"/>
        </w:rPr>
        <w:t xml:space="preserve">and support for adaptation </w:t>
      </w:r>
      <w:r>
        <w:rPr>
          <w:sz w:val="28"/>
          <w:szCs w:val="28"/>
        </w:rPr>
        <w:t>implementation</w:t>
      </w:r>
      <w:r w:rsidRPr="008645BF">
        <w:rPr>
          <w:sz w:val="28"/>
          <w:szCs w:val="28"/>
        </w:rPr>
        <w:t xml:space="preserve">. </w:t>
      </w:r>
      <w:r w:rsidRPr="008645BF">
        <w:rPr>
          <w:b/>
          <w:bCs/>
          <w:sz w:val="28"/>
          <w:szCs w:val="28"/>
        </w:rPr>
        <w:t xml:space="preserve"> </w:t>
      </w:r>
    </w:p>
    <w:p w:rsidR="0020677F" w:rsidRPr="00B94DD5" w:rsidRDefault="00FF388F" w:rsidP="00B94DD5">
      <w:pPr>
        <w:spacing w:before="120" w:after="120"/>
        <w:ind w:firstLine="720"/>
        <w:jc w:val="both"/>
        <w:rPr>
          <w:b/>
          <w:bCs/>
          <w:sz w:val="28"/>
          <w:szCs w:val="28"/>
        </w:rPr>
      </w:pPr>
      <w:r>
        <w:rPr>
          <w:b/>
          <w:bCs/>
          <w:sz w:val="28"/>
          <w:szCs w:val="28"/>
        </w:rPr>
        <w:t>G</w:t>
      </w:r>
      <w:r w:rsidRPr="0020677F">
        <w:rPr>
          <w:b/>
          <w:bCs/>
          <w:sz w:val="28"/>
          <w:szCs w:val="28"/>
        </w:rPr>
        <w:t xml:space="preserve">ood practices and efforts are taking place at national level, and they could provide guidance for future actions. </w:t>
      </w:r>
      <w:r w:rsidRPr="0020677F">
        <w:rPr>
          <w:sz w:val="28"/>
          <w:szCs w:val="28"/>
        </w:rPr>
        <w:t>During the past few years, we have seen increasing efforts and strong initiatives from both Parties and other stakeholders to tackle climate change and promote climate actions at national level. Thailand believes that combating climate change is a</w:t>
      </w:r>
      <w:r w:rsidR="00B94DD5">
        <w:rPr>
          <w:sz w:val="28"/>
          <w:szCs w:val="28"/>
        </w:rPr>
        <w:t>n integral</w:t>
      </w:r>
      <w:r w:rsidRPr="0020677F">
        <w:rPr>
          <w:sz w:val="28"/>
          <w:szCs w:val="28"/>
        </w:rPr>
        <w:t xml:space="preserve"> part </w:t>
      </w:r>
      <w:r w:rsidR="00B94DD5">
        <w:rPr>
          <w:sz w:val="28"/>
          <w:szCs w:val="28"/>
        </w:rPr>
        <w:t xml:space="preserve">of </w:t>
      </w:r>
      <w:r w:rsidRPr="0020677F">
        <w:rPr>
          <w:sz w:val="28"/>
          <w:szCs w:val="28"/>
        </w:rPr>
        <w:t xml:space="preserve">our </w:t>
      </w:r>
      <w:r w:rsidRPr="0020677F">
        <w:rPr>
          <w:sz w:val="28"/>
          <w:szCs w:val="28"/>
        </w:rPr>
        <w:lastRenderedPageBreak/>
        <w:t xml:space="preserve">efforts </w:t>
      </w:r>
      <w:r w:rsidR="00B94DD5">
        <w:rPr>
          <w:sz w:val="28"/>
          <w:szCs w:val="28"/>
        </w:rPr>
        <w:t>to</w:t>
      </w:r>
      <w:r w:rsidRPr="0020677F">
        <w:rPr>
          <w:sz w:val="28"/>
          <w:szCs w:val="28"/>
        </w:rPr>
        <w:t xml:space="preserve"> achiev</w:t>
      </w:r>
      <w:r w:rsidR="00B94DD5">
        <w:rPr>
          <w:sz w:val="28"/>
          <w:szCs w:val="28"/>
        </w:rPr>
        <w:t>e</w:t>
      </w:r>
      <w:r w:rsidRPr="0020677F">
        <w:rPr>
          <w:sz w:val="28"/>
          <w:szCs w:val="28"/>
        </w:rPr>
        <w:t xml:space="preserve"> sustainable development.  We have integrated climate measure into our national strategies and planning, such as  the twelfth National Economic and Social Development Plans and the draft 20-Year National Strategy Framework. These efforts at national level need to be further encouraged, supported and shared through international cooperation.</w:t>
      </w:r>
      <w:r w:rsidR="00B94DD5">
        <w:rPr>
          <w:sz w:val="28"/>
          <w:szCs w:val="28"/>
        </w:rPr>
        <w:t xml:space="preserve"> As a concrete example,</w:t>
      </w:r>
      <w:r w:rsidRPr="0020677F">
        <w:rPr>
          <w:sz w:val="28"/>
          <w:szCs w:val="28"/>
        </w:rPr>
        <w:t xml:space="preserve"> </w:t>
      </w:r>
      <w:r w:rsidR="0020677F" w:rsidRPr="00B94DD5">
        <w:rPr>
          <w:sz w:val="28"/>
          <w:szCs w:val="28"/>
        </w:rPr>
        <w:t xml:space="preserve">Thailand is implementing </w:t>
      </w:r>
      <w:r w:rsidR="00B94DD5">
        <w:rPr>
          <w:sz w:val="28"/>
          <w:szCs w:val="28"/>
        </w:rPr>
        <w:t xml:space="preserve">a </w:t>
      </w:r>
      <w:r w:rsidR="0020677F" w:rsidRPr="00B94DD5">
        <w:rPr>
          <w:sz w:val="28"/>
          <w:szCs w:val="28"/>
        </w:rPr>
        <w:t>Refrigeration and Air Conditioning Nationally Appropriate Mitigation Action (RAC NAMA) project to promote</w:t>
      </w:r>
      <w:r w:rsidR="0020677F" w:rsidRPr="0020677F">
        <w:rPr>
          <w:sz w:val="28"/>
          <w:szCs w:val="28"/>
        </w:rPr>
        <w:t xml:space="preserve"> the use of natural refrigerants for energy efficient and climate-friendly cooling technologies in cooling industries, air-conditioning and refrigeration. This project </w:t>
      </w:r>
      <w:r w:rsidR="00ED193F">
        <w:rPr>
          <w:sz w:val="28"/>
          <w:szCs w:val="28"/>
        </w:rPr>
        <w:t>will</w:t>
      </w:r>
      <w:r w:rsidR="0020677F" w:rsidRPr="0020677F">
        <w:rPr>
          <w:sz w:val="28"/>
          <w:szCs w:val="28"/>
        </w:rPr>
        <w:t xml:space="preserve"> contribute to the country’s energy efficiency and GHG emission reduction and is a pioneer example that can be a useful model for other sectors and sub sectors to promote effective cooperation and partnership with the private sector to drive domestic climate actions.</w:t>
      </w:r>
    </w:p>
    <w:p w:rsidR="00010DF0" w:rsidRPr="003D60C0" w:rsidRDefault="00B62F63" w:rsidP="003B41A0">
      <w:pPr>
        <w:spacing w:before="240"/>
        <w:jc w:val="both"/>
        <w:rPr>
          <w:rFonts w:eastAsia="Times New Roman"/>
          <w:b/>
          <w:bCs/>
          <w:color w:val="000000"/>
          <w:sz w:val="32"/>
          <w:szCs w:val="32"/>
          <w:u w:color="000000"/>
          <w:lang w:bidi="th-TH"/>
        </w:rPr>
      </w:pPr>
      <w:r>
        <w:rPr>
          <w:rFonts w:eastAsia="EucrosiaUPC"/>
          <w:b/>
          <w:bCs/>
          <w:color w:val="000000"/>
          <w:sz w:val="32"/>
          <w:szCs w:val="32"/>
          <w:u w:color="000000"/>
          <w:lang w:bidi="th-TH"/>
        </w:rPr>
        <w:t xml:space="preserve">2. </w:t>
      </w:r>
      <w:r w:rsidR="00010DF0" w:rsidRPr="003D60C0">
        <w:rPr>
          <w:rFonts w:eastAsia="EucrosiaUPC"/>
          <w:b/>
          <w:bCs/>
          <w:color w:val="000000"/>
          <w:sz w:val="32"/>
          <w:szCs w:val="32"/>
          <w:u w:color="000000"/>
          <w:lang w:bidi="th-TH"/>
        </w:rPr>
        <w:t xml:space="preserve">Where do we want to go? </w:t>
      </w:r>
    </w:p>
    <w:p w:rsidR="00010DF0" w:rsidRPr="00D75EDA" w:rsidRDefault="00010DF0" w:rsidP="00FF388F">
      <w:pPr>
        <w:spacing w:before="120"/>
        <w:jc w:val="both"/>
        <w:rPr>
          <w:rFonts w:eastAsia="Times New Roman"/>
          <w:b/>
          <w:bCs/>
          <w:color w:val="000000"/>
          <w:sz w:val="28"/>
          <w:szCs w:val="28"/>
          <w:lang w:bidi="th-TH"/>
        </w:rPr>
      </w:pPr>
      <w:r w:rsidRPr="00D75EDA">
        <w:rPr>
          <w:rFonts w:eastAsia="EucrosiaUPC"/>
          <w:b/>
          <w:bCs/>
          <w:color w:val="000000"/>
          <w:sz w:val="28"/>
          <w:szCs w:val="28"/>
          <w:lang w:bidi="th-TH"/>
        </w:rPr>
        <w:t>At a global level</w:t>
      </w:r>
    </w:p>
    <w:p w:rsidR="00010DF0" w:rsidRPr="00010DF0" w:rsidRDefault="00010DF0" w:rsidP="00D75EDA">
      <w:pPr>
        <w:spacing w:before="120"/>
        <w:ind w:firstLine="720"/>
        <w:jc w:val="both"/>
        <w:rPr>
          <w:rFonts w:eastAsia="Times New Roman"/>
          <w:color w:val="000000"/>
          <w:sz w:val="28"/>
          <w:szCs w:val="28"/>
          <w:u w:color="000000"/>
          <w:lang w:bidi="th-TH"/>
        </w:rPr>
      </w:pPr>
      <w:r w:rsidRPr="00010DF0">
        <w:rPr>
          <w:rFonts w:eastAsia="EucrosiaUPC"/>
          <w:color w:val="000000"/>
          <w:sz w:val="28"/>
          <w:szCs w:val="28"/>
          <w:u w:color="000000"/>
          <w:lang w:bidi="th-TH"/>
        </w:rPr>
        <w:t xml:space="preserve">The Paris Agreement has already provided a clear </w:t>
      </w:r>
      <w:r w:rsidR="00B62F63">
        <w:rPr>
          <w:rFonts w:eastAsia="EucrosiaUPC"/>
          <w:color w:val="000000"/>
          <w:sz w:val="28"/>
          <w:szCs w:val="28"/>
          <w:u w:color="000000"/>
          <w:lang w:bidi="th-TH"/>
        </w:rPr>
        <w:t>path to</w:t>
      </w:r>
      <w:r w:rsidRPr="00010DF0">
        <w:rPr>
          <w:rFonts w:eastAsia="EucrosiaUPC"/>
          <w:color w:val="000000"/>
          <w:sz w:val="28"/>
          <w:szCs w:val="28"/>
          <w:u w:color="000000"/>
          <w:lang w:bidi="th-TH"/>
        </w:rPr>
        <w:t xml:space="preserve"> where we want to go. The </w:t>
      </w:r>
      <w:r w:rsidRPr="00FB034B">
        <w:rPr>
          <w:rFonts w:eastAsia="EucrosiaUPC"/>
          <w:color w:val="000000"/>
          <w:sz w:val="28"/>
          <w:szCs w:val="28"/>
          <w:u w:color="000000"/>
          <w:lang w:bidi="th-TH"/>
        </w:rPr>
        <w:t>long-term temperature goal,</w:t>
      </w:r>
      <w:r w:rsidRPr="00010DF0">
        <w:rPr>
          <w:rFonts w:eastAsia="EucrosiaUPC"/>
          <w:color w:val="000000"/>
          <w:sz w:val="28"/>
          <w:szCs w:val="28"/>
          <w:u w:color="000000"/>
          <w:lang w:bidi="th-TH"/>
        </w:rPr>
        <w:t xml:space="preserve"> in Article 2, reflects the commitment by all Parties to significantly reduce risks and impacts of climate change. </w:t>
      </w:r>
    </w:p>
    <w:p w:rsidR="00010DF0" w:rsidRPr="00FB034B" w:rsidRDefault="00010DF0" w:rsidP="00D75EDA">
      <w:pPr>
        <w:spacing w:before="120"/>
        <w:ind w:firstLine="720"/>
        <w:jc w:val="both"/>
        <w:rPr>
          <w:rFonts w:eastAsia="Times New Roman"/>
          <w:color w:val="000000"/>
          <w:sz w:val="28"/>
          <w:szCs w:val="28"/>
          <w:u w:color="000000"/>
          <w:lang w:bidi="th-TH"/>
        </w:rPr>
      </w:pPr>
      <w:r w:rsidRPr="00FB034B">
        <w:rPr>
          <w:rFonts w:eastAsia="EucrosiaUPC"/>
          <w:color w:val="000000"/>
          <w:sz w:val="28"/>
          <w:szCs w:val="28"/>
          <w:u w:color="000000"/>
          <w:lang w:bidi="th-TH"/>
        </w:rPr>
        <w:t xml:space="preserve">At the same time, the Paris Agreement also sets to increase </w:t>
      </w:r>
      <w:r w:rsidR="00B62F63">
        <w:rPr>
          <w:rFonts w:eastAsia="EucrosiaUPC"/>
          <w:color w:val="000000"/>
          <w:sz w:val="28"/>
          <w:szCs w:val="28"/>
          <w:u w:color="000000"/>
          <w:lang w:bidi="th-TH"/>
        </w:rPr>
        <w:t>our</w:t>
      </w:r>
      <w:r w:rsidRPr="00FB034B">
        <w:rPr>
          <w:rFonts w:eastAsia="EucrosiaUPC"/>
          <w:color w:val="000000"/>
          <w:sz w:val="28"/>
          <w:szCs w:val="28"/>
          <w:u w:color="000000"/>
          <w:lang w:bidi="th-TH"/>
        </w:rPr>
        <w:t xml:space="preserve"> ability to adapt to the adverse impacts of climate change and to foster climate resilience and low greenhouse gas emissions development</w:t>
      </w:r>
      <w:r w:rsidR="00B62F63">
        <w:rPr>
          <w:rFonts w:eastAsia="EucrosiaUPC"/>
          <w:color w:val="000000"/>
          <w:sz w:val="28"/>
          <w:szCs w:val="28"/>
          <w:u w:color="000000"/>
          <w:lang w:bidi="th-TH"/>
        </w:rPr>
        <w:t xml:space="preserve">, </w:t>
      </w:r>
      <w:r w:rsidRPr="00FB034B">
        <w:rPr>
          <w:rFonts w:eastAsia="EucrosiaUPC"/>
          <w:color w:val="000000"/>
          <w:sz w:val="28"/>
          <w:szCs w:val="28"/>
          <w:u w:color="000000"/>
          <w:lang w:bidi="th-TH"/>
        </w:rPr>
        <w:t>tak</w:t>
      </w:r>
      <w:r w:rsidR="00B62F63">
        <w:rPr>
          <w:rFonts w:eastAsia="EucrosiaUPC"/>
          <w:color w:val="000000"/>
          <w:sz w:val="28"/>
          <w:szCs w:val="28"/>
          <w:u w:color="000000"/>
          <w:lang w:bidi="th-TH"/>
        </w:rPr>
        <w:t>ing</w:t>
      </w:r>
      <w:r w:rsidRPr="00FB034B">
        <w:rPr>
          <w:rFonts w:eastAsia="EucrosiaUPC"/>
          <w:color w:val="000000"/>
          <w:sz w:val="28"/>
          <w:szCs w:val="28"/>
          <w:u w:color="000000"/>
          <w:lang w:bidi="th-TH"/>
        </w:rPr>
        <w:t xml:space="preserve"> into account national circumstance</w:t>
      </w:r>
      <w:r w:rsidR="00BD2965" w:rsidRPr="00FB034B">
        <w:rPr>
          <w:rFonts w:eastAsia="EucrosiaUPC"/>
          <w:color w:val="000000"/>
          <w:sz w:val="28"/>
          <w:szCs w:val="28"/>
          <w:u w:color="000000"/>
          <w:lang w:bidi="th-TH"/>
        </w:rPr>
        <w:t xml:space="preserve">, </w:t>
      </w:r>
      <w:r w:rsidRPr="00FB034B">
        <w:rPr>
          <w:rFonts w:eastAsia="EucrosiaUPC"/>
          <w:color w:val="000000"/>
          <w:sz w:val="28"/>
          <w:szCs w:val="28"/>
          <w:u w:color="000000"/>
          <w:lang w:bidi="th-TH"/>
        </w:rPr>
        <w:t>socio-</w:t>
      </w:r>
      <w:r w:rsidR="00BD2965" w:rsidRPr="00FB034B">
        <w:rPr>
          <w:rFonts w:eastAsia="EucrosiaUPC"/>
          <w:color w:val="000000"/>
          <w:sz w:val="28"/>
          <w:szCs w:val="28"/>
          <w:u w:color="000000"/>
          <w:lang w:bidi="th-TH"/>
        </w:rPr>
        <w:t xml:space="preserve">economic and </w:t>
      </w:r>
      <w:r w:rsidRPr="00FB034B">
        <w:rPr>
          <w:rFonts w:eastAsia="EucrosiaUPC"/>
          <w:color w:val="000000"/>
          <w:sz w:val="28"/>
          <w:szCs w:val="28"/>
          <w:u w:color="000000"/>
          <w:lang w:bidi="th-TH"/>
        </w:rPr>
        <w:t xml:space="preserve">cultural contexts. </w:t>
      </w:r>
    </w:p>
    <w:p w:rsidR="00010DF0" w:rsidRPr="00010DF0" w:rsidRDefault="00010DF0" w:rsidP="00D75EDA">
      <w:pPr>
        <w:spacing w:before="120"/>
        <w:ind w:firstLine="720"/>
        <w:jc w:val="both"/>
        <w:rPr>
          <w:rFonts w:eastAsia="Times New Roman"/>
          <w:color w:val="000000"/>
          <w:sz w:val="28"/>
          <w:szCs w:val="28"/>
          <w:u w:color="000000"/>
          <w:lang w:bidi="th-TH"/>
        </w:rPr>
      </w:pPr>
      <w:r w:rsidRPr="00010DF0">
        <w:rPr>
          <w:rFonts w:eastAsia="EucrosiaUPC"/>
          <w:color w:val="000000"/>
          <w:sz w:val="28"/>
          <w:szCs w:val="28"/>
          <w:u w:color="000000"/>
          <w:lang w:bidi="th-TH"/>
        </w:rPr>
        <w:t>Mitigation and adaptation efforts require adequate and predictable support.</w:t>
      </w:r>
      <w:r w:rsidR="001037A0">
        <w:rPr>
          <w:rFonts w:eastAsia="EucrosiaUPC"/>
          <w:color w:val="000000"/>
          <w:sz w:val="28"/>
          <w:szCs w:val="28"/>
          <w:u w:color="000000"/>
          <w:lang w:bidi="th-TH"/>
        </w:rPr>
        <w:t xml:space="preserve"> </w:t>
      </w:r>
      <w:r w:rsidRPr="00010DF0">
        <w:rPr>
          <w:rFonts w:eastAsia="EucrosiaUPC"/>
          <w:color w:val="000000"/>
          <w:sz w:val="28"/>
          <w:szCs w:val="28"/>
          <w:u w:color="000000"/>
          <w:lang w:bidi="th-TH"/>
        </w:rPr>
        <w:t xml:space="preserve">We must deliver on the promise. </w:t>
      </w:r>
      <w:r w:rsidR="002F27B8">
        <w:rPr>
          <w:rFonts w:eastAsia="EucrosiaUPC"/>
          <w:color w:val="000000"/>
          <w:sz w:val="28"/>
          <w:szCs w:val="28"/>
          <w:u w:color="000000"/>
          <w:lang w:bidi="th-TH"/>
        </w:rPr>
        <w:t>Adequate, p</w:t>
      </w:r>
      <w:r w:rsidRPr="00010DF0">
        <w:rPr>
          <w:rFonts w:eastAsia="EucrosiaUPC"/>
          <w:color w:val="000000"/>
          <w:sz w:val="28"/>
          <w:szCs w:val="28"/>
          <w:u w:color="000000"/>
          <w:lang w:bidi="th-TH"/>
        </w:rPr>
        <w:t xml:space="preserve">redictable, </w:t>
      </w:r>
      <w:r w:rsidR="002F27B8">
        <w:rPr>
          <w:rFonts w:eastAsia="EucrosiaUPC"/>
          <w:color w:val="000000"/>
          <w:sz w:val="28"/>
          <w:szCs w:val="28"/>
          <w:u w:color="000000"/>
          <w:lang w:bidi="th-TH"/>
        </w:rPr>
        <w:t xml:space="preserve">and </w:t>
      </w:r>
      <w:r w:rsidRPr="00010DF0">
        <w:rPr>
          <w:rFonts w:eastAsia="EucrosiaUPC"/>
          <w:color w:val="000000"/>
          <w:sz w:val="28"/>
          <w:szCs w:val="28"/>
          <w:u w:color="000000"/>
          <w:lang w:bidi="th-TH"/>
        </w:rPr>
        <w:t>continuous climate finance is essential for climate actions. Support should respon</w:t>
      </w:r>
      <w:r w:rsidR="00761B4B">
        <w:rPr>
          <w:rFonts w:eastAsia="EucrosiaUPC"/>
          <w:color w:val="000000"/>
          <w:sz w:val="28"/>
          <w:szCs w:val="28"/>
          <w:u w:color="000000"/>
          <w:lang w:bidi="th-TH"/>
        </w:rPr>
        <w:t>d</w:t>
      </w:r>
      <w:r w:rsidRPr="00010DF0">
        <w:rPr>
          <w:rFonts w:eastAsia="EucrosiaUPC"/>
          <w:color w:val="000000"/>
          <w:sz w:val="28"/>
          <w:szCs w:val="28"/>
          <w:u w:color="000000"/>
          <w:lang w:bidi="th-TH"/>
        </w:rPr>
        <w:t xml:space="preserve"> to the needs and priorities of recipient countries with an equal focus on mitigation and ada</w:t>
      </w:r>
      <w:r w:rsidR="001037A0">
        <w:rPr>
          <w:rFonts w:eastAsia="EucrosiaUPC"/>
          <w:color w:val="000000"/>
          <w:sz w:val="28"/>
          <w:szCs w:val="28"/>
          <w:u w:color="000000"/>
          <w:lang w:bidi="th-TH"/>
        </w:rPr>
        <w:t>p</w:t>
      </w:r>
      <w:r w:rsidRPr="00010DF0">
        <w:rPr>
          <w:rFonts w:eastAsia="EucrosiaUPC"/>
          <w:color w:val="000000"/>
          <w:sz w:val="28"/>
          <w:szCs w:val="28"/>
          <w:u w:color="000000"/>
          <w:lang w:bidi="th-TH"/>
        </w:rPr>
        <w:t>tation efforts.</w:t>
      </w:r>
    </w:p>
    <w:p w:rsidR="00010DF0" w:rsidRPr="00D75EDA" w:rsidRDefault="00010DF0" w:rsidP="003B41A0">
      <w:pPr>
        <w:spacing w:before="120"/>
        <w:jc w:val="both"/>
        <w:rPr>
          <w:rFonts w:eastAsia="Times New Roman"/>
          <w:b/>
          <w:bCs/>
          <w:color w:val="000000"/>
          <w:sz w:val="28"/>
          <w:szCs w:val="28"/>
          <w:lang w:bidi="th-TH"/>
        </w:rPr>
      </w:pPr>
      <w:r w:rsidRPr="00D75EDA">
        <w:rPr>
          <w:rFonts w:eastAsia="EucrosiaUPC"/>
          <w:b/>
          <w:bCs/>
          <w:color w:val="000000"/>
          <w:sz w:val="28"/>
          <w:szCs w:val="28"/>
          <w:lang w:bidi="th-TH"/>
        </w:rPr>
        <w:t>At a national level</w:t>
      </w:r>
    </w:p>
    <w:p w:rsidR="00010DF0" w:rsidRPr="008429AD" w:rsidRDefault="00010DF0" w:rsidP="00D75EDA">
      <w:pPr>
        <w:spacing w:before="120"/>
        <w:ind w:firstLine="720"/>
        <w:jc w:val="both"/>
        <w:rPr>
          <w:rFonts w:eastAsia="Times New Roman"/>
          <w:color w:val="000000"/>
          <w:sz w:val="28"/>
          <w:szCs w:val="28"/>
          <w:u w:color="000000"/>
          <w:lang w:bidi="th-TH"/>
        </w:rPr>
      </w:pPr>
      <w:r w:rsidRPr="008429AD">
        <w:rPr>
          <w:rFonts w:eastAsia="EucrosiaUPC"/>
          <w:color w:val="000000"/>
          <w:sz w:val="28"/>
          <w:szCs w:val="28"/>
          <w:u w:color="000000"/>
          <w:lang w:bidi="th-TH"/>
        </w:rPr>
        <w:t xml:space="preserve">As a short-term target, Thailand has pledged to reduce its greenhouse gas emissions by 20% to 25% by 2030.  We have launched the Thailand’s Nationally </w:t>
      </w:r>
      <w:r w:rsidR="00761B4B" w:rsidRPr="008429AD">
        <w:rPr>
          <w:rFonts w:eastAsia="EucrosiaUPC"/>
          <w:color w:val="000000"/>
          <w:sz w:val="28"/>
          <w:szCs w:val="28"/>
          <w:u w:color="000000"/>
          <w:lang w:bidi="th-TH"/>
        </w:rPr>
        <w:t xml:space="preserve">Determined </w:t>
      </w:r>
      <w:r w:rsidRPr="008429AD">
        <w:rPr>
          <w:rFonts w:eastAsia="EucrosiaUPC"/>
          <w:color w:val="000000"/>
          <w:sz w:val="28"/>
          <w:szCs w:val="28"/>
          <w:u w:color="000000"/>
          <w:lang w:bidi="th-TH"/>
        </w:rPr>
        <w:t xml:space="preserve">Contribution </w:t>
      </w:r>
      <w:r w:rsidR="00761B4B" w:rsidRPr="008429AD">
        <w:rPr>
          <w:rFonts w:eastAsia="EucrosiaUPC"/>
          <w:color w:val="000000"/>
          <w:sz w:val="28"/>
          <w:szCs w:val="28"/>
          <w:u w:color="000000"/>
          <w:lang w:bidi="th-TH"/>
        </w:rPr>
        <w:t xml:space="preserve">(NDC) </w:t>
      </w:r>
      <w:r w:rsidRPr="008429AD">
        <w:rPr>
          <w:rFonts w:eastAsia="EucrosiaUPC"/>
          <w:color w:val="000000"/>
          <w:sz w:val="28"/>
          <w:szCs w:val="28"/>
          <w:u w:color="000000"/>
          <w:lang w:bidi="th-TH"/>
        </w:rPr>
        <w:t xml:space="preserve">Roadmap on Mitigation 2021-2030 since May 2017 to ensure our policies are on track to meet our 2030 targets. </w:t>
      </w:r>
    </w:p>
    <w:p w:rsidR="00010DF0" w:rsidRPr="008429AD" w:rsidRDefault="00010DF0" w:rsidP="00D75EDA">
      <w:pPr>
        <w:spacing w:before="120"/>
        <w:ind w:firstLine="720"/>
        <w:jc w:val="both"/>
        <w:rPr>
          <w:rFonts w:eastAsia="Times New Roman"/>
          <w:color w:val="000000"/>
          <w:sz w:val="28"/>
          <w:szCs w:val="28"/>
          <w:u w:color="000000"/>
          <w:lang w:bidi="th-TH"/>
        </w:rPr>
      </w:pPr>
      <w:r w:rsidRPr="008429AD">
        <w:rPr>
          <w:rFonts w:eastAsia="EucrosiaUPC"/>
          <w:color w:val="000000"/>
          <w:sz w:val="28"/>
          <w:szCs w:val="28"/>
          <w:u w:color="000000"/>
          <w:lang w:bidi="th-TH"/>
        </w:rPr>
        <w:t xml:space="preserve">Thailand also strives to move towards climate-resilient development pathway.  We are developing Thailand’s first National Adaptation Plan (NAP) which will guide the implementation of our adaptation NDC in various sectors, including water management, agriculture, </w:t>
      </w:r>
      <w:r w:rsidR="00D5389A" w:rsidRPr="008429AD">
        <w:rPr>
          <w:rFonts w:eastAsia="EucrosiaUPC"/>
          <w:color w:val="000000"/>
          <w:sz w:val="28"/>
          <w:szCs w:val="28"/>
          <w:u w:color="000000"/>
          <w:lang w:bidi="th-TH"/>
        </w:rPr>
        <w:t xml:space="preserve">natural resources management, tourism, </w:t>
      </w:r>
      <w:r w:rsidRPr="008429AD">
        <w:rPr>
          <w:rFonts w:eastAsia="EucrosiaUPC"/>
          <w:color w:val="000000"/>
          <w:sz w:val="28"/>
          <w:szCs w:val="28"/>
          <w:u w:color="000000"/>
          <w:lang w:bidi="th-TH"/>
        </w:rPr>
        <w:t>public health and human settlement.</w:t>
      </w:r>
    </w:p>
    <w:p w:rsidR="004121BA" w:rsidRDefault="004121BA" w:rsidP="003D60C0">
      <w:pPr>
        <w:jc w:val="both"/>
        <w:rPr>
          <w:rFonts w:eastAsia="EucrosiaUPC"/>
          <w:color w:val="000000"/>
          <w:sz w:val="28"/>
          <w:szCs w:val="28"/>
          <w:u w:color="000000"/>
          <w:lang w:bidi="th-TH"/>
        </w:rPr>
      </w:pPr>
    </w:p>
    <w:p w:rsidR="003B41A0" w:rsidRDefault="003B41A0">
      <w:pPr>
        <w:rPr>
          <w:rFonts w:eastAsia="EucrosiaUPC"/>
          <w:b/>
          <w:bCs/>
          <w:color w:val="000000"/>
          <w:sz w:val="32"/>
          <w:szCs w:val="32"/>
          <w:u w:color="000000"/>
          <w:lang w:bidi="th-TH"/>
        </w:rPr>
      </w:pPr>
      <w:r>
        <w:rPr>
          <w:rFonts w:eastAsia="EucrosiaUPC"/>
          <w:b/>
          <w:bCs/>
          <w:color w:val="000000"/>
          <w:sz w:val="32"/>
          <w:szCs w:val="32"/>
          <w:u w:color="000000"/>
          <w:lang w:bidi="th-TH"/>
        </w:rPr>
        <w:br w:type="page"/>
      </w:r>
    </w:p>
    <w:p w:rsidR="004121BA" w:rsidRPr="003D60C0" w:rsidRDefault="000259FF" w:rsidP="003D60C0">
      <w:pPr>
        <w:jc w:val="both"/>
        <w:rPr>
          <w:rFonts w:eastAsia="EucrosiaUPC"/>
          <w:b/>
          <w:bCs/>
          <w:color w:val="000000"/>
          <w:sz w:val="32"/>
          <w:szCs w:val="32"/>
          <w:u w:color="000000"/>
          <w:lang w:bidi="th-TH"/>
        </w:rPr>
      </w:pPr>
      <w:r>
        <w:rPr>
          <w:rFonts w:eastAsia="EucrosiaUPC"/>
          <w:b/>
          <w:bCs/>
          <w:color w:val="000000"/>
          <w:sz w:val="32"/>
          <w:szCs w:val="32"/>
          <w:u w:color="000000"/>
          <w:lang w:bidi="th-TH"/>
        </w:rPr>
        <w:lastRenderedPageBreak/>
        <w:t xml:space="preserve">3. </w:t>
      </w:r>
      <w:r w:rsidR="004121BA" w:rsidRPr="003D60C0">
        <w:rPr>
          <w:rFonts w:eastAsia="EucrosiaUPC"/>
          <w:b/>
          <w:bCs/>
          <w:color w:val="000000"/>
          <w:sz w:val="32"/>
          <w:szCs w:val="32"/>
          <w:u w:color="000000"/>
          <w:lang w:bidi="th-TH"/>
        </w:rPr>
        <w:t>How do we get there?</w:t>
      </w:r>
    </w:p>
    <w:p w:rsidR="004121BA" w:rsidRPr="001322E3" w:rsidRDefault="004121BA" w:rsidP="00D75EDA">
      <w:pPr>
        <w:spacing w:before="120"/>
        <w:ind w:firstLine="720"/>
        <w:jc w:val="both"/>
        <w:rPr>
          <w:sz w:val="28"/>
          <w:szCs w:val="28"/>
          <w:u w:color="000000"/>
        </w:rPr>
      </w:pPr>
      <w:r w:rsidRPr="00DC5C4C">
        <w:rPr>
          <w:b/>
          <w:bCs/>
          <w:sz w:val="28"/>
          <w:szCs w:val="28"/>
          <w:u w:color="000000"/>
        </w:rPr>
        <w:t>We need to accelerate the transformation to low greenhouse gas emission and climate resilient development.</w:t>
      </w:r>
      <w:r w:rsidRPr="001322E3">
        <w:rPr>
          <w:sz w:val="28"/>
          <w:szCs w:val="28"/>
          <w:u w:color="000000"/>
        </w:rPr>
        <w:t xml:space="preserve"> This transformation is cross-sectoral by nature, and we need structural changes in different sectors (e.g. economy, energy, finance, technology, etc.) at both global and national levels. </w:t>
      </w:r>
    </w:p>
    <w:p w:rsidR="004121BA" w:rsidRPr="001322E3" w:rsidRDefault="004121BA" w:rsidP="00D75EDA">
      <w:pPr>
        <w:spacing w:before="120"/>
        <w:ind w:firstLine="720"/>
        <w:jc w:val="both"/>
        <w:rPr>
          <w:rFonts w:eastAsia="EucrosiaUPC"/>
          <w:color w:val="000000"/>
          <w:sz w:val="28"/>
          <w:szCs w:val="28"/>
          <w:u w:color="000000"/>
          <w:lang w:bidi="th-TH"/>
        </w:rPr>
      </w:pPr>
      <w:r w:rsidRPr="000259FF">
        <w:rPr>
          <w:rFonts w:eastAsia="EucrosiaUPC"/>
          <w:b/>
          <w:bCs/>
          <w:color w:val="000000"/>
          <w:sz w:val="28"/>
          <w:szCs w:val="28"/>
          <w:u w:color="000000"/>
          <w:lang w:bidi="th-TH"/>
        </w:rPr>
        <w:t>We need to consider the synergies between climate action and sustainable development.</w:t>
      </w:r>
      <w:r w:rsidRPr="001322E3">
        <w:rPr>
          <w:rFonts w:eastAsia="EucrosiaUPC"/>
          <w:color w:val="000000"/>
          <w:sz w:val="28"/>
          <w:szCs w:val="28"/>
          <w:u w:color="000000"/>
          <w:lang w:bidi="th-TH"/>
        </w:rPr>
        <w:t xml:space="preserve"> Combatting climate change is intrinsically linked to our efforts toward achieving Sustainable Development Goals. Hence, pursuing climate action and SDGs in an integrated and coherent manner can enable countries to achieve their objective</w:t>
      </w:r>
      <w:r w:rsidR="000259FF">
        <w:rPr>
          <w:rFonts w:eastAsia="EucrosiaUPC"/>
          <w:color w:val="000000"/>
          <w:sz w:val="28"/>
          <w:szCs w:val="28"/>
          <w:u w:color="000000"/>
          <w:lang w:bidi="th-TH"/>
        </w:rPr>
        <w:t>s</w:t>
      </w:r>
      <w:r w:rsidRPr="001322E3">
        <w:rPr>
          <w:rFonts w:eastAsia="EucrosiaUPC"/>
          <w:color w:val="000000"/>
          <w:sz w:val="28"/>
          <w:szCs w:val="28"/>
          <w:u w:color="000000"/>
          <w:lang w:bidi="th-TH"/>
        </w:rPr>
        <w:t xml:space="preserve"> under the Paris Agreement and the 2030 Agenda for Sustainable Development.</w:t>
      </w:r>
    </w:p>
    <w:p w:rsidR="004121BA" w:rsidRPr="001322E3" w:rsidRDefault="004121BA" w:rsidP="00D75EDA">
      <w:pPr>
        <w:spacing w:before="120"/>
        <w:ind w:firstLine="720"/>
        <w:jc w:val="both"/>
        <w:rPr>
          <w:rFonts w:eastAsia="EucrosiaUPC"/>
          <w:color w:val="000000"/>
          <w:sz w:val="28"/>
          <w:szCs w:val="28"/>
          <w:u w:color="000000"/>
          <w:lang w:bidi="th-TH"/>
        </w:rPr>
      </w:pPr>
      <w:r w:rsidRPr="000259FF">
        <w:rPr>
          <w:rFonts w:eastAsia="EucrosiaUPC"/>
          <w:b/>
          <w:bCs/>
          <w:color w:val="000000"/>
          <w:sz w:val="28"/>
          <w:szCs w:val="28"/>
          <w:u w:color="000000"/>
          <w:lang w:bidi="th-TH"/>
        </w:rPr>
        <w:t xml:space="preserve">Adequate means of implementation need to be provided to developing countries to enable them to enhance their mitigation and adaptation actions. </w:t>
      </w:r>
      <w:r w:rsidRPr="001322E3">
        <w:rPr>
          <w:rFonts w:eastAsia="EucrosiaUPC"/>
          <w:color w:val="000000"/>
          <w:sz w:val="28"/>
          <w:szCs w:val="28"/>
          <w:u w:color="000000"/>
          <w:lang w:bidi="th-TH"/>
        </w:rPr>
        <w:t xml:space="preserve">Inadequate resources continue to hinder developing countries’ efforts to </w:t>
      </w:r>
      <w:r w:rsidR="003E54B1">
        <w:rPr>
          <w:rFonts w:eastAsia="EucrosiaUPC"/>
          <w:color w:val="000000"/>
          <w:sz w:val="28"/>
          <w:szCs w:val="28"/>
          <w:u w:color="000000"/>
          <w:lang w:bidi="th-TH"/>
        </w:rPr>
        <w:t xml:space="preserve">achieve </w:t>
      </w:r>
      <w:r w:rsidRPr="001322E3">
        <w:rPr>
          <w:rFonts w:eastAsia="EucrosiaUPC"/>
          <w:color w:val="000000"/>
          <w:sz w:val="28"/>
          <w:szCs w:val="28"/>
          <w:u w:color="000000"/>
          <w:lang w:bidi="th-TH"/>
        </w:rPr>
        <w:t>their climate targets.  Based on Thailand’s experience in developing and implementing NAMAs and in developing NDC, we have identified a range of gaps and needs, such as (1) capacity-building for data collection system and MRV</w:t>
      </w:r>
      <w:r w:rsidR="009D7772" w:rsidRPr="001322E3">
        <w:rPr>
          <w:rFonts w:eastAsia="EucrosiaUPC"/>
          <w:color w:val="000000"/>
          <w:sz w:val="28"/>
          <w:szCs w:val="28"/>
          <w:u w:color="000000"/>
          <w:lang w:bidi="th-TH"/>
        </w:rPr>
        <w:t xml:space="preserve"> and M&amp;E</w:t>
      </w:r>
      <w:r w:rsidRPr="001322E3">
        <w:rPr>
          <w:rFonts w:eastAsia="EucrosiaUPC"/>
          <w:color w:val="000000"/>
          <w:sz w:val="28"/>
          <w:szCs w:val="28"/>
          <w:u w:color="000000"/>
          <w:lang w:bidi="th-TH"/>
        </w:rPr>
        <w:t xml:space="preserve"> </w:t>
      </w:r>
      <w:r w:rsidR="00F03F32" w:rsidRPr="001322E3">
        <w:rPr>
          <w:rFonts w:eastAsia="EucrosiaUPC"/>
          <w:color w:val="000000"/>
          <w:sz w:val="28"/>
          <w:szCs w:val="28"/>
          <w:u w:color="000000"/>
          <w:lang w:bidi="th-TH"/>
        </w:rPr>
        <w:t xml:space="preserve">(Monitoring and Evaluation) </w:t>
      </w:r>
      <w:r w:rsidRPr="001322E3">
        <w:rPr>
          <w:rFonts w:eastAsia="EucrosiaUPC"/>
          <w:color w:val="000000"/>
          <w:sz w:val="28"/>
          <w:szCs w:val="28"/>
          <w:u w:color="000000"/>
          <w:lang w:bidi="th-TH"/>
        </w:rPr>
        <w:t>system</w:t>
      </w:r>
      <w:r w:rsidR="009D7772" w:rsidRPr="001322E3">
        <w:rPr>
          <w:rFonts w:eastAsia="EucrosiaUPC"/>
          <w:color w:val="000000"/>
          <w:sz w:val="28"/>
          <w:szCs w:val="28"/>
          <w:u w:color="000000"/>
          <w:lang w:bidi="th-TH"/>
        </w:rPr>
        <w:t>s</w:t>
      </w:r>
      <w:r w:rsidRPr="001322E3">
        <w:rPr>
          <w:rFonts w:eastAsia="EucrosiaUPC"/>
          <w:color w:val="000000"/>
          <w:sz w:val="28"/>
          <w:szCs w:val="28"/>
          <w:u w:color="000000"/>
          <w:lang w:bidi="th-TH"/>
        </w:rPr>
        <w:t xml:space="preserve">; (2) research &amp; development to serve as a knowledge base for climate policy development; (3) technical expertise </w:t>
      </w:r>
      <w:r w:rsidR="000806AC" w:rsidRPr="001322E3">
        <w:rPr>
          <w:rFonts w:eastAsia="EucrosiaUPC"/>
          <w:color w:val="000000"/>
          <w:sz w:val="28"/>
          <w:szCs w:val="28"/>
          <w:u w:color="000000"/>
          <w:lang w:bidi="th-TH"/>
        </w:rPr>
        <w:t xml:space="preserve">and technology needs </w:t>
      </w:r>
      <w:r w:rsidRPr="001322E3">
        <w:rPr>
          <w:rFonts w:eastAsia="EucrosiaUPC"/>
          <w:color w:val="000000"/>
          <w:sz w:val="28"/>
          <w:szCs w:val="28"/>
          <w:u w:color="000000"/>
          <w:lang w:bidi="th-TH"/>
        </w:rPr>
        <w:t>in both mitigation and adaptation issues which require interdisciplinary approaches; and (4) capacity building for just transition of the work force.</w:t>
      </w:r>
    </w:p>
    <w:p w:rsidR="003E08FD" w:rsidRDefault="004121BA" w:rsidP="00D75EDA">
      <w:pPr>
        <w:spacing w:before="120"/>
        <w:ind w:firstLine="720"/>
        <w:jc w:val="both"/>
        <w:rPr>
          <w:rFonts w:eastAsia="EucrosiaUPC"/>
          <w:color w:val="000000"/>
          <w:sz w:val="28"/>
          <w:szCs w:val="28"/>
          <w:u w:color="000000"/>
          <w:lang w:bidi="th-TH"/>
        </w:rPr>
      </w:pPr>
      <w:r w:rsidRPr="00CD0725">
        <w:rPr>
          <w:rFonts w:eastAsia="EucrosiaUPC"/>
          <w:b/>
          <w:bCs/>
          <w:color w:val="000000"/>
          <w:sz w:val="28"/>
          <w:szCs w:val="28"/>
          <w:u w:color="000000"/>
          <w:lang w:bidi="th-TH"/>
        </w:rPr>
        <w:t>We must empower our people.</w:t>
      </w:r>
      <w:r w:rsidRPr="001322E3">
        <w:rPr>
          <w:rFonts w:eastAsia="EucrosiaUPC"/>
          <w:color w:val="000000"/>
          <w:sz w:val="28"/>
          <w:szCs w:val="28"/>
          <w:u w:color="000000"/>
          <w:lang w:bidi="th-TH"/>
        </w:rPr>
        <w:t xml:space="preserve"> Once people are properly empowered, they will be able to start changing from within. Shifting to sustainable consumption can start at individual level, and can serve as a stepping stone towards low emission and climate resilient development. Adverse impacts of climate change bring uncertainties and risks, hence, we must work to ensure that our communities have self-immunity and resilience to cope with those risk. These actions are in line with the Sufficiency Economy Philosophy (SEP) which has guided Thailand’s development policies over the past two decades and has been our home-grown approach to guide the country towards the implementation of the 2030 Agenda for Sustainable Development.</w:t>
      </w:r>
    </w:p>
    <w:p w:rsidR="00CD0725" w:rsidRDefault="00CD0725" w:rsidP="00D75EDA">
      <w:pPr>
        <w:spacing w:before="120"/>
        <w:ind w:firstLine="720"/>
        <w:jc w:val="both"/>
        <w:rPr>
          <w:rFonts w:eastAsia="EucrosiaUPC"/>
          <w:color w:val="000000"/>
          <w:sz w:val="28"/>
          <w:szCs w:val="28"/>
          <w:u w:color="000000"/>
          <w:lang w:bidi="th-TH"/>
        </w:rPr>
      </w:pPr>
      <w:r>
        <w:rPr>
          <w:rFonts w:eastAsia="EucrosiaUPC"/>
          <w:color w:val="000000"/>
          <w:sz w:val="28"/>
          <w:szCs w:val="28"/>
          <w:u w:color="000000"/>
          <w:lang w:bidi="th-TH"/>
        </w:rPr>
        <w:t>The SEP, which was initiated and advocated by the late King Bhumibol Adul</w:t>
      </w:r>
      <w:r w:rsidR="00DC5C4C">
        <w:rPr>
          <w:rFonts w:eastAsia="EucrosiaUPC"/>
          <w:color w:val="000000"/>
          <w:sz w:val="28"/>
          <w:szCs w:val="28"/>
          <w:u w:color="000000"/>
          <w:lang w:bidi="th-TH"/>
        </w:rPr>
        <w:t>y</w:t>
      </w:r>
      <w:r>
        <w:rPr>
          <w:rFonts w:eastAsia="EucrosiaUPC"/>
          <w:color w:val="000000"/>
          <w:sz w:val="28"/>
          <w:szCs w:val="28"/>
          <w:u w:color="000000"/>
          <w:lang w:bidi="th-TH"/>
        </w:rPr>
        <w:t xml:space="preserve">adej, is not to be confused with the concept of self-sufficiency, as the SEP stresses moderation, sustainability, appropriate </w:t>
      </w:r>
      <w:r w:rsidR="00A57021">
        <w:rPr>
          <w:rFonts w:eastAsia="EucrosiaUPC"/>
          <w:color w:val="000000"/>
          <w:sz w:val="28"/>
          <w:szCs w:val="28"/>
          <w:u w:color="000000"/>
          <w:lang w:bidi="th-TH"/>
        </w:rPr>
        <w:t xml:space="preserve">technology, </w:t>
      </w:r>
      <w:r w:rsidR="00513897">
        <w:rPr>
          <w:rFonts w:eastAsia="EucrosiaUPC"/>
          <w:color w:val="000000"/>
          <w:sz w:val="28"/>
          <w:szCs w:val="28"/>
          <w:u w:color="000000"/>
          <w:lang w:bidi="th-TH"/>
        </w:rPr>
        <w:t>careful risk management, immunity from eco</w:t>
      </w:r>
      <w:r w:rsidR="00135036">
        <w:rPr>
          <w:rFonts w:eastAsia="EucrosiaUPC"/>
          <w:color w:val="000000"/>
          <w:sz w:val="28"/>
          <w:szCs w:val="28"/>
          <w:u w:color="000000"/>
          <w:lang w:bidi="th-TH"/>
        </w:rPr>
        <w:t>nomic shocks, and flexibility with special emphasis on inclusive decision-making, care for the environment, and the well-being of people.</w:t>
      </w:r>
    </w:p>
    <w:p w:rsidR="003B41A0" w:rsidRDefault="003B41A0">
      <w:pPr>
        <w:rPr>
          <w:rFonts w:eastAsia="EucrosiaUPC"/>
          <w:color w:val="000000"/>
          <w:sz w:val="28"/>
          <w:szCs w:val="28"/>
          <w:u w:color="000000"/>
          <w:lang w:bidi="th-TH"/>
        </w:rPr>
      </w:pPr>
      <w:r>
        <w:rPr>
          <w:rFonts w:eastAsia="EucrosiaUPC"/>
          <w:color w:val="000000"/>
          <w:sz w:val="28"/>
          <w:szCs w:val="28"/>
          <w:u w:color="000000"/>
          <w:lang w:bidi="th-TH"/>
        </w:rPr>
        <w:br w:type="page"/>
      </w:r>
    </w:p>
    <w:p w:rsidR="00F0010A" w:rsidRPr="001322E3" w:rsidRDefault="00F0010A" w:rsidP="00D75EDA">
      <w:pPr>
        <w:spacing w:before="120"/>
        <w:ind w:firstLine="720"/>
        <w:jc w:val="both"/>
        <w:rPr>
          <w:rFonts w:eastAsia="EucrosiaUPC"/>
          <w:color w:val="000000"/>
          <w:sz w:val="28"/>
          <w:szCs w:val="28"/>
          <w:u w:color="000000"/>
          <w:lang w:bidi="th-TH"/>
        </w:rPr>
      </w:pPr>
      <w:r w:rsidRPr="001322E3">
        <w:rPr>
          <w:rFonts w:eastAsia="EucrosiaUPC"/>
          <w:color w:val="000000"/>
          <w:sz w:val="28"/>
          <w:szCs w:val="28"/>
          <w:u w:color="000000"/>
          <w:lang w:bidi="th-TH"/>
        </w:rPr>
        <w:lastRenderedPageBreak/>
        <w:t xml:space="preserve">In this regard, Thailand believes that SEP can be our indirect contribution to others as a model for sustainable development that emphasize cultivating a sustainable mindset and creating balance among the three dimensions of life (eg. economic, social and environmental). Currently, we have already carried out the “SEP for SDGs partnership” projects in more than 10 countries with many more in the pipeline (Lesotho, Cambodia, Timor-Leste, Chile, Lao PDR, Tonga, Fiji, Sri Lanka, Benin, Comoros, Bangladesh, Myanmar, Solomon Islands, </w:t>
      </w:r>
      <w:r w:rsidR="00135036">
        <w:rPr>
          <w:rFonts w:eastAsia="EucrosiaUPC"/>
          <w:color w:val="000000"/>
          <w:sz w:val="28"/>
          <w:szCs w:val="28"/>
          <w:u w:color="000000"/>
          <w:lang w:bidi="th-TH"/>
        </w:rPr>
        <w:t xml:space="preserve">and the </w:t>
      </w:r>
      <w:r w:rsidRPr="001322E3">
        <w:rPr>
          <w:rFonts w:eastAsia="EucrosiaUPC"/>
          <w:color w:val="000000"/>
          <w:sz w:val="28"/>
          <w:szCs w:val="28"/>
          <w:u w:color="000000"/>
          <w:lang w:bidi="th-TH"/>
        </w:rPr>
        <w:t>Philippines)</w:t>
      </w:r>
    </w:p>
    <w:p w:rsidR="004121BA" w:rsidRPr="001322E3" w:rsidRDefault="004121BA" w:rsidP="00F0010A">
      <w:pPr>
        <w:ind w:left="274"/>
        <w:jc w:val="both"/>
        <w:rPr>
          <w:rFonts w:eastAsia="EucrosiaUPC"/>
          <w:color w:val="000000"/>
          <w:sz w:val="28"/>
          <w:szCs w:val="28"/>
          <w:u w:color="000000"/>
          <w:lang w:bidi="th-TH"/>
        </w:rPr>
      </w:pPr>
    </w:p>
    <w:sectPr w:rsidR="004121BA" w:rsidRPr="001322E3" w:rsidSect="00382564">
      <w:footerReference w:type="default" r:id="rId7"/>
      <w:pgSz w:w="11900" w:h="16840"/>
      <w:pgMar w:top="1440" w:right="1440" w:bottom="810" w:left="1440" w:header="709"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AFA" w:rsidRDefault="00680AFA">
      <w:r>
        <w:separator/>
      </w:r>
    </w:p>
  </w:endnote>
  <w:endnote w:type="continuationSeparator" w:id="0">
    <w:p w:rsidR="00680AFA" w:rsidRDefault="0068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Helvetica Neue">
    <w:altName w:val="Arial"/>
    <w:charset w:val="00"/>
    <w:family w:val="roman"/>
    <w:pitch w:val="default"/>
  </w:font>
  <w:font w:name="EucrosiaUPC">
    <w:panose1 w:val="02020603050405020304"/>
    <w:charset w:val="00"/>
    <w:family w:val="roman"/>
    <w:pitch w:val="variable"/>
    <w:sig w:usb0="81000027" w:usb1="00000002"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820011"/>
      <w:docPartObj>
        <w:docPartGallery w:val="Page Numbers (Bottom of Page)"/>
        <w:docPartUnique/>
      </w:docPartObj>
    </w:sdtPr>
    <w:sdtEndPr/>
    <w:sdtContent>
      <w:p w:rsidR="00697053" w:rsidRDefault="00697053">
        <w:pPr>
          <w:pStyle w:val="Footer"/>
          <w:jc w:val="center"/>
        </w:pPr>
        <w:r>
          <w:fldChar w:fldCharType="begin"/>
        </w:r>
        <w:r>
          <w:instrText xml:space="preserve"> PAGE   \* MERGEFORMAT </w:instrText>
        </w:r>
        <w:r>
          <w:fldChar w:fldCharType="separate"/>
        </w:r>
        <w:r w:rsidR="005E52EA">
          <w:rPr>
            <w:noProof/>
          </w:rPr>
          <w:t>2</w:t>
        </w:r>
        <w:r>
          <w:rPr>
            <w:noProof/>
          </w:rPr>
          <w:fldChar w:fldCharType="end"/>
        </w:r>
      </w:p>
    </w:sdtContent>
  </w:sdt>
  <w:p w:rsidR="00331C21" w:rsidRDefault="00331C21">
    <w:pPr>
      <w:pStyle w:val="Footer"/>
      <w:tabs>
        <w:tab w:val="clear" w:pos="9026"/>
        <w:tab w:val="right" w:pos="90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AFA" w:rsidRDefault="00680AFA">
      <w:r>
        <w:separator/>
      </w:r>
    </w:p>
  </w:footnote>
  <w:footnote w:type="continuationSeparator" w:id="0">
    <w:p w:rsidR="00680AFA" w:rsidRDefault="00680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E08B2"/>
    <w:multiLevelType w:val="hybridMultilevel"/>
    <w:tmpl w:val="84AC317A"/>
    <w:lvl w:ilvl="0" w:tplc="81C4AD9E">
      <w:start w:val="1"/>
      <w:numFmt w:val="decimal"/>
      <w:lvlText w:val="%1."/>
      <w:lvlJc w:val="left"/>
      <w:pPr>
        <w:tabs>
          <w:tab w:val="left" w:pos="1440"/>
          <w:tab w:val="left" w:pos="2880"/>
          <w:tab w:val="left" w:pos="4320"/>
          <w:tab w:val="left" w:pos="5760"/>
          <w:tab w:val="left" w:pos="7200"/>
          <w:tab w:val="left" w:pos="8640"/>
        </w:tabs>
        <w:ind w:left="337" w:hanging="337"/>
      </w:pPr>
      <w:rPr>
        <w:rFonts w:hAnsi="Arial Unicode MS"/>
        <w:caps w:val="0"/>
        <w:smallCaps w:val="0"/>
        <w:strike w:val="0"/>
        <w:dstrike w:val="0"/>
        <w:outline w:val="0"/>
        <w:emboss w:val="0"/>
        <w:imprint w:val="0"/>
        <w:spacing w:val="0"/>
        <w:w w:val="100"/>
        <w:kern w:val="0"/>
        <w:position w:val="0"/>
        <w:highlight w:val="none"/>
        <w:vertAlign w:val="baseline"/>
      </w:rPr>
    </w:lvl>
    <w:lvl w:ilvl="1" w:tplc="26609E90">
      <w:start w:val="1"/>
      <w:numFmt w:val="decimal"/>
      <w:lvlText w:val="%2."/>
      <w:lvlJc w:val="left"/>
      <w:pPr>
        <w:tabs>
          <w:tab w:val="left" w:pos="1440"/>
          <w:tab w:val="left" w:pos="2880"/>
          <w:tab w:val="left" w:pos="4320"/>
          <w:tab w:val="left" w:pos="5760"/>
          <w:tab w:val="left" w:pos="7200"/>
          <w:tab w:val="left" w:pos="8640"/>
        </w:tabs>
        <w:ind w:left="1137" w:hanging="337"/>
      </w:pPr>
      <w:rPr>
        <w:rFonts w:hAnsi="Arial Unicode MS"/>
        <w:caps w:val="0"/>
        <w:smallCaps w:val="0"/>
        <w:strike w:val="0"/>
        <w:dstrike w:val="0"/>
        <w:outline w:val="0"/>
        <w:emboss w:val="0"/>
        <w:imprint w:val="0"/>
        <w:spacing w:val="0"/>
        <w:w w:val="100"/>
        <w:kern w:val="0"/>
        <w:position w:val="0"/>
        <w:highlight w:val="none"/>
        <w:vertAlign w:val="baseline"/>
      </w:rPr>
    </w:lvl>
    <w:lvl w:ilvl="2" w:tplc="A73A03F8">
      <w:start w:val="1"/>
      <w:numFmt w:val="decimal"/>
      <w:lvlText w:val="%3."/>
      <w:lvlJc w:val="left"/>
      <w:pPr>
        <w:tabs>
          <w:tab w:val="left" w:pos="1440"/>
          <w:tab w:val="left" w:pos="2880"/>
          <w:tab w:val="left" w:pos="4320"/>
          <w:tab w:val="left" w:pos="5760"/>
          <w:tab w:val="left" w:pos="7200"/>
          <w:tab w:val="left" w:pos="86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00C514A">
      <w:start w:val="1"/>
      <w:numFmt w:val="decimal"/>
      <w:lvlText w:val="%4."/>
      <w:lvlJc w:val="left"/>
      <w:pPr>
        <w:tabs>
          <w:tab w:val="left" w:pos="1440"/>
          <w:tab w:val="left" w:pos="2880"/>
          <w:tab w:val="left" w:pos="4320"/>
          <w:tab w:val="left" w:pos="5760"/>
          <w:tab w:val="left" w:pos="7200"/>
          <w:tab w:val="left" w:pos="86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54AE1C">
      <w:start w:val="1"/>
      <w:numFmt w:val="decimal"/>
      <w:lvlText w:val="%5."/>
      <w:lvlJc w:val="left"/>
      <w:pPr>
        <w:tabs>
          <w:tab w:val="left" w:pos="1440"/>
          <w:tab w:val="left" w:pos="2880"/>
          <w:tab w:val="left" w:pos="4320"/>
          <w:tab w:val="left" w:pos="5760"/>
          <w:tab w:val="left" w:pos="7200"/>
          <w:tab w:val="left" w:pos="86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DCF2CDA4">
      <w:start w:val="1"/>
      <w:numFmt w:val="decimal"/>
      <w:lvlText w:val="%6."/>
      <w:lvlJc w:val="left"/>
      <w:pPr>
        <w:tabs>
          <w:tab w:val="left" w:pos="1440"/>
          <w:tab w:val="left" w:pos="2880"/>
          <w:tab w:val="left" w:pos="4320"/>
          <w:tab w:val="left" w:pos="5760"/>
          <w:tab w:val="left" w:pos="7200"/>
          <w:tab w:val="left" w:pos="86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3AE140C">
      <w:start w:val="1"/>
      <w:numFmt w:val="decimal"/>
      <w:lvlText w:val="%7."/>
      <w:lvlJc w:val="left"/>
      <w:pPr>
        <w:tabs>
          <w:tab w:val="left" w:pos="1440"/>
          <w:tab w:val="left" w:pos="2880"/>
          <w:tab w:val="left" w:pos="4320"/>
          <w:tab w:val="left" w:pos="5760"/>
          <w:tab w:val="left" w:pos="7200"/>
          <w:tab w:val="left" w:pos="86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35AF900">
      <w:start w:val="1"/>
      <w:numFmt w:val="decimal"/>
      <w:lvlText w:val="%8."/>
      <w:lvlJc w:val="left"/>
      <w:pPr>
        <w:tabs>
          <w:tab w:val="left" w:pos="1440"/>
          <w:tab w:val="left" w:pos="2880"/>
          <w:tab w:val="left" w:pos="4320"/>
          <w:tab w:val="left" w:pos="5760"/>
          <w:tab w:val="left" w:pos="7200"/>
          <w:tab w:val="left" w:pos="86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32C87090">
      <w:start w:val="1"/>
      <w:numFmt w:val="decimal"/>
      <w:lvlText w:val="%9."/>
      <w:lvlJc w:val="left"/>
      <w:pPr>
        <w:tabs>
          <w:tab w:val="left" w:pos="1440"/>
          <w:tab w:val="left" w:pos="2880"/>
          <w:tab w:val="left" w:pos="4320"/>
          <w:tab w:val="left" w:pos="5760"/>
          <w:tab w:val="left" w:pos="7200"/>
          <w:tab w:val="left" w:pos="86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D45C90"/>
    <w:multiLevelType w:val="hybridMultilevel"/>
    <w:tmpl w:val="A10E41E8"/>
    <w:numStyleLink w:val="ImportedStyle11"/>
  </w:abstractNum>
  <w:abstractNum w:abstractNumId="2" w15:restartNumberingAfterBreak="0">
    <w:nsid w:val="3EE170B0"/>
    <w:multiLevelType w:val="hybridMultilevel"/>
    <w:tmpl w:val="A10E41E8"/>
    <w:styleLink w:val="ImportedStyle11"/>
    <w:lvl w:ilvl="0" w:tplc="E5FCA15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C4A5F26">
      <w:start w:val="1"/>
      <w:numFmt w:val="bullet"/>
      <w:lvlText w:val="o"/>
      <w:lvlJc w:val="left"/>
      <w:pPr>
        <w:ind w:left="1373" w:hanging="2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11255E8">
      <w:start w:val="1"/>
      <w:numFmt w:val="bullet"/>
      <w:lvlText w:val="▪"/>
      <w:lvlJc w:val="left"/>
      <w:pPr>
        <w:ind w:left="2093"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68272A">
      <w:start w:val="1"/>
      <w:numFmt w:val="bullet"/>
      <w:lvlText w:val="•"/>
      <w:lvlJc w:val="left"/>
      <w:pPr>
        <w:ind w:left="2813" w:hanging="2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87E0ABE">
      <w:start w:val="1"/>
      <w:numFmt w:val="bullet"/>
      <w:lvlText w:val="o"/>
      <w:lvlJc w:val="left"/>
      <w:pPr>
        <w:ind w:left="3533" w:hanging="2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09229FA">
      <w:start w:val="1"/>
      <w:numFmt w:val="bullet"/>
      <w:lvlText w:val="▪"/>
      <w:lvlJc w:val="left"/>
      <w:pPr>
        <w:ind w:left="4253"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76EB9A">
      <w:start w:val="1"/>
      <w:numFmt w:val="bullet"/>
      <w:lvlText w:val="•"/>
      <w:lvlJc w:val="left"/>
      <w:pPr>
        <w:ind w:left="4973" w:hanging="2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ACEAD6C">
      <w:start w:val="1"/>
      <w:numFmt w:val="bullet"/>
      <w:lvlText w:val="o"/>
      <w:lvlJc w:val="left"/>
      <w:pPr>
        <w:ind w:left="5693" w:hanging="2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398AB6A">
      <w:start w:val="1"/>
      <w:numFmt w:val="bullet"/>
      <w:lvlText w:val="▪"/>
      <w:lvlJc w:val="left"/>
      <w:pPr>
        <w:ind w:left="6413"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2446FFF"/>
    <w:multiLevelType w:val="multilevel"/>
    <w:tmpl w:val="DE8C3CAC"/>
    <w:lvl w:ilvl="0">
      <w:start w:val="2"/>
      <w:numFmt w:val="decimal"/>
      <w:lvlText w:val="%1"/>
      <w:lvlJc w:val="left"/>
      <w:pPr>
        <w:ind w:left="360" w:hanging="360"/>
      </w:pPr>
      <w:rPr>
        <w:rFonts w:hint="default"/>
        <w:b/>
      </w:rPr>
    </w:lvl>
    <w:lvl w:ilvl="1">
      <w:start w:val="1"/>
      <w:numFmt w:val="decimal"/>
      <w:lvlText w:val="%1.%2"/>
      <w:lvlJc w:val="left"/>
      <w:pPr>
        <w:ind w:left="1160" w:hanging="360"/>
      </w:pPr>
      <w:rPr>
        <w:rFonts w:hint="default"/>
        <w:b w:val="0"/>
        <w:bCs/>
      </w:rPr>
    </w:lvl>
    <w:lvl w:ilvl="2">
      <w:start w:val="1"/>
      <w:numFmt w:val="decimal"/>
      <w:lvlText w:val="%1.%2.%3"/>
      <w:lvlJc w:val="left"/>
      <w:pPr>
        <w:ind w:left="2320" w:hanging="720"/>
      </w:pPr>
      <w:rPr>
        <w:rFonts w:hint="default"/>
        <w:b/>
      </w:rPr>
    </w:lvl>
    <w:lvl w:ilvl="3">
      <w:start w:val="1"/>
      <w:numFmt w:val="decimal"/>
      <w:lvlText w:val="%1.%2.%3.%4"/>
      <w:lvlJc w:val="left"/>
      <w:pPr>
        <w:ind w:left="3480" w:hanging="1080"/>
      </w:pPr>
      <w:rPr>
        <w:rFonts w:hint="default"/>
        <w:b/>
      </w:rPr>
    </w:lvl>
    <w:lvl w:ilvl="4">
      <w:start w:val="1"/>
      <w:numFmt w:val="decimal"/>
      <w:lvlText w:val="%1.%2.%3.%4.%5"/>
      <w:lvlJc w:val="left"/>
      <w:pPr>
        <w:ind w:left="4280" w:hanging="1080"/>
      </w:pPr>
      <w:rPr>
        <w:rFonts w:hint="default"/>
        <w:b/>
      </w:rPr>
    </w:lvl>
    <w:lvl w:ilvl="5">
      <w:start w:val="1"/>
      <w:numFmt w:val="decimal"/>
      <w:lvlText w:val="%1.%2.%3.%4.%5.%6"/>
      <w:lvlJc w:val="left"/>
      <w:pPr>
        <w:ind w:left="5440" w:hanging="1440"/>
      </w:pPr>
      <w:rPr>
        <w:rFonts w:hint="default"/>
        <w:b/>
      </w:rPr>
    </w:lvl>
    <w:lvl w:ilvl="6">
      <w:start w:val="1"/>
      <w:numFmt w:val="decimal"/>
      <w:lvlText w:val="%1.%2.%3.%4.%5.%6.%7"/>
      <w:lvlJc w:val="left"/>
      <w:pPr>
        <w:ind w:left="6240" w:hanging="1440"/>
      </w:pPr>
      <w:rPr>
        <w:rFonts w:hint="default"/>
        <w:b/>
      </w:rPr>
    </w:lvl>
    <w:lvl w:ilvl="7">
      <w:start w:val="1"/>
      <w:numFmt w:val="decimal"/>
      <w:lvlText w:val="%1.%2.%3.%4.%5.%6.%7.%8"/>
      <w:lvlJc w:val="left"/>
      <w:pPr>
        <w:ind w:left="7400" w:hanging="1800"/>
      </w:pPr>
      <w:rPr>
        <w:rFonts w:hint="default"/>
        <w:b/>
      </w:rPr>
    </w:lvl>
    <w:lvl w:ilvl="8">
      <w:start w:val="1"/>
      <w:numFmt w:val="decimal"/>
      <w:lvlText w:val="%1.%2.%3.%4.%5.%6.%7.%8.%9"/>
      <w:lvlJc w:val="left"/>
      <w:pPr>
        <w:ind w:left="8560" w:hanging="2160"/>
      </w:pPr>
      <w:rPr>
        <w:rFonts w:hint="default"/>
        <w:b/>
      </w:rPr>
    </w:lvl>
  </w:abstractNum>
  <w:abstractNum w:abstractNumId="4" w15:restartNumberingAfterBreak="0">
    <w:nsid w:val="61387DE9"/>
    <w:multiLevelType w:val="hybridMultilevel"/>
    <w:tmpl w:val="1FCE7802"/>
    <w:numStyleLink w:val="ImportedStyle1"/>
  </w:abstractNum>
  <w:abstractNum w:abstractNumId="5" w15:restartNumberingAfterBreak="0">
    <w:nsid w:val="6408578A"/>
    <w:multiLevelType w:val="hybridMultilevel"/>
    <w:tmpl w:val="1FCE7802"/>
    <w:styleLink w:val="ImportedStyle1"/>
    <w:lvl w:ilvl="0" w:tplc="8848B05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FDCC198">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2B023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4CA73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440D26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85A39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A641A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4429B7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23A9F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4D459FC"/>
    <w:multiLevelType w:val="hybridMultilevel"/>
    <w:tmpl w:val="B4DE355C"/>
    <w:styleLink w:val="Numbered"/>
    <w:lvl w:ilvl="0" w:tplc="88F22330">
      <w:start w:val="1"/>
      <w:numFmt w:val="decimal"/>
      <w:lvlText w:val="%1."/>
      <w:lvlJc w:val="left"/>
      <w:pPr>
        <w:ind w:left="274" w:hanging="274"/>
      </w:pPr>
      <w:rPr>
        <w:rFonts w:hAnsi="Arial Unicode MS"/>
        <w:caps w:val="0"/>
        <w:smallCaps w:val="0"/>
        <w:strike w:val="0"/>
        <w:dstrike w:val="0"/>
        <w:outline w:val="0"/>
        <w:emboss w:val="0"/>
        <w:imprint w:val="0"/>
        <w:spacing w:val="0"/>
        <w:w w:val="100"/>
        <w:kern w:val="0"/>
        <w:position w:val="0"/>
        <w:highlight w:val="none"/>
        <w:vertAlign w:val="baseline"/>
      </w:rPr>
    </w:lvl>
    <w:lvl w:ilvl="1" w:tplc="6EB8E99C">
      <w:start w:val="1"/>
      <w:numFmt w:val="decimal"/>
      <w:lvlText w:val="%2."/>
      <w:lvlJc w:val="left"/>
      <w:pPr>
        <w:ind w:left="1074" w:hanging="274"/>
      </w:pPr>
      <w:rPr>
        <w:rFonts w:hAnsi="Arial Unicode MS"/>
        <w:caps w:val="0"/>
        <w:smallCaps w:val="0"/>
        <w:strike w:val="0"/>
        <w:dstrike w:val="0"/>
        <w:outline w:val="0"/>
        <w:emboss w:val="0"/>
        <w:imprint w:val="0"/>
        <w:spacing w:val="0"/>
        <w:w w:val="100"/>
        <w:kern w:val="0"/>
        <w:position w:val="0"/>
        <w:highlight w:val="none"/>
        <w:vertAlign w:val="baseline"/>
      </w:rPr>
    </w:lvl>
    <w:lvl w:ilvl="2" w:tplc="A642CC56">
      <w:start w:val="1"/>
      <w:numFmt w:val="decimal"/>
      <w:lvlText w:val="%3."/>
      <w:lvlJc w:val="left"/>
      <w:pPr>
        <w:ind w:left="1874" w:hanging="274"/>
      </w:pPr>
      <w:rPr>
        <w:rFonts w:hAnsi="Arial Unicode MS"/>
        <w:caps w:val="0"/>
        <w:smallCaps w:val="0"/>
        <w:strike w:val="0"/>
        <w:dstrike w:val="0"/>
        <w:outline w:val="0"/>
        <w:emboss w:val="0"/>
        <w:imprint w:val="0"/>
        <w:spacing w:val="0"/>
        <w:w w:val="100"/>
        <w:kern w:val="0"/>
        <w:position w:val="0"/>
        <w:highlight w:val="none"/>
        <w:vertAlign w:val="baseline"/>
      </w:rPr>
    </w:lvl>
    <w:lvl w:ilvl="3" w:tplc="A1FE0DDA">
      <w:start w:val="1"/>
      <w:numFmt w:val="decimal"/>
      <w:lvlText w:val="%4."/>
      <w:lvlJc w:val="left"/>
      <w:pPr>
        <w:ind w:left="2674" w:hanging="274"/>
      </w:pPr>
      <w:rPr>
        <w:rFonts w:hAnsi="Arial Unicode MS"/>
        <w:caps w:val="0"/>
        <w:smallCaps w:val="0"/>
        <w:strike w:val="0"/>
        <w:dstrike w:val="0"/>
        <w:outline w:val="0"/>
        <w:emboss w:val="0"/>
        <w:imprint w:val="0"/>
        <w:spacing w:val="0"/>
        <w:w w:val="100"/>
        <w:kern w:val="0"/>
        <w:position w:val="0"/>
        <w:highlight w:val="none"/>
        <w:vertAlign w:val="baseline"/>
      </w:rPr>
    </w:lvl>
    <w:lvl w:ilvl="4" w:tplc="CBD2AD7A">
      <w:start w:val="1"/>
      <w:numFmt w:val="decimal"/>
      <w:lvlText w:val="%5."/>
      <w:lvlJc w:val="left"/>
      <w:pPr>
        <w:ind w:left="3474" w:hanging="274"/>
      </w:pPr>
      <w:rPr>
        <w:rFonts w:hAnsi="Arial Unicode MS"/>
        <w:caps w:val="0"/>
        <w:smallCaps w:val="0"/>
        <w:strike w:val="0"/>
        <w:dstrike w:val="0"/>
        <w:outline w:val="0"/>
        <w:emboss w:val="0"/>
        <w:imprint w:val="0"/>
        <w:spacing w:val="0"/>
        <w:w w:val="100"/>
        <w:kern w:val="0"/>
        <w:position w:val="0"/>
        <w:highlight w:val="none"/>
        <w:vertAlign w:val="baseline"/>
      </w:rPr>
    </w:lvl>
    <w:lvl w:ilvl="5" w:tplc="A134F9C4">
      <w:start w:val="1"/>
      <w:numFmt w:val="decimal"/>
      <w:lvlText w:val="%6."/>
      <w:lvlJc w:val="left"/>
      <w:pPr>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 w:ilvl="6" w:tplc="62D01C80">
      <w:start w:val="1"/>
      <w:numFmt w:val="decimal"/>
      <w:lvlText w:val="%7."/>
      <w:lvlJc w:val="left"/>
      <w:pPr>
        <w:ind w:left="5074" w:hanging="274"/>
      </w:pPr>
      <w:rPr>
        <w:rFonts w:hAnsi="Arial Unicode MS"/>
        <w:caps w:val="0"/>
        <w:smallCaps w:val="0"/>
        <w:strike w:val="0"/>
        <w:dstrike w:val="0"/>
        <w:outline w:val="0"/>
        <w:emboss w:val="0"/>
        <w:imprint w:val="0"/>
        <w:spacing w:val="0"/>
        <w:w w:val="100"/>
        <w:kern w:val="0"/>
        <w:position w:val="0"/>
        <w:highlight w:val="none"/>
        <w:vertAlign w:val="baseline"/>
      </w:rPr>
    </w:lvl>
    <w:lvl w:ilvl="7" w:tplc="B2FCEEE8">
      <w:start w:val="1"/>
      <w:numFmt w:val="decimal"/>
      <w:lvlText w:val="%8."/>
      <w:lvlJc w:val="left"/>
      <w:pPr>
        <w:ind w:left="5874" w:hanging="274"/>
      </w:pPr>
      <w:rPr>
        <w:rFonts w:hAnsi="Arial Unicode MS"/>
        <w:caps w:val="0"/>
        <w:smallCaps w:val="0"/>
        <w:strike w:val="0"/>
        <w:dstrike w:val="0"/>
        <w:outline w:val="0"/>
        <w:emboss w:val="0"/>
        <w:imprint w:val="0"/>
        <w:spacing w:val="0"/>
        <w:w w:val="100"/>
        <w:kern w:val="0"/>
        <w:position w:val="0"/>
        <w:highlight w:val="none"/>
        <w:vertAlign w:val="baseline"/>
      </w:rPr>
    </w:lvl>
    <w:lvl w:ilvl="8" w:tplc="B874A824">
      <w:start w:val="1"/>
      <w:numFmt w:val="decimal"/>
      <w:lvlText w:val="%9."/>
      <w:lvlJc w:val="left"/>
      <w:pPr>
        <w:ind w:left="6674"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5DD27C2"/>
    <w:multiLevelType w:val="hybridMultilevel"/>
    <w:tmpl w:val="074AEEC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20E0C"/>
    <w:multiLevelType w:val="hybridMultilevel"/>
    <w:tmpl w:val="1FCE7802"/>
    <w:numStyleLink w:val="ImportedStyle1"/>
  </w:abstractNum>
  <w:abstractNum w:abstractNumId="9" w15:restartNumberingAfterBreak="0">
    <w:nsid w:val="6DF521F6"/>
    <w:multiLevelType w:val="hybridMultilevel"/>
    <w:tmpl w:val="B4DE355C"/>
    <w:numStyleLink w:val="Numbered"/>
  </w:abstractNum>
  <w:num w:numId="1">
    <w:abstractNumId w:val="0"/>
  </w:num>
  <w:num w:numId="2">
    <w:abstractNumId w:val="0"/>
    <w:lvlOverride w:ilvl="0">
      <w:lvl w:ilvl="0" w:tplc="81C4AD9E">
        <w:start w:val="1"/>
        <w:numFmt w:val="decimal"/>
        <w:lvlText w:val="%1."/>
        <w:lvlJc w:val="left"/>
        <w:pPr>
          <w:ind w:left="3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609E90">
        <w:start w:val="1"/>
        <w:numFmt w:val="decimal"/>
        <w:lvlText w:val="%2."/>
        <w:lvlJc w:val="left"/>
        <w:pPr>
          <w:tabs>
            <w:tab w:val="left" w:pos="1440"/>
            <w:tab w:val="left" w:pos="2880"/>
            <w:tab w:val="left" w:pos="4320"/>
            <w:tab w:val="left" w:pos="5760"/>
            <w:tab w:val="left" w:pos="7200"/>
            <w:tab w:val="left" w:pos="8640"/>
          </w:tabs>
          <w:ind w:left="1137" w:hanging="3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73A03F8">
        <w:start w:val="1"/>
        <w:numFmt w:val="decimal"/>
        <w:lvlText w:val="%3."/>
        <w:lvlJc w:val="left"/>
        <w:pPr>
          <w:tabs>
            <w:tab w:val="left" w:pos="1440"/>
            <w:tab w:val="left" w:pos="2880"/>
            <w:tab w:val="left" w:pos="4320"/>
            <w:tab w:val="left" w:pos="5760"/>
            <w:tab w:val="left" w:pos="7200"/>
            <w:tab w:val="left" w:pos="8640"/>
          </w:tabs>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00C514A">
        <w:start w:val="1"/>
        <w:numFmt w:val="decimal"/>
        <w:lvlText w:val="%4."/>
        <w:lvlJc w:val="left"/>
        <w:pPr>
          <w:tabs>
            <w:tab w:val="left" w:pos="1440"/>
            <w:tab w:val="left" w:pos="2880"/>
            <w:tab w:val="left" w:pos="4320"/>
            <w:tab w:val="left" w:pos="5760"/>
            <w:tab w:val="left" w:pos="7200"/>
            <w:tab w:val="left" w:pos="8640"/>
          </w:tabs>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654AE1C">
        <w:start w:val="1"/>
        <w:numFmt w:val="decimal"/>
        <w:lvlText w:val="%5."/>
        <w:lvlJc w:val="left"/>
        <w:pPr>
          <w:tabs>
            <w:tab w:val="left" w:pos="1440"/>
            <w:tab w:val="left" w:pos="2880"/>
            <w:tab w:val="left" w:pos="4320"/>
            <w:tab w:val="left" w:pos="5760"/>
            <w:tab w:val="left" w:pos="7200"/>
            <w:tab w:val="left" w:pos="8640"/>
          </w:tabs>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CF2CDA4">
        <w:start w:val="1"/>
        <w:numFmt w:val="decimal"/>
        <w:lvlText w:val="%6."/>
        <w:lvlJc w:val="left"/>
        <w:pPr>
          <w:tabs>
            <w:tab w:val="left" w:pos="1440"/>
            <w:tab w:val="left" w:pos="2880"/>
            <w:tab w:val="left" w:pos="4320"/>
            <w:tab w:val="left" w:pos="5760"/>
            <w:tab w:val="left" w:pos="7200"/>
            <w:tab w:val="left" w:pos="8640"/>
          </w:tabs>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3AE140C">
        <w:start w:val="1"/>
        <w:numFmt w:val="decimal"/>
        <w:lvlText w:val="%7."/>
        <w:lvlJc w:val="left"/>
        <w:pPr>
          <w:tabs>
            <w:tab w:val="left" w:pos="1440"/>
            <w:tab w:val="left" w:pos="2880"/>
            <w:tab w:val="left" w:pos="4320"/>
            <w:tab w:val="left" w:pos="5760"/>
            <w:tab w:val="left" w:pos="7200"/>
            <w:tab w:val="left" w:pos="8640"/>
          </w:tabs>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35AF900">
        <w:start w:val="1"/>
        <w:numFmt w:val="decimal"/>
        <w:lvlText w:val="%8."/>
        <w:lvlJc w:val="left"/>
        <w:pPr>
          <w:tabs>
            <w:tab w:val="left" w:pos="1440"/>
            <w:tab w:val="left" w:pos="2880"/>
            <w:tab w:val="left" w:pos="4320"/>
            <w:tab w:val="left" w:pos="5760"/>
            <w:tab w:val="left" w:pos="7200"/>
            <w:tab w:val="left" w:pos="8640"/>
          </w:tabs>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2C87090">
        <w:start w:val="1"/>
        <w:numFmt w:val="decimal"/>
        <w:lvlText w:val="%9."/>
        <w:lvlJc w:val="left"/>
        <w:pPr>
          <w:tabs>
            <w:tab w:val="left" w:pos="1440"/>
            <w:tab w:val="left" w:pos="2880"/>
            <w:tab w:val="left" w:pos="4320"/>
            <w:tab w:val="left" w:pos="5760"/>
            <w:tab w:val="left" w:pos="7200"/>
            <w:tab w:val="left" w:pos="8640"/>
          </w:tabs>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8"/>
  </w:num>
  <w:num w:numId="5">
    <w:abstractNumId w:val="8"/>
    <w:lvlOverride w:ilvl="0">
      <w:lvl w:ilvl="0" w:tplc="8750918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3CB4431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E43687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7924DAC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496E5B7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3CFC03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28E0600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DE0892A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1CDC83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6">
    <w:abstractNumId w:val="3"/>
  </w:num>
  <w:num w:numId="7">
    <w:abstractNumId w:val="2"/>
  </w:num>
  <w:num w:numId="8">
    <w:abstractNumId w:val="1"/>
  </w:num>
  <w:num w:numId="9">
    <w:abstractNumId w:val="4"/>
  </w:num>
  <w:num w:numId="10">
    <w:abstractNumId w:val="6"/>
  </w:num>
  <w:num w:numId="11">
    <w:abstractNumId w:val="9"/>
  </w:num>
  <w:num w:numId="12">
    <w:abstractNumId w:val="9"/>
    <w:lvlOverride w:ilvl="0">
      <w:lvl w:ilvl="0" w:tplc="EAAA34D8">
        <w:start w:val="1"/>
        <w:numFmt w:val="decimal"/>
        <w:lvlText w:val="%1."/>
        <w:lvlJc w:val="left"/>
        <w:pPr>
          <w:ind w:left="274"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98E78FE">
        <w:start w:val="1"/>
        <w:numFmt w:val="decimal"/>
        <w:lvlText w:val="%2."/>
        <w:lvlJc w:val="left"/>
        <w:pPr>
          <w:ind w:left="1074"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74EFAA4">
        <w:start w:val="1"/>
        <w:numFmt w:val="decimal"/>
        <w:lvlText w:val="%3."/>
        <w:lvlJc w:val="left"/>
        <w:pPr>
          <w:ind w:left="1874"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5163338">
        <w:start w:val="1"/>
        <w:numFmt w:val="decimal"/>
        <w:lvlText w:val="%4."/>
        <w:lvlJc w:val="left"/>
        <w:pPr>
          <w:ind w:left="2674"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3CC177C">
        <w:start w:val="1"/>
        <w:numFmt w:val="decimal"/>
        <w:lvlText w:val="%5."/>
        <w:lvlJc w:val="left"/>
        <w:pPr>
          <w:ind w:left="3474"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2D42A8E">
        <w:start w:val="1"/>
        <w:numFmt w:val="decimal"/>
        <w:lvlText w:val="%6."/>
        <w:lvlJc w:val="left"/>
        <w:pPr>
          <w:ind w:left="4274"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2147938">
        <w:start w:val="1"/>
        <w:numFmt w:val="decimal"/>
        <w:lvlText w:val="%7."/>
        <w:lvlJc w:val="left"/>
        <w:pPr>
          <w:ind w:left="5074"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FBE1C5A">
        <w:start w:val="1"/>
        <w:numFmt w:val="decimal"/>
        <w:lvlText w:val="%8."/>
        <w:lvlJc w:val="left"/>
        <w:pPr>
          <w:ind w:left="5874"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DA0ACA4">
        <w:start w:val="1"/>
        <w:numFmt w:val="decimal"/>
        <w:lvlText w:val="%9."/>
        <w:lvlJc w:val="left"/>
        <w:pPr>
          <w:ind w:left="6674"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21"/>
    <w:rsid w:val="00001CE3"/>
    <w:rsid w:val="00010DF0"/>
    <w:rsid w:val="000259FF"/>
    <w:rsid w:val="00052772"/>
    <w:rsid w:val="000806AC"/>
    <w:rsid w:val="000B0A58"/>
    <w:rsid w:val="000D6EC9"/>
    <w:rsid w:val="000F62B3"/>
    <w:rsid w:val="001037A0"/>
    <w:rsid w:val="001322E3"/>
    <w:rsid w:val="00135036"/>
    <w:rsid w:val="001A01FB"/>
    <w:rsid w:val="001A7A20"/>
    <w:rsid w:val="001F1C8D"/>
    <w:rsid w:val="0020677F"/>
    <w:rsid w:val="00251AF6"/>
    <w:rsid w:val="00253303"/>
    <w:rsid w:val="00296F86"/>
    <w:rsid w:val="002F27B8"/>
    <w:rsid w:val="00331C21"/>
    <w:rsid w:val="0033297F"/>
    <w:rsid w:val="00353B3C"/>
    <w:rsid w:val="003714C6"/>
    <w:rsid w:val="003812E6"/>
    <w:rsid w:val="00382564"/>
    <w:rsid w:val="003B41A0"/>
    <w:rsid w:val="003D60C0"/>
    <w:rsid w:val="003E0530"/>
    <w:rsid w:val="003E08FD"/>
    <w:rsid w:val="003E54B1"/>
    <w:rsid w:val="004121BA"/>
    <w:rsid w:val="004B5CEC"/>
    <w:rsid w:val="00503EF5"/>
    <w:rsid w:val="00513897"/>
    <w:rsid w:val="00540442"/>
    <w:rsid w:val="00550ACC"/>
    <w:rsid w:val="005B42FA"/>
    <w:rsid w:val="005D5C75"/>
    <w:rsid w:val="005E52EA"/>
    <w:rsid w:val="00677ECA"/>
    <w:rsid w:val="00680AFA"/>
    <w:rsid w:val="0068627D"/>
    <w:rsid w:val="00697053"/>
    <w:rsid w:val="00711047"/>
    <w:rsid w:val="00761B4B"/>
    <w:rsid w:val="007A0D34"/>
    <w:rsid w:val="00821E7C"/>
    <w:rsid w:val="008429AD"/>
    <w:rsid w:val="008645BF"/>
    <w:rsid w:val="008F7695"/>
    <w:rsid w:val="00971ABF"/>
    <w:rsid w:val="009D7772"/>
    <w:rsid w:val="00A272F3"/>
    <w:rsid w:val="00A57021"/>
    <w:rsid w:val="00A75B11"/>
    <w:rsid w:val="00A9321B"/>
    <w:rsid w:val="00AD2355"/>
    <w:rsid w:val="00B62F63"/>
    <w:rsid w:val="00B77961"/>
    <w:rsid w:val="00B91C10"/>
    <w:rsid w:val="00B94DD5"/>
    <w:rsid w:val="00BC25D0"/>
    <w:rsid w:val="00BD2965"/>
    <w:rsid w:val="00BD315B"/>
    <w:rsid w:val="00C063F7"/>
    <w:rsid w:val="00C228DE"/>
    <w:rsid w:val="00C34677"/>
    <w:rsid w:val="00CA4D25"/>
    <w:rsid w:val="00CD0725"/>
    <w:rsid w:val="00CE1BE4"/>
    <w:rsid w:val="00D24C41"/>
    <w:rsid w:val="00D5389A"/>
    <w:rsid w:val="00D75EDA"/>
    <w:rsid w:val="00DB4F61"/>
    <w:rsid w:val="00DC5C4C"/>
    <w:rsid w:val="00DF4D71"/>
    <w:rsid w:val="00E1049A"/>
    <w:rsid w:val="00ED1237"/>
    <w:rsid w:val="00ED193F"/>
    <w:rsid w:val="00F0010A"/>
    <w:rsid w:val="00F03F32"/>
    <w:rsid w:val="00FB034B"/>
    <w:rsid w:val="00FE3074"/>
    <w:rsid w:val="00FF388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050B3A-F550-41AC-9B4C-A704CAE6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13"/>
        <w:tab w:val="right" w:pos="9026"/>
      </w:tabs>
    </w:pPr>
    <w:rPr>
      <w:rFonts w:ascii="EucrosiaUPC" w:eastAsia="EucrosiaUPC" w:hAnsi="EucrosiaUPC" w:cs="EucrosiaUPC"/>
      <w:color w:val="000000"/>
      <w:sz w:val="32"/>
      <w:szCs w:val="32"/>
      <w:u w:color="000000"/>
    </w:rPr>
  </w:style>
  <w:style w:type="paragraph" w:customStyle="1" w:styleId="Body">
    <w:name w:val="Body"/>
    <w:pPr>
      <w:spacing w:after="160" w:line="259" w:lineRule="auto"/>
    </w:pPr>
    <w:rPr>
      <w:rFonts w:ascii="EucrosiaUPC" w:eastAsia="EucrosiaUPC" w:hAnsi="EucrosiaUPC" w:cs="EucrosiaUPC"/>
      <w:color w:val="000000"/>
      <w:sz w:val="32"/>
      <w:szCs w:val="32"/>
      <w:u w:color="000000"/>
    </w:rPr>
  </w:style>
  <w:style w:type="paragraph" w:styleId="Caption">
    <w:name w:val="caption"/>
    <w:pPr>
      <w:suppressAutoHyphens/>
      <w:outlineLvl w:val="0"/>
    </w:pPr>
    <w:rPr>
      <w:rFonts w:ascii="Calibri" w:eastAsia="Calibri" w:hAnsi="Calibri" w:cs="Calibri"/>
      <w:color w:val="000000"/>
      <w:sz w:val="36"/>
      <w:szCs w:val="36"/>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pPr>
      <w:spacing w:after="160" w:line="259" w:lineRule="auto"/>
      <w:ind w:left="720"/>
    </w:pPr>
    <w:rPr>
      <w:rFonts w:ascii="EucrosiaUPC" w:eastAsia="EucrosiaUPC" w:hAnsi="EucrosiaUPC" w:cs="EucrosiaUPC"/>
      <w:color w:val="000000"/>
      <w:sz w:val="32"/>
      <w:szCs w:val="32"/>
      <w:u w:color="000000"/>
    </w:rPr>
  </w:style>
  <w:style w:type="numbering" w:customStyle="1" w:styleId="ImportedStyle1">
    <w:name w:val="Imported Style 1"/>
    <w:pPr>
      <w:numPr>
        <w:numId w:val="3"/>
      </w:numPr>
    </w:pPr>
  </w:style>
  <w:style w:type="numbering" w:customStyle="1" w:styleId="ImportedStyle11">
    <w:name w:val="Imported Style 11"/>
    <w:rsid w:val="00010DF0"/>
    <w:pPr>
      <w:numPr>
        <w:numId w:val="7"/>
      </w:numPr>
    </w:pPr>
  </w:style>
  <w:style w:type="numbering" w:customStyle="1" w:styleId="Numbered">
    <w:name w:val="Numbered"/>
    <w:rsid w:val="004121BA"/>
    <w:pPr>
      <w:numPr>
        <w:numId w:val="10"/>
      </w:numPr>
    </w:pPr>
  </w:style>
  <w:style w:type="paragraph" w:styleId="Header">
    <w:name w:val="header"/>
    <w:basedOn w:val="Normal"/>
    <w:link w:val="HeaderChar"/>
    <w:uiPriority w:val="99"/>
    <w:unhideWhenUsed/>
    <w:rsid w:val="00382564"/>
    <w:pPr>
      <w:tabs>
        <w:tab w:val="center" w:pos="4680"/>
        <w:tab w:val="right" w:pos="9360"/>
      </w:tabs>
    </w:pPr>
  </w:style>
  <w:style w:type="character" w:customStyle="1" w:styleId="HeaderChar">
    <w:name w:val="Header Char"/>
    <w:basedOn w:val="DefaultParagraphFont"/>
    <w:link w:val="Header"/>
    <w:uiPriority w:val="99"/>
    <w:rsid w:val="00382564"/>
    <w:rPr>
      <w:sz w:val="24"/>
      <w:szCs w:val="24"/>
      <w:lang w:bidi="ar-SA"/>
    </w:rPr>
  </w:style>
  <w:style w:type="paragraph" w:styleId="NormalWeb">
    <w:name w:val="Normal (Web)"/>
    <w:basedOn w:val="Normal"/>
    <w:uiPriority w:val="99"/>
    <w:semiHidden/>
    <w:unhideWhenUsed/>
    <w:rsid w:val="00F0010A"/>
  </w:style>
  <w:style w:type="character" w:customStyle="1" w:styleId="FooterChar">
    <w:name w:val="Footer Char"/>
    <w:basedOn w:val="DefaultParagraphFont"/>
    <w:link w:val="Footer"/>
    <w:uiPriority w:val="99"/>
    <w:rsid w:val="00697053"/>
    <w:rPr>
      <w:rFonts w:ascii="EucrosiaUPC" w:eastAsia="EucrosiaUPC" w:hAnsi="EucrosiaUPC" w:cs="EucrosiaUPC"/>
      <w:color w:val="000000"/>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82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climate1</dc:creator>
  <cp:lastModifiedBy>Anizh Kumar</cp:lastModifiedBy>
  <cp:revision>2</cp:revision>
  <dcterms:created xsi:type="dcterms:W3CDTF">2018-05-18T06:26:00Z</dcterms:created>
  <dcterms:modified xsi:type="dcterms:W3CDTF">2018-05-18T06:26:00Z</dcterms:modified>
</cp:coreProperties>
</file>