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6AE" w:rsidRPr="00A318EB" w:rsidRDefault="001D66AE" w:rsidP="001D66AE">
      <w:pPr>
        <w:pStyle w:val="NormalWeb"/>
        <w:spacing w:before="0" w:beforeAutospacing="0" w:after="0" w:afterAutospacing="0" w:line="292" w:lineRule="atLeast"/>
        <w:rPr>
          <w:rFonts w:asciiTheme="minorHAnsi" w:hAnsiTheme="minorHAnsi"/>
          <w:sz w:val="22"/>
          <w:szCs w:val="22"/>
          <w:lang w:val="en-GB"/>
        </w:rPr>
      </w:pPr>
      <w:bookmarkStart w:id="0" w:name="_GoBack"/>
      <w:bookmarkEnd w:id="0"/>
    </w:p>
    <w:p w:rsidR="001D66AE" w:rsidRPr="00A318EB" w:rsidRDefault="001D66AE" w:rsidP="001D66AE">
      <w:pPr>
        <w:jc w:val="center"/>
        <w:rPr>
          <w:rFonts w:asciiTheme="minorHAnsi" w:hAnsiTheme="minorHAnsi"/>
          <w:b/>
          <w:sz w:val="32"/>
          <w:szCs w:val="32"/>
        </w:rPr>
      </w:pPr>
      <w:r w:rsidRPr="00A318EB">
        <w:rPr>
          <w:rFonts w:asciiTheme="minorHAnsi" w:hAnsiTheme="minorHAnsi"/>
          <w:b/>
          <w:sz w:val="32"/>
          <w:szCs w:val="32"/>
        </w:rPr>
        <w:t xml:space="preserve">Template for non-Party stakeholders’ inputs </w:t>
      </w:r>
    </w:p>
    <w:p w:rsidR="001D66AE" w:rsidRDefault="001D66AE" w:rsidP="001D66AE">
      <w:pPr>
        <w:jc w:val="center"/>
        <w:rPr>
          <w:rFonts w:asciiTheme="minorHAnsi" w:hAnsiTheme="minorHAnsi"/>
          <w:b/>
          <w:sz w:val="32"/>
          <w:szCs w:val="32"/>
        </w:rPr>
      </w:pPr>
      <w:r w:rsidRPr="00A318EB">
        <w:rPr>
          <w:rFonts w:asciiTheme="minorHAnsi" w:hAnsiTheme="minorHAnsi"/>
          <w:b/>
          <w:sz w:val="32"/>
          <w:szCs w:val="32"/>
        </w:rPr>
        <w:t xml:space="preserve">for the Talanoa Dialogue </w:t>
      </w:r>
    </w:p>
    <w:p w:rsidR="00801E89" w:rsidRPr="00A318EB" w:rsidRDefault="00801E89" w:rsidP="00801E89">
      <w:pPr>
        <w:jc w:val="center"/>
        <w:rPr>
          <w:rFonts w:asciiTheme="minorHAnsi" w:hAnsiTheme="minorHAnsi"/>
          <w:b/>
          <w:sz w:val="24"/>
          <w:szCs w:val="24"/>
        </w:rPr>
      </w:pPr>
      <w:r>
        <w:rPr>
          <w:rFonts w:asciiTheme="minorHAnsi" w:hAnsiTheme="minorHAnsi"/>
          <w:sz w:val="32"/>
          <w:szCs w:val="32"/>
        </w:rPr>
        <w:t>Question 1</w:t>
      </w:r>
      <w:r w:rsidRPr="00AA4B66">
        <w:rPr>
          <w:rFonts w:asciiTheme="minorHAnsi" w:hAnsiTheme="minorHAnsi"/>
          <w:sz w:val="32"/>
          <w:szCs w:val="32"/>
        </w:rPr>
        <w:t xml:space="preserve"> </w:t>
      </w:r>
      <w:r>
        <w:rPr>
          <w:rFonts w:asciiTheme="minorHAnsi" w:hAnsiTheme="minorHAnsi"/>
          <w:sz w:val="32"/>
          <w:szCs w:val="32"/>
        </w:rPr>
        <w:t>–</w:t>
      </w:r>
      <w:r w:rsidRPr="00AA4B66">
        <w:rPr>
          <w:rFonts w:asciiTheme="minorHAnsi" w:hAnsiTheme="minorHAnsi"/>
          <w:sz w:val="32"/>
          <w:szCs w:val="32"/>
        </w:rPr>
        <w:t xml:space="preserve"> </w:t>
      </w:r>
      <w:r>
        <w:rPr>
          <w:rFonts w:asciiTheme="minorHAnsi" w:hAnsiTheme="minorHAnsi"/>
          <w:sz w:val="32"/>
          <w:szCs w:val="32"/>
        </w:rPr>
        <w:t>Where are we</w:t>
      </w:r>
      <w:r w:rsidRPr="00464883">
        <w:rPr>
          <w:rFonts w:asciiTheme="minorHAnsi" w:hAnsiTheme="minorHAnsi"/>
          <w:sz w:val="32"/>
          <w:szCs w:val="32"/>
        </w:rPr>
        <w:t>?</w:t>
      </w:r>
    </w:p>
    <w:p w:rsidR="001D66AE" w:rsidRDefault="001D66AE" w:rsidP="001D66AE">
      <w:pPr>
        <w:rPr>
          <w:rFonts w:asciiTheme="minorHAnsi" w:hAnsiTheme="minorHAnsi"/>
          <w:b/>
          <w:sz w:val="32"/>
          <w:szCs w:val="32"/>
        </w:rPr>
      </w:pPr>
    </w:p>
    <w:p w:rsidR="001D66AE" w:rsidRDefault="001D66AE" w:rsidP="00B77EA8">
      <w:pPr>
        <w:tabs>
          <w:tab w:val="left" w:pos="4111"/>
        </w:tabs>
        <w:rPr>
          <w:rFonts w:asciiTheme="minorHAnsi" w:hAnsiTheme="minorHAnsi"/>
          <w:i/>
          <w:sz w:val="20"/>
        </w:rPr>
      </w:pPr>
      <w:r>
        <w:rPr>
          <w:rFonts w:asciiTheme="minorHAnsi" w:hAnsiTheme="minorHAnsi"/>
          <w:i/>
          <w:sz w:val="20"/>
        </w:rPr>
        <w:t>This template is meant to guide non-Party stakeholders</w:t>
      </w:r>
      <w:r w:rsidR="0066071D">
        <w:rPr>
          <w:rFonts w:asciiTheme="minorHAnsi" w:hAnsiTheme="minorHAnsi"/>
          <w:i/>
          <w:sz w:val="20"/>
        </w:rPr>
        <w:t xml:space="preserve"> (</w:t>
      </w:r>
      <w:r w:rsidR="0066071D" w:rsidRPr="00A318EB">
        <w:rPr>
          <w:rFonts w:asciiTheme="minorHAnsi" w:hAnsiTheme="minorHAnsi"/>
          <w:i/>
          <w:sz w:val="20"/>
        </w:rPr>
        <w:t>organization(s), coalition(s), initiative(s) and/or sector</w:t>
      </w:r>
      <w:r w:rsidR="0066071D">
        <w:rPr>
          <w:rFonts w:asciiTheme="minorHAnsi" w:hAnsiTheme="minorHAnsi"/>
          <w:i/>
          <w:sz w:val="20"/>
        </w:rPr>
        <w:t>(s) etc.)</w:t>
      </w:r>
      <w:r>
        <w:rPr>
          <w:rFonts w:asciiTheme="minorHAnsi" w:hAnsiTheme="minorHAnsi"/>
          <w:i/>
          <w:sz w:val="20"/>
        </w:rPr>
        <w:t xml:space="preserve"> in providing inputs that are relevant and impactful to the Talanoa Dialogue process. Using such the template is not mandatory, however, the High-level Champions encourage non-Party stakeholders to use such a structure to facilitate capturing and highlighting the key messages across the three questions.</w:t>
      </w:r>
    </w:p>
    <w:p w:rsidR="001D66AE" w:rsidRPr="00A318EB" w:rsidRDefault="001D66AE" w:rsidP="001D66AE">
      <w:pPr>
        <w:rPr>
          <w:rFonts w:asciiTheme="minorHAnsi" w:hAnsiTheme="minorHAnsi"/>
          <w:b/>
          <w:sz w:val="24"/>
          <w:szCs w:val="24"/>
        </w:rPr>
      </w:pPr>
    </w:p>
    <w:p w:rsidR="001D66AE" w:rsidRPr="00A318EB" w:rsidRDefault="001D66AE" w:rsidP="001D66AE">
      <w:pPr>
        <w:rPr>
          <w:rFonts w:asciiTheme="minorHAnsi" w:hAnsiTheme="minorHAnsi"/>
          <w:b/>
          <w:sz w:val="24"/>
          <w:szCs w:val="24"/>
        </w:rPr>
      </w:pPr>
      <w:r w:rsidRPr="00A318EB">
        <w:rPr>
          <w:rFonts w:asciiTheme="minorHAnsi" w:hAnsiTheme="minorHAnsi"/>
          <w:b/>
          <w:sz w:val="24"/>
          <w:szCs w:val="24"/>
        </w:rPr>
        <w:t xml:space="preserve">Where are we? </w:t>
      </w:r>
    </w:p>
    <w:p w:rsidR="001D66AE" w:rsidRPr="00A318EB" w:rsidRDefault="001D66AE" w:rsidP="001D66AE">
      <w:pPr>
        <w:rPr>
          <w:rFonts w:asciiTheme="minorHAnsi" w:hAnsiTheme="minorHAnsi"/>
          <w:i/>
          <w:sz w:val="20"/>
        </w:rPr>
      </w:pPr>
      <w:r w:rsidRPr="00A318EB">
        <w:rPr>
          <w:rFonts w:asciiTheme="minorHAnsi" w:hAnsiTheme="minorHAnsi"/>
          <w:i/>
          <w:sz w:val="20"/>
        </w:rPr>
        <w:t>The commitment</w:t>
      </w:r>
      <w:r>
        <w:rPr>
          <w:rFonts w:asciiTheme="minorHAnsi" w:hAnsiTheme="minorHAnsi"/>
          <w:i/>
          <w:sz w:val="20"/>
        </w:rPr>
        <w:t xml:space="preserve"> </w:t>
      </w:r>
      <w:r w:rsidR="0066071D">
        <w:rPr>
          <w:rFonts w:asciiTheme="minorHAnsi" w:hAnsiTheme="minorHAnsi"/>
          <w:i/>
          <w:sz w:val="20"/>
        </w:rPr>
        <w:t>(planned and/or announced) as well as</w:t>
      </w:r>
      <w:r w:rsidRPr="00A318EB">
        <w:rPr>
          <w:rFonts w:asciiTheme="minorHAnsi" w:hAnsiTheme="minorHAnsi"/>
          <w:i/>
          <w:sz w:val="20"/>
        </w:rPr>
        <w:t xml:space="preserve"> the actions taken so far that are in line with aims of Paris Agreement</w:t>
      </w:r>
      <w:r w:rsidR="004D526B">
        <w:rPr>
          <w:rFonts w:asciiTheme="minorHAnsi" w:hAnsiTheme="minorHAnsi"/>
          <w:i/>
          <w:sz w:val="20"/>
        </w:rPr>
        <w:t>,</w:t>
      </w:r>
      <w:r w:rsidRPr="00A318EB">
        <w:rPr>
          <w:rFonts w:asciiTheme="minorHAnsi" w:hAnsiTheme="minorHAnsi"/>
          <w:i/>
          <w:sz w:val="20"/>
        </w:rPr>
        <w:t xml:space="preserve"> the 1.5/2 degrees’ goal</w:t>
      </w:r>
      <w:r w:rsidR="004D526B">
        <w:rPr>
          <w:rFonts w:asciiTheme="minorHAnsi" w:hAnsiTheme="minorHAnsi"/>
          <w:i/>
          <w:sz w:val="20"/>
        </w:rPr>
        <w:t xml:space="preserve"> and the transition towards a net-zero emission society by this mid-century</w:t>
      </w:r>
      <w:r w:rsidRPr="00A318EB">
        <w:rPr>
          <w:rFonts w:asciiTheme="minorHAnsi" w:hAnsiTheme="minorHAnsi"/>
          <w:i/>
          <w:sz w:val="20"/>
        </w:rPr>
        <w:t xml:space="preserve"> [Maximum 300 words]</w:t>
      </w:r>
    </w:p>
    <w:tbl>
      <w:tblPr>
        <w:tblStyle w:val="TableGrid"/>
        <w:tblW w:w="0" w:type="auto"/>
        <w:tblLook w:val="04A0" w:firstRow="1" w:lastRow="0" w:firstColumn="1" w:lastColumn="0" w:noHBand="0" w:noVBand="1"/>
      </w:tblPr>
      <w:tblGrid>
        <w:gridCol w:w="9016"/>
      </w:tblGrid>
      <w:tr w:rsidR="001D66AE" w:rsidRPr="00A318EB" w:rsidTr="00176A1A">
        <w:tc>
          <w:tcPr>
            <w:tcW w:w="9016" w:type="dxa"/>
          </w:tcPr>
          <w:p w:rsidR="00176A1A" w:rsidRDefault="00176A1A" w:rsidP="00176A1A">
            <w:pPr>
              <w:rPr>
                <w:i/>
                <w:sz w:val="20"/>
              </w:rPr>
            </w:pPr>
            <w:r w:rsidRPr="00176A1A">
              <w:rPr>
                <w:i/>
                <w:sz w:val="20"/>
              </w:rPr>
              <w:t xml:space="preserve">The </w:t>
            </w:r>
            <w:r>
              <w:rPr>
                <w:i/>
                <w:sz w:val="20"/>
              </w:rPr>
              <w:t xml:space="preserve">Un Environment </w:t>
            </w:r>
            <w:proofErr w:type="spellStart"/>
            <w:r>
              <w:rPr>
                <w:i/>
                <w:sz w:val="20"/>
              </w:rPr>
              <w:t>Emmissions</w:t>
            </w:r>
            <w:proofErr w:type="spellEnd"/>
            <w:r>
              <w:rPr>
                <w:i/>
                <w:sz w:val="20"/>
              </w:rPr>
              <w:t xml:space="preserve"> </w:t>
            </w:r>
            <w:r w:rsidRPr="00176A1A">
              <w:rPr>
                <w:i/>
                <w:sz w:val="20"/>
              </w:rPr>
              <w:t xml:space="preserve">Gap report </w:t>
            </w:r>
            <w:r>
              <w:rPr>
                <w:i/>
                <w:sz w:val="20"/>
              </w:rPr>
              <w:t>2018 will present</w:t>
            </w:r>
            <w:r w:rsidRPr="00176A1A">
              <w:rPr>
                <w:i/>
                <w:sz w:val="20"/>
              </w:rPr>
              <w:t xml:space="preserve"> the status of the current NDC ambitions and compares the results with the emissions paths required to stay on track to respectively the 2 and 1,5 degree goals. It combines this with an assessment of the pre 2020 ambitions represented by the Cancun Pledges and in this way very clearly sums up the latest science on “where are we”.</w:t>
            </w:r>
          </w:p>
          <w:p w:rsidR="00176A1A" w:rsidRPr="00176A1A" w:rsidRDefault="00176A1A" w:rsidP="00176A1A">
            <w:pPr>
              <w:rPr>
                <w:i/>
                <w:sz w:val="20"/>
              </w:rPr>
            </w:pPr>
            <w:r>
              <w:rPr>
                <w:i/>
                <w:sz w:val="20"/>
              </w:rPr>
              <w:t>The 2017 Report made the following summary on “where are we”:</w:t>
            </w:r>
          </w:p>
          <w:p w:rsidR="00176A1A" w:rsidRPr="00176A1A" w:rsidRDefault="00176A1A" w:rsidP="00176A1A">
            <w:pPr>
              <w:rPr>
                <w:i/>
                <w:sz w:val="20"/>
              </w:rPr>
            </w:pPr>
            <w:r w:rsidRPr="00176A1A">
              <w:rPr>
                <w:b/>
                <w:bCs/>
                <w:i/>
                <w:sz w:val="20"/>
              </w:rPr>
              <w:t>What will NDCs contribute?</w:t>
            </w:r>
          </w:p>
          <w:p w:rsidR="00176A1A" w:rsidRPr="00176A1A" w:rsidRDefault="00176A1A" w:rsidP="00176A1A">
            <w:pPr>
              <w:numPr>
                <w:ilvl w:val="0"/>
                <w:numId w:val="2"/>
              </w:numPr>
              <w:tabs>
                <w:tab w:val="clear" w:pos="720"/>
                <w:tab w:val="left" w:pos="709"/>
              </w:tabs>
              <w:rPr>
                <w:i/>
                <w:sz w:val="20"/>
              </w:rPr>
            </w:pPr>
            <w:r w:rsidRPr="00176A1A">
              <w:rPr>
                <w:i/>
                <w:sz w:val="20"/>
              </w:rPr>
              <w:t>Emission levels resulting from NDCs are 4 to 6 GtCO</w:t>
            </w:r>
            <w:r w:rsidRPr="00176A1A">
              <w:rPr>
                <w:b/>
                <w:bCs/>
                <w:i/>
                <w:sz w:val="20"/>
                <w:vertAlign w:val="subscript"/>
              </w:rPr>
              <w:t>2</w:t>
            </w:r>
            <w:r w:rsidRPr="00176A1A">
              <w:rPr>
                <w:i/>
                <w:sz w:val="20"/>
              </w:rPr>
              <w:t>e/</w:t>
            </w:r>
            <w:proofErr w:type="spellStart"/>
            <w:r w:rsidRPr="00176A1A">
              <w:rPr>
                <w:i/>
                <w:sz w:val="20"/>
              </w:rPr>
              <w:t>yr</w:t>
            </w:r>
            <w:proofErr w:type="spellEnd"/>
            <w:r w:rsidRPr="00176A1A">
              <w:rPr>
                <w:i/>
                <w:sz w:val="20"/>
              </w:rPr>
              <w:t xml:space="preserve"> lower than the current policy trajectory in 2030, but the remaining Gap is in the order of 11 to 13,5 GtCO</w:t>
            </w:r>
            <w:r w:rsidRPr="00176A1A">
              <w:rPr>
                <w:b/>
                <w:bCs/>
                <w:i/>
                <w:sz w:val="20"/>
                <w:vertAlign w:val="subscript"/>
              </w:rPr>
              <w:t>2</w:t>
            </w:r>
            <w:r w:rsidRPr="00176A1A">
              <w:rPr>
                <w:i/>
                <w:sz w:val="20"/>
              </w:rPr>
              <w:t>e/</w:t>
            </w:r>
            <w:proofErr w:type="spellStart"/>
            <w:r w:rsidRPr="00176A1A">
              <w:rPr>
                <w:i/>
                <w:sz w:val="20"/>
              </w:rPr>
              <w:t>yr</w:t>
            </w:r>
            <w:proofErr w:type="spellEnd"/>
            <w:r w:rsidRPr="00176A1A">
              <w:rPr>
                <w:i/>
                <w:sz w:val="20"/>
              </w:rPr>
              <w:t xml:space="preserve"> compared with 2</w:t>
            </w:r>
            <w:r w:rsidRPr="00176A1A">
              <w:rPr>
                <w:i/>
                <w:sz w:val="20"/>
                <w:vertAlign w:val="superscript"/>
              </w:rPr>
              <w:t>o</w:t>
            </w:r>
            <w:r w:rsidRPr="00176A1A">
              <w:rPr>
                <w:i/>
                <w:sz w:val="20"/>
              </w:rPr>
              <w:t>C scenarios and 16 to 19 GtCO</w:t>
            </w:r>
            <w:r w:rsidRPr="00176A1A">
              <w:rPr>
                <w:b/>
                <w:bCs/>
                <w:i/>
                <w:sz w:val="20"/>
                <w:vertAlign w:val="subscript"/>
              </w:rPr>
              <w:t>2</w:t>
            </w:r>
            <w:r w:rsidRPr="00176A1A">
              <w:rPr>
                <w:i/>
                <w:sz w:val="20"/>
              </w:rPr>
              <w:t>e/</w:t>
            </w:r>
            <w:proofErr w:type="spellStart"/>
            <w:r w:rsidRPr="00176A1A">
              <w:rPr>
                <w:i/>
                <w:sz w:val="20"/>
              </w:rPr>
              <w:t>yr</w:t>
            </w:r>
            <w:proofErr w:type="spellEnd"/>
            <w:r w:rsidRPr="00176A1A">
              <w:rPr>
                <w:i/>
                <w:sz w:val="20"/>
              </w:rPr>
              <w:t xml:space="preserve"> compared with 1.5</w:t>
            </w:r>
            <w:r w:rsidRPr="00176A1A">
              <w:rPr>
                <w:i/>
                <w:sz w:val="20"/>
                <w:vertAlign w:val="superscript"/>
              </w:rPr>
              <w:t>o</w:t>
            </w:r>
            <w:r w:rsidRPr="00176A1A">
              <w:rPr>
                <w:i/>
                <w:sz w:val="20"/>
              </w:rPr>
              <w:t>C</w:t>
            </w:r>
          </w:p>
          <w:p w:rsidR="00176A1A" w:rsidRPr="00176A1A" w:rsidRDefault="00176A1A" w:rsidP="00176A1A">
            <w:pPr>
              <w:rPr>
                <w:i/>
                <w:sz w:val="20"/>
              </w:rPr>
            </w:pPr>
            <w:r w:rsidRPr="00176A1A">
              <w:rPr>
                <w:b/>
                <w:bCs/>
                <w:i/>
                <w:sz w:val="20"/>
              </w:rPr>
              <w:t>Will this be sufficient to stay well below 2°C?</w:t>
            </w:r>
          </w:p>
          <w:p w:rsidR="001D66AE" w:rsidRPr="00A318EB" w:rsidRDefault="00176A1A" w:rsidP="00176A1A">
            <w:pPr>
              <w:numPr>
                <w:ilvl w:val="0"/>
                <w:numId w:val="3"/>
              </w:numPr>
              <w:tabs>
                <w:tab w:val="clear" w:pos="720"/>
                <w:tab w:val="left" w:pos="709"/>
              </w:tabs>
              <w:rPr>
                <w:i/>
                <w:sz w:val="20"/>
              </w:rPr>
            </w:pPr>
            <w:r w:rsidRPr="00176A1A">
              <w:rPr>
                <w:i/>
                <w:sz w:val="20"/>
              </w:rPr>
              <w:t>Without enhanced ambition the likely global average temperature increase will be in the range of 3.0 - 3.2°C by the end of the century. The carbon dioxide budget for the 2</w:t>
            </w:r>
            <w:r w:rsidRPr="00176A1A">
              <w:rPr>
                <w:i/>
                <w:sz w:val="20"/>
                <w:vertAlign w:val="superscript"/>
              </w:rPr>
              <w:t>o</w:t>
            </w:r>
            <w:r w:rsidRPr="00176A1A">
              <w:rPr>
                <w:i/>
                <w:sz w:val="20"/>
              </w:rPr>
              <w:t>C scenario will be close to depleted by 2030, and the 1.5</w:t>
            </w:r>
            <w:r w:rsidRPr="00176A1A">
              <w:rPr>
                <w:i/>
                <w:sz w:val="20"/>
                <w:vertAlign w:val="superscript"/>
              </w:rPr>
              <w:t>o</w:t>
            </w:r>
            <w:r w:rsidRPr="00176A1A">
              <w:rPr>
                <w:i/>
                <w:sz w:val="20"/>
              </w:rPr>
              <w:t>C budget exceeded by far.</w:t>
            </w:r>
          </w:p>
        </w:tc>
      </w:tr>
    </w:tbl>
    <w:p w:rsidR="001D66AE" w:rsidRPr="00A318EB" w:rsidRDefault="001D66AE" w:rsidP="001D66AE">
      <w:pPr>
        <w:rPr>
          <w:rFonts w:asciiTheme="minorHAnsi" w:hAnsiTheme="minorHAnsi"/>
          <w:i/>
          <w:sz w:val="20"/>
        </w:rPr>
      </w:pPr>
    </w:p>
    <w:p w:rsidR="001D66AE" w:rsidRPr="00A318EB" w:rsidRDefault="001D66AE" w:rsidP="001D66AE">
      <w:pPr>
        <w:rPr>
          <w:rFonts w:asciiTheme="minorHAnsi" w:hAnsiTheme="minorHAnsi"/>
          <w:i/>
          <w:sz w:val="20"/>
        </w:rPr>
      </w:pPr>
      <w:r w:rsidRPr="00A318EB">
        <w:rPr>
          <w:rFonts w:asciiTheme="minorHAnsi" w:hAnsiTheme="minorHAnsi"/>
          <w:i/>
          <w:sz w:val="20"/>
        </w:rPr>
        <w:t>Progress made so far against the above commitments</w:t>
      </w:r>
      <w:r w:rsidR="005E6302">
        <w:rPr>
          <w:rFonts w:asciiTheme="minorHAnsi" w:hAnsiTheme="minorHAnsi"/>
          <w:i/>
          <w:sz w:val="20"/>
        </w:rPr>
        <w:t xml:space="preserve">, including success </w:t>
      </w:r>
      <w:r w:rsidR="00B824E9">
        <w:rPr>
          <w:rFonts w:asciiTheme="minorHAnsi" w:hAnsiTheme="minorHAnsi"/>
          <w:i/>
          <w:sz w:val="20"/>
        </w:rPr>
        <w:t>stories</w:t>
      </w:r>
      <w:r w:rsidR="004D526B">
        <w:rPr>
          <w:rFonts w:asciiTheme="minorHAnsi" w:hAnsiTheme="minorHAnsi"/>
          <w:i/>
          <w:sz w:val="20"/>
        </w:rPr>
        <w:t>,</w:t>
      </w:r>
      <w:r w:rsidR="00B824E9">
        <w:rPr>
          <w:rFonts w:asciiTheme="minorHAnsi" w:hAnsiTheme="minorHAnsi"/>
          <w:i/>
          <w:sz w:val="20"/>
        </w:rPr>
        <w:t xml:space="preserve"> </w:t>
      </w:r>
      <w:r w:rsidR="005E6302">
        <w:rPr>
          <w:rFonts w:asciiTheme="minorHAnsi" w:hAnsiTheme="minorHAnsi"/>
          <w:i/>
          <w:sz w:val="20"/>
        </w:rPr>
        <w:t>case studies</w:t>
      </w:r>
      <w:r w:rsidRPr="00A318EB">
        <w:rPr>
          <w:rFonts w:asciiTheme="minorHAnsi" w:hAnsiTheme="minorHAnsi"/>
          <w:i/>
          <w:sz w:val="20"/>
        </w:rPr>
        <w:t xml:space="preserve"> </w:t>
      </w:r>
      <w:r w:rsidR="004D526B">
        <w:rPr>
          <w:rFonts w:asciiTheme="minorHAnsi" w:hAnsiTheme="minorHAnsi"/>
          <w:i/>
          <w:sz w:val="20"/>
        </w:rPr>
        <w:t xml:space="preserve">and gaps </w:t>
      </w:r>
      <w:r w:rsidRPr="00A318EB">
        <w:rPr>
          <w:rFonts w:asciiTheme="minorHAnsi" w:hAnsiTheme="minorHAnsi"/>
          <w:i/>
          <w:sz w:val="20"/>
        </w:rPr>
        <w:t>[Maximum 300 words]</w:t>
      </w:r>
    </w:p>
    <w:tbl>
      <w:tblPr>
        <w:tblStyle w:val="TableGrid"/>
        <w:tblW w:w="0" w:type="auto"/>
        <w:tblLook w:val="04A0" w:firstRow="1" w:lastRow="0" w:firstColumn="1" w:lastColumn="0" w:noHBand="0" w:noVBand="1"/>
      </w:tblPr>
      <w:tblGrid>
        <w:gridCol w:w="9016"/>
      </w:tblGrid>
      <w:tr w:rsidR="001D66AE" w:rsidRPr="00A318EB" w:rsidTr="00176A1A">
        <w:tc>
          <w:tcPr>
            <w:tcW w:w="9016" w:type="dxa"/>
          </w:tcPr>
          <w:p w:rsidR="00882641" w:rsidRPr="00882641" w:rsidRDefault="00882641" w:rsidP="00882641">
            <w:pPr>
              <w:rPr>
                <w:i/>
                <w:sz w:val="20"/>
              </w:rPr>
            </w:pPr>
            <w:r>
              <w:rPr>
                <w:i/>
                <w:sz w:val="20"/>
              </w:rPr>
              <w:t>The 2018 Gap Report will provide updated information on the possible ways of enhancing ambition both by government and by non-state actors</w:t>
            </w:r>
          </w:p>
          <w:p w:rsidR="00882641" w:rsidRDefault="00882641" w:rsidP="00882641">
            <w:pPr>
              <w:numPr>
                <w:ilvl w:val="0"/>
                <w:numId w:val="4"/>
              </w:numPr>
              <w:rPr>
                <w:i/>
                <w:sz w:val="20"/>
              </w:rPr>
            </w:pPr>
            <w:r w:rsidRPr="00882641">
              <w:rPr>
                <w:b/>
                <w:i/>
                <w:sz w:val="20"/>
              </w:rPr>
              <w:t xml:space="preserve">What are the options to put forward strengthened NDCs by 2020? </w:t>
            </w:r>
            <w:r w:rsidRPr="00882641">
              <w:rPr>
                <w:i/>
                <w:sz w:val="20"/>
              </w:rPr>
              <w:t>Overall assessment of options to enhance NDCs</w:t>
            </w:r>
          </w:p>
          <w:p w:rsidR="00882641" w:rsidRPr="00882641" w:rsidRDefault="00882641" w:rsidP="00882641">
            <w:pPr>
              <w:numPr>
                <w:ilvl w:val="0"/>
                <w:numId w:val="4"/>
              </w:numPr>
              <w:rPr>
                <w:i/>
                <w:sz w:val="20"/>
              </w:rPr>
            </w:pPr>
            <w:r w:rsidRPr="00882641">
              <w:rPr>
                <w:b/>
                <w:i/>
                <w:sz w:val="20"/>
              </w:rPr>
              <w:t xml:space="preserve">Where are the major opportunities at country level, what are the barriers and how can they be removed? </w:t>
            </w:r>
            <w:r w:rsidRPr="00882641">
              <w:rPr>
                <w:i/>
                <w:sz w:val="20"/>
              </w:rPr>
              <w:t>C</w:t>
            </w:r>
            <w:proofErr w:type="spellStart"/>
            <w:r w:rsidRPr="00882641">
              <w:rPr>
                <w:i/>
                <w:sz w:val="20"/>
                <w:lang w:val="en-US"/>
              </w:rPr>
              <w:t>ountry</w:t>
            </w:r>
            <w:proofErr w:type="spellEnd"/>
            <w:r w:rsidRPr="00882641">
              <w:rPr>
                <w:i/>
                <w:sz w:val="20"/>
                <w:lang w:val="en-US"/>
              </w:rPr>
              <w:t xml:space="preserve"> specific recommendations on what more could be </w:t>
            </w:r>
            <w:r>
              <w:rPr>
                <w:i/>
                <w:sz w:val="20"/>
                <w:lang w:val="en-US"/>
              </w:rPr>
              <w:t xml:space="preserve">potentially be </w:t>
            </w:r>
            <w:r w:rsidRPr="00882641">
              <w:rPr>
                <w:i/>
                <w:sz w:val="20"/>
                <w:lang w:val="en-US"/>
              </w:rPr>
              <w:t>done, what/where the barriers are (e.g. finance, investments, institutional, policy and legislation), and how they could be removed (policies, legislation or support).</w:t>
            </w:r>
          </w:p>
          <w:p w:rsidR="00882641" w:rsidRDefault="00882641" w:rsidP="00882641">
            <w:pPr>
              <w:numPr>
                <w:ilvl w:val="0"/>
                <w:numId w:val="4"/>
              </w:numPr>
              <w:rPr>
                <w:i/>
                <w:sz w:val="20"/>
              </w:rPr>
            </w:pPr>
            <w:r w:rsidRPr="00882641">
              <w:rPr>
                <w:b/>
                <w:i/>
                <w:sz w:val="20"/>
              </w:rPr>
              <w:t xml:space="preserve">What has worked where, when and why/how? </w:t>
            </w:r>
            <w:r w:rsidRPr="00882641">
              <w:rPr>
                <w:i/>
                <w:sz w:val="20"/>
              </w:rPr>
              <w:t>Trailblazer examples inserted e.g. in Boxes. These could cover, for example the roll-out of renewable energy in China, decrease in costs and expansion of storage capacity and possibilities for renewable energy, etc. Adopting a common structure, these examples would include an assessment of what it would take to replicate them and scale them up, which could be picked up in the chapter on innovation, if we choose to keep it.</w:t>
            </w:r>
          </w:p>
          <w:p w:rsidR="001D66AE" w:rsidRPr="00882641" w:rsidRDefault="00882641" w:rsidP="00882641">
            <w:pPr>
              <w:numPr>
                <w:ilvl w:val="0"/>
                <w:numId w:val="4"/>
              </w:numPr>
              <w:rPr>
                <w:i/>
                <w:sz w:val="20"/>
              </w:rPr>
            </w:pPr>
            <w:r w:rsidRPr="00882641">
              <w:rPr>
                <w:b/>
                <w:i/>
                <w:sz w:val="20"/>
              </w:rPr>
              <w:lastRenderedPageBreak/>
              <w:t xml:space="preserve">What are the key threshold decisions that will shape the future? </w:t>
            </w:r>
            <w:r w:rsidRPr="00882641">
              <w:rPr>
                <w:i/>
                <w:sz w:val="20"/>
              </w:rPr>
              <w:t>Examples of lock-in/lock-out path dependent options  cases where countries are on the threshold of a decision that shapes future trajectories. Many of these are on the demand side, and often escape attention by climate/energy departments. (urbanization patterns, transport networks, building design etc.)</w:t>
            </w:r>
          </w:p>
          <w:p w:rsidR="001D66AE" w:rsidRPr="00A318EB" w:rsidRDefault="001D66AE" w:rsidP="00176A1A">
            <w:pPr>
              <w:rPr>
                <w:i/>
                <w:sz w:val="20"/>
              </w:rPr>
            </w:pPr>
          </w:p>
          <w:p w:rsidR="00882641" w:rsidRPr="00882641" w:rsidRDefault="00882641" w:rsidP="00882641">
            <w:pPr>
              <w:numPr>
                <w:ilvl w:val="0"/>
                <w:numId w:val="4"/>
              </w:numPr>
              <w:rPr>
                <w:i/>
                <w:sz w:val="20"/>
              </w:rPr>
            </w:pPr>
            <w:r w:rsidRPr="00882641">
              <w:rPr>
                <w:b/>
                <w:i/>
                <w:sz w:val="20"/>
              </w:rPr>
              <w:t xml:space="preserve">What is the potential contribution of NSA to enhancing the ambition of NDCs and bridging the 2030 emissions gap? </w:t>
            </w:r>
            <w:r w:rsidRPr="00882641">
              <w:rPr>
                <w:i/>
                <w:sz w:val="20"/>
              </w:rPr>
              <w:t>Assessment of total emission redu</w:t>
            </w:r>
            <w:r>
              <w:rPr>
                <w:i/>
                <w:sz w:val="20"/>
              </w:rPr>
              <w:t>ction potential of NSA in 2030.</w:t>
            </w:r>
            <w:r w:rsidRPr="00882641">
              <w:rPr>
                <w:i/>
                <w:sz w:val="20"/>
              </w:rPr>
              <w:t xml:space="preserve"> </w:t>
            </w:r>
          </w:p>
          <w:p w:rsidR="00882641" w:rsidRPr="00882641" w:rsidRDefault="00882641" w:rsidP="00882641">
            <w:pPr>
              <w:numPr>
                <w:ilvl w:val="0"/>
                <w:numId w:val="4"/>
              </w:numPr>
              <w:rPr>
                <w:i/>
                <w:sz w:val="20"/>
              </w:rPr>
            </w:pPr>
            <w:r w:rsidRPr="00882641">
              <w:rPr>
                <w:b/>
                <w:i/>
                <w:sz w:val="20"/>
              </w:rPr>
              <w:t>What can we say about the potential by region, type of actions, etc</w:t>
            </w:r>
            <w:r w:rsidRPr="00882641">
              <w:rPr>
                <w:i/>
                <w:sz w:val="20"/>
              </w:rPr>
              <w:t>.</w:t>
            </w:r>
            <w:r w:rsidRPr="00882641">
              <w:rPr>
                <w:b/>
                <w:i/>
                <w:sz w:val="20"/>
              </w:rPr>
              <w:t>, and how can NSA be scaled up</w:t>
            </w:r>
            <w:r w:rsidRPr="00882641">
              <w:rPr>
                <w:i/>
                <w:sz w:val="20"/>
              </w:rPr>
              <w:t>?</w:t>
            </w:r>
          </w:p>
          <w:p w:rsidR="00882641" w:rsidRPr="00882641" w:rsidRDefault="00882641" w:rsidP="00882641">
            <w:pPr>
              <w:numPr>
                <w:ilvl w:val="0"/>
                <w:numId w:val="4"/>
              </w:numPr>
              <w:rPr>
                <w:i/>
                <w:sz w:val="20"/>
              </w:rPr>
            </w:pPr>
            <w:r w:rsidRPr="00882641">
              <w:rPr>
                <w:b/>
                <w:i/>
                <w:sz w:val="20"/>
              </w:rPr>
              <w:t>What are the</w:t>
            </w:r>
            <w:r w:rsidRPr="00882641">
              <w:rPr>
                <w:i/>
                <w:sz w:val="20"/>
              </w:rPr>
              <w:t xml:space="preserve"> </w:t>
            </w:r>
            <w:r w:rsidRPr="00882641">
              <w:rPr>
                <w:b/>
                <w:i/>
                <w:sz w:val="20"/>
              </w:rPr>
              <w:t>key methodological challenges and how they can be or are being addressed?</w:t>
            </w:r>
            <w:r w:rsidRPr="00882641">
              <w:rPr>
                <w:i/>
                <w:sz w:val="20"/>
              </w:rPr>
              <w:t xml:space="preserve"> </w:t>
            </w:r>
          </w:p>
          <w:p w:rsidR="00882641" w:rsidRPr="00882641" w:rsidRDefault="00882641" w:rsidP="00882641">
            <w:pPr>
              <w:numPr>
                <w:ilvl w:val="0"/>
                <w:numId w:val="4"/>
              </w:numPr>
              <w:rPr>
                <w:i/>
                <w:sz w:val="20"/>
              </w:rPr>
            </w:pPr>
            <w:r w:rsidRPr="00882641">
              <w:rPr>
                <w:b/>
                <w:i/>
                <w:sz w:val="20"/>
              </w:rPr>
              <w:t xml:space="preserve">Are NSA's delivering on their promise? </w:t>
            </w:r>
            <w:r w:rsidRPr="00882641">
              <w:rPr>
                <w:i/>
                <w:sz w:val="20"/>
              </w:rPr>
              <w:t>Tracking implementation of NSA pledged (including for 2020, and including challenges for doing so and how to overcome these moving forward)</w:t>
            </w:r>
          </w:p>
          <w:p w:rsidR="00882641" w:rsidRPr="00882641" w:rsidRDefault="00882641" w:rsidP="00882641">
            <w:pPr>
              <w:numPr>
                <w:ilvl w:val="0"/>
                <w:numId w:val="4"/>
              </w:numPr>
              <w:rPr>
                <w:i/>
                <w:sz w:val="20"/>
              </w:rPr>
            </w:pPr>
            <w:r w:rsidRPr="00882641">
              <w:rPr>
                <w:i/>
                <w:sz w:val="20"/>
              </w:rPr>
              <w:t>In addition, the chapter will link back to the discussion in previous chapters on the role of enabling frameworks (established nationally or internationally) to strengthen, support and realize emission reduction potentials through NSAs.</w:t>
            </w:r>
          </w:p>
          <w:p w:rsidR="001D66AE" w:rsidRPr="00A318EB" w:rsidRDefault="001D66AE" w:rsidP="00176A1A">
            <w:pPr>
              <w:rPr>
                <w:i/>
                <w:sz w:val="20"/>
              </w:rPr>
            </w:pPr>
          </w:p>
        </w:tc>
      </w:tr>
    </w:tbl>
    <w:p w:rsidR="001D66AE" w:rsidRPr="00A318EB" w:rsidRDefault="001D66AE" w:rsidP="001D66AE">
      <w:pPr>
        <w:rPr>
          <w:rFonts w:asciiTheme="minorHAnsi" w:hAnsiTheme="minorHAnsi"/>
          <w:sz w:val="20"/>
        </w:rPr>
      </w:pPr>
    </w:p>
    <w:p w:rsidR="001D66AE" w:rsidRPr="00A318EB" w:rsidRDefault="001D66AE" w:rsidP="001D66AE">
      <w:pPr>
        <w:rPr>
          <w:rFonts w:asciiTheme="minorHAnsi" w:hAnsiTheme="minorHAnsi"/>
          <w:i/>
          <w:sz w:val="20"/>
        </w:rPr>
      </w:pPr>
      <w:r w:rsidRPr="00A318EB">
        <w:rPr>
          <w:rFonts w:asciiTheme="minorHAnsi" w:hAnsiTheme="minorHAnsi"/>
          <w:i/>
          <w:sz w:val="20"/>
        </w:rPr>
        <w:t>Quantitative impact so far with respect to mitigation, adaptation</w:t>
      </w:r>
      <w:r w:rsidR="004D526B">
        <w:rPr>
          <w:rFonts w:asciiTheme="minorHAnsi" w:hAnsiTheme="minorHAnsi"/>
          <w:i/>
          <w:sz w:val="20"/>
        </w:rPr>
        <w:t>, resilience</w:t>
      </w:r>
      <w:r w:rsidRPr="00A318EB">
        <w:rPr>
          <w:rFonts w:asciiTheme="minorHAnsi" w:hAnsiTheme="minorHAnsi"/>
          <w:i/>
          <w:sz w:val="20"/>
        </w:rPr>
        <w:t xml:space="preserve"> and/or finance [Maximum 300 words]</w:t>
      </w:r>
    </w:p>
    <w:tbl>
      <w:tblPr>
        <w:tblStyle w:val="TableGrid"/>
        <w:tblW w:w="0" w:type="auto"/>
        <w:tblLook w:val="04A0" w:firstRow="1" w:lastRow="0" w:firstColumn="1" w:lastColumn="0" w:noHBand="0" w:noVBand="1"/>
      </w:tblPr>
      <w:tblGrid>
        <w:gridCol w:w="9016"/>
      </w:tblGrid>
      <w:tr w:rsidR="001D66AE" w:rsidRPr="00A318EB" w:rsidTr="00176A1A">
        <w:tc>
          <w:tcPr>
            <w:tcW w:w="9016" w:type="dxa"/>
          </w:tcPr>
          <w:p w:rsidR="001D66AE" w:rsidRPr="00A318EB" w:rsidRDefault="00882641" w:rsidP="00176A1A">
            <w:pPr>
              <w:rPr>
                <w:i/>
                <w:sz w:val="20"/>
              </w:rPr>
            </w:pPr>
            <w:r>
              <w:rPr>
                <w:i/>
                <w:sz w:val="20"/>
              </w:rPr>
              <w:t xml:space="preserve">The Gap Report has by many government  been considered instrumental in shaping the political discussions around the status and ambitions of the climate change negotiations, and it can be similarly be instrumental is providing the Talanoa dialogue with a solid scientific foundation on the question of “where are we” based on experts inputs from around the world. </w:t>
            </w:r>
          </w:p>
          <w:p w:rsidR="001D66AE" w:rsidRPr="00A318EB" w:rsidRDefault="001D66AE" w:rsidP="00176A1A">
            <w:pPr>
              <w:rPr>
                <w:i/>
                <w:sz w:val="20"/>
              </w:rPr>
            </w:pPr>
          </w:p>
          <w:p w:rsidR="001D66AE" w:rsidRPr="00A318EB" w:rsidRDefault="001D66AE" w:rsidP="00176A1A">
            <w:pPr>
              <w:rPr>
                <w:i/>
                <w:sz w:val="20"/>
              </w:rPr>
            </w:pPr>
          </w:p>
        </w:tc>
      </w:tr>
    </w:tbl>
    <w:p w:rsidR="001D66AE" w:rsidRDefault="001D66AE" w:rsidP="001D66AE">
      <w:pPr>
        <w:rPr>
          <w:rFonts w:asciiTheme="minorHAnsi" w:hAnsiTheme="minorHAnsi"/>
          <w:b/>
          <w:sz w:val="24"/>
          <w:szCs w:val="24"/>
        </w:rPr>
      </w:pPr>
    </w:p>
    <w:p w:rsidR="005E6302" w:rsidRDefault="005E6302" w:rsidP="001D66AE">
      <w:pPr>
        <w:rPr>
          <w:rFonts w:asciiTheme="minorHAnsi" w:hAnsiTheme="minorHAnsi"/>
          <w:b/>
          <w:sz w:val="24"/>
          <w:szCs w:val="24"/>
        </w:rPr>
      </w:pPr>
    </w:p>
    <w:sectPr w:rsidR="005E6302" w:rsidSect="009B6C10">
      <w:headerReference w:type="default" r:id="rId7"/>
      <w:pgSz w:w="12240" w:h="15840"/>
      <w:pgMar w:top="1440" w:right="1440" w:bottom="1440" w:left="1440" w:header="119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A1A" w:rsidRDefault="00176A1A" w:rsidP="005339CC">
      <w:pPr>
        <w:spacing w:line="240" w:lineRule="auto"/>
      </w:pPr>
      <w:r>
        <w:separator/>
      </w:r>
    </w:p>
  </w:endnote>
  <w:endnote w:type="continuationSeparator" w:id="0">
    <w:p w:rsidR="00176A1A" w:rsidRDefault="00176A1A" w:rsidP="00533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A1A" w:rsidRDefault="00176A1A" w:rsidP="005339CC">
      <w:pPr>
        <w:spacing w:line="240" w:lineRule="auto"/>
      </w:pPr>
      <w:r>
        <w:separator/>
      </w:r>
    </w:p>
  </w:footnote>
  <w:footnote w:type="continuationSeparator" w:id="0">
    <w:p w:rsidR="00176A1A" w:rsidRDefault="00176A1A" w:rsidP="005339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A1A" w:rsidRDefault="00176A1A" w:rsidP="00AA4B66">
    <w:pPr>
      <w:pStyle w:val="Header"/>
      <w:widowControl w:val="0"/>
    </w:pPr>
    <w:r w:rsidRPr="000A100E">
      <w:rPr>
        <w:noProof/>
        <w:lang w:val="en-US"/>
      </w:rPr>
      <w:drawing>
        <wp:anchor distT="0" distB="0" distL="114300" distR="114300" simplePos="0" relativeHeight="251660288" behindDoc="0" locked="0" layoutInCell="1" allowOverlap="1" wp14:anchorId="3A41A58F" wp14:editId="037926A9">
          <wp:simplePos x="0" y="0"/>
          <wp:positionH relativeFrom="margin">
            <wp:posOffset>3152140</wp:posOffset>
          </wp:positionH>
          <wp:positionV relativeFrom="paragraph">
            <wp:posOffset>-697534</wp:posOffset>
          </wp:positionV>
          <wp:extent cx="2762250" cy="86169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62250" cy="861695"/>
                  </a:xfrm>
                  <a:prstGeom prst="rect">
                    <a:avLst/>
                  </a:prstGeom>
                </pic:spPr>
              </pic:pic>
            </a:graphicData>
          </a:graphic>
        </wp:anchor>
      </w:drawing>
    </w:r>
    <w:r w:rsidRPr="000A100E">
      <w:rPr>
        <w:noProof/>
        <w:lang w:val="en-US"/>
      </w:rPr>
      <w:drawing>
        <wp:anchor distT="0" distB="0" distL="114300" distR="114300" simplePos="0" relativeHeight="251659264" behindDoc="0" locked="0" layoutInCell="1" allowOverlap="1" wp14:anchorId="59CCCE5A" wp14:editId="21152BF0">
          <wp:simplePos x="0" y="0"/>
          <wp:positionH relativeFrom="margin">
            <wp:posOffset>-201416</wp:posOffset>
          </wp:positionH>
          <wp:positionV relativeFrom="topMargin">
            <wp:align>bottom</wp:align>
          </wp:positionV>
          <wp:extent cx="929640" cy="752475"/>
          <wp:effectExtent l="0" t="0" r="3810"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29640" cy="752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A069A7"/>
    <w:multiLevelType w:val="hybridMultilevel"/>
    <w:tmpl w:val="0180DA2E"/>
    <w:lvl w:ilvl="0" w:tplc="F0CAF9CE">
      <w:start w:val="74"/>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19A758C"/>
    <w:multiLevelType w:val="hybridMultilevel"/>
    <w:tmpl w:val="7C1238CE"/>
    <w:lvl w:ilvl="0" w:tplc="A74A30D6">
      <w:start w:val="1"/>
      <w:numFmt w:val="bullet"/>
      <w:lvlText w:val="•"/>
      <w:lvlJc w:val="left"/>
      <w:pPr>
        <w:tabs>
          <w:tab w:val="num" w:pos="720"/>
        </w:tabs>
        <w:ind w:left="720" w:hanging="360"/>
      </w:pPr>
      <w:rPr>
        <w:rFonts w:ascii="Arial" w:hAnsi="Arial" w:hint="default"/>
      </w:rPr>
    </w:lvl>
    <w:lvl w:ilvl="1" w:tplc="CB02BDA0" w:tentative="1">
      <w:start w:val="1"/>
      <w:numFmt w:val="bullet"/>
      <w:lvlText w:val="•"/>
      <w:lvlJc w:val="left"/>
      <w:pPr>
        <w:tabs>
          <w:tab w:val="num" w:pos="1440"/>
        </w:tabs>
        <w:ind w:left="1440" w:hanging="360"/>
      </w:pPr>
      <w:rPr>
        <w:rFonts w:ascii="Arial" w:hAnsi="Arial" w:hint="default"/>
      </w:rPr>
    </w:lvl>
    <w:lvl w:ilvl="2" w:tplc="2C925596" w:tentative="1">
      <w:start w:val="1"/>
      <w:numFmt w:val="bullet"/>
      <w:lvlText w:val="•"/>
      <w:lvlJc w:val="left"/>
      <w:pPr>
        <w:tabs>
          <w:tab w:val="num" w:pos="2160"/>
        </w:tabs>
        <w:ind w:left="2160" w:hanging="360"/>
      </w:pPr>
      <w:rPr>
        <w:rFonts w:ascii="Arial" w:hAnsi="Arial" w:hint="default"/>
      </w:rPr>
    </w:lvl>
    <w:lvl w:ilvl="3" w:tplc="E410C978" w:tentative="1">
      <w:start w:val="1"/>
      <w:numFmt w:val="bullet"/>
      <w:lvlText w:val="•"/>
      <w:lvlJc w:val="left"/>
      <w:pPr>
        <w:tabs>
          <w:tab w:val="num" w:pos="2880"/>
        </w:tabs>
        <w:ind w:left="2880" w:hanging="360"/>
      </w:pPr>
      <w:rPr>
        <w:rFonts w:ascii="Arial" w:hAnsi="Arial" w:hint="default"/>
      </w:rPr>
    </w:lvl>
    <w:lvl w:ilvl="4" w:tplc="B2B69872" w:tentative="1">
      <w:start w:val="1"/>
      <w:numFmt w:val="bullet"/>
      <w:lvlText w:val="•"/>
      <w:lvlJc w:val="left"/>
      <w:pPr>
        <w:tabs>
          <w:tab w:val="num" w:pos="3600"/>
        </w:tabs>
        <w:ind w:left="3600" w:hanging="360"/>
      </w:pPr>
      <w:rPr>
        <w:rFonts w:ascii="Arial" w:hAnsi="Arial" w:hint="default"/>
      </w:rPr>
    </w:lvl>
    <w:lvl w:ilvl="5" w:tplc="C43A7B6A" w:tentative="1">
      <w:start w:val="1"/>
      <w:numFmt w:val="bullet"/>
      <w:lvlText w:val="•"/>
      <w:lvlJc w:val="left"/>
      <w:pPr>
        <w:tabs>
          <w:tab w:val="num" w:pos="4320"/>
        </w:tabs>
        <w:ind w:left="4320" w:hanging="360"/>
      </w:pPr>
      <w:rPr>
        <w:rFonts w:ascii="Arial" w:hAnsi="Arial" w:hint="default"/>
      </w:rPr>
    </w:lvl>
    <w:lvl w:ilvl="6" w:tplc="16844320" w:tentative="1">
      <w:start w:val="1"/>
      <w:numFmt w:val="bullet"/>
      <w:lvlText w:val="•"/>
      <w:lvlJc w:val="left"/>
      <w:pPr>
        <w:tabs>
          <w:tab w:val="num" w:pos="5040"/>
        </w:tabs>
        <w:ind w:left="5040" w:hanging="360"/>
      </w:pPr>
      <w:rPr>
        <w:rFonts w:ascii="Arial" w:hAnsi="Arial" w:hint="default"/>
      </w:rPr>
    </w:lvl>
    <w:lvl w:ilvl="7" w:tplc="B5A64BDE" w:tentative="1">
      <w:start w:val="1"/>
      <w:numFmt w:val="bullet"/>
      <w:lvlText w:val="•"/>
      <w:lvlJc w:val="left"/>
      <w:pPr>
        <w:tabs>
          <w:tab w:val="num" w:pos="5760"/>
        </w:tabs>
        <w:ind w:left="5760" w:hanging="360"/>
      </w:pPr>
      <w:rPr>
        <w:rFonts w:ascii="Arial" w:hAnsi="Arial" w:hint="default"/>
      </w:rPr>
    </w:lvl>
    <w:lvl w:ilvl="8" w:tplc="E076B4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3BB2EE7"/>
    <w:multiLevelType w:val="hybridMultilevel"/>
    <w:tmpl w:val="BD54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04452B"/>
    <w:multiLevelType w:val="hybridMultilevel"/>
    <w:tmpl w:val="68B2CADC"/>
    <w:lvl w:ilvl="0" w:tplc="022EEA5E">
      <w:start w:val="1"/>
      <w:numFmt w:val="bullet"/>
      <w:lvlText w:val="•"/>
      <w:lvlJc w:val="left"/>
      <w:pPr>
        <w:tabs>
          <w:tab w:val="num" w:pos="720"/>
        </w:tabs>
        <w:ind w:left="720" w:hanging="360"/>
      </w:pPr>
      <w:rPr>
        <w:rFonts w:ascii="Arial" w:hAnsi="Arial" w:hint="default"/>
      </w:rPr>
    </w:lvl>
    <w:lvl w:ilvl="1" w:tplc="CBA0472C" w:tentative="1">
      <w:start w:val="1"/>
      <w:numFmt w:val="bullet"/>
      <w:lvlText w:val="•"/>
      <w:lvlJc w:val="left"/>
      <w:pPr>
        <w:tabs>
          <w:tab w:val="num" w:pos="1440"/>
        </w:tabs>
        <w:ind w:left="1440" w:hanging="360"/>
      </w:pPr>
      <w:rPr>
        <w:rFonts w:ascii="Arial" w:hAnsi="Arial" w:hint="default"/>
      </w:rPr>
    </w:lvl>
    <w:lvl w:ilvl="2" w:tplc="B8425C1E" w:tentative="1">
      <w:start w:val="1"/>
      <w:numFmt w:val="bullet"/>
      <w:lvlText w:val="•"/>
      <w:lvlJc w:val="left"/>
      <w:pPr>
        <w:tabs>
          <w:tab w:val="num" w:pos="2160"/>
        </w:tabs>
        <w:ind w:left="2160" w:hanging="360"/>
      </w:pPr>
      <w:rPr>
        <w:rFonts w:ascii="Arial" w:hAnsi="Arial" w:hint="default"/>
      </w:rPr>
    </w:lvl>
    <w:lvl w:ilvl="3" w:tplc="77C64194" w:tentative="1">
      <w:start w:val="1"/>
      <w:numFmt w:val="bullet"/>
      <w:lvlText w:val="•"/>
      <w:lvlJc w:val="left"/>
      <w:pPr>
        <w:tabs>
          <w:tab w:val="num" w:pos="2880"/>
        </w:tabs>
        <w:ind w:left="2880" w:hanging="360"/>
      </w:pPr>
      <w:rPr>
        <w:rFonts w:ascii="Arial" w:hAnsi="Arial" w:hint="default"/>
      </w:rPr>
    </w:lvl>
    <w:lvl w:ilvl="4" w:tplc="29F643D4" w:tentative="1">
      <w:start w:val="1"/>
      <w:numFmt w:val="bullet"/>
      <w:lvlText w:val="•"/>
      <w:lvlJc w:val="left"/>
      <w:pPr>
        <w:tabs>
          <w:tab w:val="num" w:pos="3600"/>
        </w:tabs>
        <w:ind w:left="3600" w:hanging="360"/>
      </w:pPr>
      <w:rPr>
        <w:rFonts w:ascii="Arial" w:hAnsi="Arial" w:hint="default"/>
      </w:rPr>
    </w:lvl>
    <w:lvl w:ilvl="5" w:tplc="69AED852" w:tentative="1">
      <w:start w:val="1"/>
      <w:numFmt w:val="bullet"/>
      <w:lvlText w:val="•"/>
      <w:lvlJc w:val="left"/>
      <w:pPr>
        <w:tabs>
          <w:tab w:val="num" w:pos="4320"/>
        </w:tabs>
        <w:ind w:left="4320" w:hanging="360"/>
      </w:pPr>
      <w:rPr>
        <w:rFonts w:ascii="Arial" w:hAnsi="Arial" w:hint="default"/>
      </w:rPr>
    </w:lvl>
    <w:lvl w:ilvl="6" w:tplc="6B0E7A44" w:tentative="1">
      <w:start w:val="1"/>
      <w:numFmt w:val="bullet"/>
      <w:lvlText w:val="•"/>
      <w:lvlJc w:val="left"/>
      <w:pPr>
        <w:tabs>
          <w:tab w:val="num" w:pos="5040"/>
        </w:tabs>
        <w:ind w:left="5040" w:hanging="360"/>
      </w:pPr>
      <w:rPr>
        <w:rFonts w:ascii="Arial" w:hAnsi="Arial" w:hint="default"/>
      </w:rPr>
    </w:lvl>
    <w:lvl w:ilvl="7" w:tplc="E9169CCC" w:tentative="1">
      <w:start w:val="1"/>
      <w:numFmt w:val="bullet"/>
      <w:lvlText w:val="•"/>
      <w:lvlJc w:val="left"/>
      <w:pPr>
        <w:tabs>
          <w:tab w:val="num" w:pos="5760"/>
        </w:tabs>
        <w:ind w:left="5760" w:hanging="360"/>
      </w:pPr>
      <w:rPr>
        <w:rFonts w:ascii="Arial" w:hAnsi="Arial" w:hint="default"/>
      </w:rPr>
    </w:lvl>
    <w:lvl w:ilvl="8" w:tplc="A91053A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AE"/>
    <w:rsid w:val="00176A1A"/>
    <w:rsid w:val="00176EE2"/>
    <w:rsid w:val="001C774C"/>
    <w:rsid w:val="001D66AE"/>
    <w:rsid w:val="00216A9B"/>
    <w:rsid w:val="00237713"/>
    <w:rsid w:val="00283365"/>
    <w:rsid w:val="002A0875"/>
    <w:rsid w:val="00396682"/>
    <w:rsid w:val="003D371E"/>
    <w:rsid w:val="003E28D3"/>
    <w:rsid w:val="004D526B"/>
    <w:rsid w:val="005339CC"/>
    <w:rsid w:val="00595EAB"/>
    <w:rsid w:val="005C7ACC"/>
    <w:rsid w:val="005E6302"/>
    <w:rsid w:val="0066071D"/>
    <w:rsid w:val="00801E89"/>
    <w:rsid w:val="0087125E"/>
    <w:rsid w:val="00882641"/>
    <w:rsid w:val="009B6C10"/>
    <w:rsid w:val="00A919B1"/>
    <w:rsid w:val="00AA4B66"/>
    <w:rsid w:val="00B77EA8"/>
    <w:rsid w:val="00B824E9"/>
    <w:rsid w:val="00B83434"/>
    <w:rsid w:val="00DF5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FE0951-C8EB-4C18-AE66-198C9333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E6302"/>
    <w:pPr>
      <w:tabs>
        <w:tab w:val="left" w:pos="709"/>
        <w:tab w:val="left" w:pos="5245"/>
      </w:tabs>
      <w:spacing w:after="0" w:line="284" w:lineRule="atLeast"/>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1D66AE"/>
    <w:rPr>
      <w:sz w:val="16"/>
    </w:rPr>
  </w:style>
  <w:style w:type="paragraph" w:styleId="CommentText">
    <w:name w:val="annotation text"/>
    <w:basedOn w:val="Normal"/>
    <w:link w:val="CommentTextChar"/>
    <w:uiPriority w:val="99"/>
    <w:semiHidden/>
    <w:rsid w:val="001D66AE"/>
  </w:style>
  <w:style w:type="character" w:customStyle="1" w:styleId="CommentTextChar">
    <w:name w:val="Comment Text Char"/>
    <w:basedOn w:val="DefaultParagraphFont"/>
    <w:link w:val="CommentText"/>
    <w:uiPriority w:val="99"/>
    <w:semiHidden/>
    <w:rsid w:val="001D66AE"/>
    <w:rPr>
      <w:rFonts w:ascii="Times New Roman" w:eastAsia="Times New Roman" w:hAnsi="Times New Roman" w:cs="Times New Roman"/>
      <w:szCs w:val="20"/>
      <w:lang w:val="en-GB"/>
    </w:rPr>
  </w:style>
  <w:style w:type="paragraph" w:styleId="NormalWeb">
    <w:name w:val="Normal (Web)"/>
    <w:basedOn w:val="Normal"/>
    <w:uiPriority w:val="99"/>
    <w:unhideWhenUsed/>
    <w:rsid w:val="001D66AE"/>
    <w:pPr>
      <w:tabs>
        <w:tab w:val="clear" w:pos="709"/>
        <w:tab w:val="clear" w:pos="5245"/>
      </w:tabs>
      <w:spacing w:before="100" w:beforeAutospacing="1" w:after="100" w:afterAutospacing="1" w:line="240" w:lineRule="auto"/>
    </w:pPr>
    <w:rPr>
      <w:rFonts w:eastAsia="Calibri"/>
      <w:sz w:val="24"/>
      <w:szCs w:val="24"/>
      <w:lang w:val="en-US"/>
    </w:rPr>
  </w:style>
  <w:style w:type="paragraph" w:styleId="ListParagraph">
    <w:name w:val="List Paragraph"/>
    <w:basedOn w:val="Normal"/>
    <w:uiPriority w:val="34"/>
    <w:qFormat/>
    <w:rsid w:val="001D66AE"/>
    <w:pPr>
      <w:tabs>
        <w:tab w:val="clear" w:pos="709"/>
        <w:tab w:val="clear" w:pos="5245"/>
      </w:tabs>
      <w:spacing w:after="160" w:line="259" w:lineRule="auto"/>
      <w:ind w:left="720"/>
      <w:contextualSpacing/>
    </w:pPr>
    <w:rPr>
      <w:rFonts w:asciiTheme="minorHAnsi" w:eastAsiaTheme="minorHAnsi" w:hAnsiTheme="minorHAnsi" w:cstheme="minorBidi"/>
      <w:szCs w:val="22"/>
      <w:lang w:val="en-IE"/>
    </w:rPr>
  </w:style>
  <w:style w:type="table" w:styleId="TableGrid">
    <w:name w:val="Table Grid"/>
    <w:basedOn w:val="TableNormal"/>
    <w:uiPriority w:val="39"/>
    <w:rsid w:val="001D66AE"/>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6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6AE"/>
    <w:rPr>
      <w:rFonts w:ascii="Segoe UI" w:eastAsia="Times New Roman" w:hAnsi="Segoe UI" w:cs="Segoe UI"/>
      <w:sz w:val="18"/>
      <w:szCs w:val="18"/>
      <w:lang w:val="en-GB"/>
    </w:rPr>
  </w:style>
  <w:style w:type="paragraph" w:styleId="Header">
    <w:name w:val="header"/>
    <w:basedOn w:val="Normal"/>
    <w:link w:val="HeaderChar"/>
    <w:uiPriority w:val="99"/>
    <w:unhideWhenUsed/>
    <w:rsid w:val="005339CC"/>
    <w:pPr>
      <w:tabs>
        <w:tab w:val="clear" w:pos="709"/>
        <w:tab w:val="clear" w:pos="5245"/>
        <w:tab w:val="center" w:pos="4680"/>
        <w:tab w:val="right" w:pos="9360"/>
      </w:tabs>
      <w:spacing w:line="240" w:lineRule="auto"/>
    </w:pPr>
  </w:style>
  <w:style w:type="character" w:customStyle="1" w:styleId="HeaderChar">
    <w:name w:val="Header Char"/>
    <w:basedOn w:val="DefaultParagraphFont"/>
    <w:link w:val="Header"/>
    <w:uiPriority w:val="99"/>
    <w:rsid w:val="005339CC"/>
    <w:rPr>
      <w:rFonts w:ascii="Times New Roman" w:eastAsia="Times New Roman" w:hAnsi="Times New Roman" w:cs="Times New Roman"/>
      <w:szCs w:val="20"/>
      <w:lang w:val="en-GB"/>
    </w:rPr>
  </w:style>
  <w:style w:type="paragraph" w:styleId="Footer">
    <w:name w:val="footer"/>
    <w:basedOn w:val="Normal"/>
    <w:link w:val="FooterChar"/>
    <w:uiPriority w:val="99"/>
    <w:unhideWhenUsed/>
    <w:rsid w:val="005339CC"/>
    <w:pPr>
      <w:tabs>
        <w:tab w:val="clear" w:pos="709"/>
        <w:tab w:val="clear" w:pos="5245"/>
        <w:tab w:val="center" w:pos="4680"/>
        <w:tab w:val="right" w:pos="9360"/>
      </w:tabs>
      <w:spacing w:line="240" w:lineRule="auto"/>
    </w:pPr>
  </w:style>
  <w:style w:type="character" w:customStyle="1" w:styleId="FooterChar">
    <w:name w:val="Footer Char"/>
    <w:basedOn w:val="DefaultParagraphFont"/>
    <w:link w:val="Footer"/>
    <w:uiPriority w:val="99"/>
    <w:rsid w:val="005339CC"/>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30917">
      <w:bodyDiv w:val="1"/>
      <w:marLeft w:val="0"/>
      <w:marRight w:val="0"/>
      <w:marTop w:val="0"/>
      <w:marBottom w:val="0"/>
      <w:divBdr>
        <w:top w:val="none" w:sz="0" w:space="0" w:color="auto"/>
        <w:left w:val="none" w:sz="0" w:space="0" w:color="auto"/>
        <w:bottom w:val="none" w:sz="0" w:space="0" w:color="auto"/>
        <w:right w:val="none" w:sz="0" w:space="0" w:color="auto"/>
      </w:divBdr>
      <w:divsChild>
        <w:div w:id="551312600">
          <w:marLeft w:val="446"/>
          <w:marRight w:val="0"/>
          <w:marTop w:val="0"/>
          <w:marBottom w:val="0"/>
          <w:divBdr>
            <w:top w:val="none" w:sz="0" w:space="0" w:color="auto"/>
            <w:left w:val="none" w:sz="0" w:space="0" w:color="auto"/>
            <w:bottom w:val="none" w:sz="0" w:space="0" w:color="auto"/>
            <w:right w:val="none" w:sz="0" w:space="0" w:color="auto"/>
          </w:divBdr>
        </w:div>
        <w:div w:id="170578400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3939</Characters>
  <Application>Microsoft Office Word</Application>
  <DocSecurity>4</DocSecurity>
  <Lines>32</Lines>
  <Paragraphs>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DTU</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Magalhaes</dc:creator>
  <cp:lastModifiedBy>Ines Hollbauer</cp:lastModifiedBy>
  <cp:revision>2</cp:revision>
  <dcterms:created xsi:type="dcterms:W3CDTF">2018-04-01T11:02:00Z</dcterms:created>
  <dcterms:modified xsi:type="dcterms:W3CDTF">2018-04-01T11:02:00Z</dcterms:modified>
</cp:coreProperties>
</file>