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6AE" w:rsidRPr="00A318EB" w:rsidRDefault="001D66AE" w:rsidP="001D66AE">
      <w:pPr>
        <w:pStyle w:val="NormalWeb"/>
        <w:spacing w:before="0" w:beforeAutospacing="0" w:after="0" w:afterAutospacing="0" w:line="292" w:lineRule="atLeast"/>
        <w:rPr>
          <w:rFonts w:asciiTheme="minorHAnsi" w:hAnsiTheme="minorHAnsi"/>
          <w:sz w:val="22"/>
          <w:szCs w:val="22"/>
          <w:lang w:val="en-GB"/>
        </w:rPr>
      </w:pPr>
    </w:p>
    <w:p w:rsidR="001D66AE" w:rsidRPr="00A318EB" w:rsidRDefault="001D66AE" w:rsidP="001D66AE">
      <w:pPr>
        <w:jc w:val="center"/>
        <w:rPr>
          <w:rFonts w:asciiTheme="minorHAnsi" w:hAnsiTheme="minorHAnsi"/>
          <w:b/>
          <w:sz w:val="32"/>
          <w:szCs w:val="32"/>
        </w:rPr>
      </w:pPr>
      <w:r w:rsidRPr="00A318EB">
        <w:rPr>
          <w:rFonts w:asciiTheme="minorHAnsi" w:hAnsiTheme="minorHAnsi"/>
          <w:b/>
          <w:sz w:val="32"/>
          <w:szCs w:val="32"/>
        </w:rPr>
        <w:t xml:space="preserve">Template for non-Party stakeholders’ inputs </w:t>
      </w:r>
    </w:p>
    <w:p w:rsidR="001D66AE" w:rsidRDefault="001D66AE" w:rsidP="001D66AE">
      <w:pPr>
        <w:jc w:val="center"/>
        <w:rPr>
          <w:rFonts w:asciiTheme="minorHAnsi" w:hAnsiTheme="minorHAnsi"/>
          <w:b/>
          <w:sz w:val="32"/>
          <w:szCs w:val="32"/>
        </w:rPr>
      </w:pPr>
      <w:r w:rsidRPr="00A318EB">
        <w:rPr>
          <w:rFonts w:asciiTheme="minorHAnsi" w:hAnsiTheme="minorHAnsi"/>
          <w:b/>
          <w:sz w:val="32"/>
          <w:szCs w:val="32"/>
        </w:rPr>
        <w:t xml:space="preserve">for the Talanoa Dialogue </w:t>
      </w:r>
    </w:p>
    <w:p w:rsidR="001D66AE" w:rsidRDefault="001D66AE" w:rsidP="001D66AE">
      <w:pPr>
        <w:rPr>
          <w:rFonts w:asciiTheme="minorHAnsi" w:hAnsiTheme="minorHAnsi"/>
          <w:b/>
          <w:sz w:val="32"/>
          <w:szCs w:val="32"/>
        </w:rPr>
      </w:pPr>
      <w:bookmarkStart w:id="0" w:name="_GoBack"/>
      <w:bookmarkEnd w:id="0"/>
    </w:p>
    <w:p w:rsidR="001D66AE" w:rsidRDefault="001D66AE" w:rsidP="00B77EA8">
      <w:pPr>
        <w:tabs>
          <w:tab w:val="left" w:pos="4111"/>
        </w:tabs>
        <w:rPr>
          <w:rFonts w:asciiTheme="minorHAnsi" w:hAnsiTheme="minorHAnsi"/>
          <w:i/>
          <w:sz w:val="20"/>
        </w:rPr>
      </w:pPr>
      <w:r>
        <w:rPr>
          <w:rFonts w:asciiTheme="minorHAnsi" w:hAnsiTheme="minorHAnsi"/>
          <w:i/>
          <w:sz w:val="20"/>
        </w:rPr>
        <w:t>This template is meant to guide non-Party stakeholders</w:t>
      </w:r>
      <w:r w:rsidR="0066071D">
        <w:rPr>
          <w:rFonts w:asciiTheme="minorHAnsi" w:hAnsiTheme="minorHAnsi"/>
          <w:i/>
          <w:sz w:val="20"/>
        </w:rPr>
        <w:t xml:space="preserve"> (</w:t>
      </w:r>
      <w:r w:rsidR="0066071D" w:rsidRPr="00A318EB">
        <w:rPr>
          <w:rFonts w:asciiTheme="minorHAnsi" w:hAnsiTheme="minorHAnsi"/>
          <w:i/>
          <w:sz w:val="20"/>
        </w:rPr>
        <w:t>organization(s), coalition(s), initiative(s) and/or sector</w:t>
      </w:r>
      <w:r w:rsidR="0066071D">
        <w:rPr>
          <w:rFonts w:asciiTheme="minorHAnsi" w:hAnsiTheme="minorHAnsi"/>
          <w:i/>
          <w:sz w:val="20"/>
        </w:rPr>
        <w:t>(s) etc.)</w:t>
      </w:r>
      <w:r>
        <w:rPr>
          <w:rFonts w:asciiTheme="minorHAnsi" w:hAnsiTheme="minorHAnsi"/>
          <w:i/>
          <w:sz w:val="20"/>
        </w:rPr>
        <w:t xml:space="preserve"> in providing inputs that are relevant and impactful to the Talanoa Dialogue process. Using such the template is not mandatory, however, the High-level Champions encourage non-Party stakeholders to use such a structure to facilitate capturing and highlighting the key messages across the three questions.</w:t>
      </w:r>
    </w:p>
    <w:p w:rsidR="001D66AE" w:rsidRPr="00A318EB" w:rsidRDefault="001D66AE" w:rsidP="001D66AE">
      <w:pPr>
        <w:rPr>
          <w:rFonts w:asciiTheme="minorHAnsi" w:hAnsiTheme="minorHAnsi"/>
          <w:b/>
          <w:sz w:val="24"/>
          <w:szCs w:val="24"/>
        </w:rPr>
      </w:pPr>
    </w:p>
    <w:p w:rsidR="001D66AE" w:rsidRPr="00A318EB" w:rsidRDefault="009A0D67" w:rsidP="001D66AE">
      <w:pPr>
        <w:rPr>
          <w:rFonts w:asciiTheme="minorHAnsi" w:hAnsiTheme="minorHAnsi"/>
          <w:b/>
          <w:sz w:val="24"/>
          <w:szCs w:val="24"/>
        </w:rPr>
      </w:pPr>
      <w:r>
        <w:rPr>
          <w:rFonts w:asciiTheme="minorHAnsi" w:hAnsiTheme="minorHAnsi"/>
          <w:b/>
          <w:sz w:val="24"/>
          <w:szCs w:val="24"/>
        </w:rPr>
        <w:t xml:space="preserve">Question 1: </w:t>
      </w:r>
      <w:r w:rsidR="001D66AE" w:rsidRPr="00A318EB">
        <w:rPr>
          <w:rFonts w:asciiTheme="minorHAnsi" w:hAnsiTheme="minorHAnsi"/>
          <w:b/>
          <w:sz w:val="24"/>
          <w:szCs w:val="24"/>
        </w:rPr>
        <w:t xml:space="preserve">Where are we? </w:t>
      </w:r>
    </w:p>
    <w:p w:rsidR="001D66AE" w:rsidRPr="00A318EB" w:rsidRDefault="001D66AE" w:rsidP="001D66AE">
      <w:pPr>
        <w:rPr>
          <w:rFonts w:asciiTheme="minorHAnsi" w:hAnsiTheme="minorHAnsi"/>
          <w:i/>
          <w:sz w:val="20"/>
        </w:rPr>
      </w:pPr>
      <w:r w:rsidRPr="00A318EB">
        <w:rPr>
          <w:rFonts w:asciiTheme="minorHAnsi" w:hAnsiTheme="minorHAnsi"/>
          <w:i/>
          <w:sz w:val="20"/>
        </w:rPr>
        <w:t>The commitment</w:t>
      </w:r>
      <w:r>
        <w:rPr>
          <w:rFonts w:asciiTheme="minorHAnsi" w:hAnsiTheme="minorHAnsi"/>
          <w:i/>
          <w:sz w:val="20"/>
        </w:rPr>
        <w:t xml:space="preserve"> </w:t>
      </w:r>
      <w:r w:rsidR="0066071D">
        <w:rPr>
          <w:rFonts w:asciiTheme="minorHAnsi" w:hAnsiTheme="minorHAnsi"/>
          <w:i/>
          <w:sz w:val="20"/>
        </w:rPr>
        <w:t>(planned and/or announced) as well as</w:t>
      </w:r>
      <w:r w:rsidRPr="00A318EB">
        <w:rPr>
          <w:rFonts w:asciiTheme="minorHAnsi" w:hAnsiTheme="minorHAnsi"/>
          <w:i/>
          <w:sz w:val="20"/>
        </w:rPr>
        <w:t xml:space="preserve"> the actions taken so far that are in line with aims of Paris Agreement</w:t>
      </w:r>
      <w:r w:rsidR="004D526B">
        <w:rPr>
          <w:rFonts w:asciiTheme="minorHAnsi" w:hAnsiTheme="minorHAnsi"/>
          <w:i/>
          <w:sz w:val="20"/>
        </w:rPr>
        <w:t>,</w:t>
      </w:r>
      <w:r w:rsidRPr="00A318EB">
        <w:rPr>
          <w:rFonts w:asciiTheme="minorHAnsi" w:hAnsiTheme="minorHAnsi"/>
          <w:i/>
          <w:sz w:val="20"/>
        </w:rPr>
        <w:t xml:space="preserve"> the 1.5/2 degrees’ goal</w:t>
      </w:r>
      <w:r w:rsidR="004D526B">
        <w:rPr>
          <w:rFonts w:asciiTheme="minorHAnsi" w:hAnsiTheme="minorHAnsi"/>
          <w:i/>
          <w:sz w:val="20"/>
        </w:rPr>
        <w:t xml:space="preserve"> and the transition towards a net-zero emission society by this mid-century</w:t>
      </w:r>
      <w:r w:rsidRPr="00A318EB">
        <w:rPr>
          <w:rFonts w:asciiTheme="minorHAnsi" w:hAnsiTheme="minorHAnsi"/>
          <w:i/>
          <w:sz w:val="20"/>
        </w:rPr>
        <w:t xml:space="preserve"> [Maximum 300 words]</w:t>
      </w:r>
    </w:p>
    <w:tbl>
      <w:tblPr>
        <w:tblStyle w:val="TableGrid"/>
        <w:tblW w:w="0" w:type="auto"/>
        <w:tblLook w:val="04A0"/>
      </w:tblPr>
      <w:tblGrid>
        <w:gridCol w:w="9016"/>
      </w:tblGrid>
      <w:tr w:rsidR="001D66AE" w:rsidRPr="00A318EB">
        <w:tc>
          <w:tcPr>
            <w:tcW w:w="9016" w:type="dxa"/>
          </w:tcPr>
          <w:p w:rsidR="001D66AE" w:rsidRPr="00A318EB" w:rsidRDefault="001D66AE" w:rsidP="00CC4ABA">
            <w:pPr>
              <w:rPr>
                <w:i/>
                <w:sz w:val="20"/>
              </w:rPr>
            </w:pPr>
          </w:p>
          <w:p w:rsidR="00CC4ABA" w:rsidRDefault="00CC4ABA" w:rsidP="00CC4ABA">
            <w:pPr>
              <w:spacing w:after="200" w:line="276" w:lineRule="auto"/>
              <w:ind w:left="360"/>
              <w:rPr>
                <w:sz w:val="24"/>
                <w:szCs w:val="24"/>
              </w:rPr>
            </w:pPr>
            <w:r w:rsidRPr="00CC4ABA">
              <w:rPr>
                <w:sz w:val="24"/>
                <w:szCs w:val="24"/>
              </w:rPr>
              <w:t xml:space="preserve">ICCI’s work focuses on the connection between science and policy in cryosphere regions, and avoiding the rather substantial global risks of a rapidly unraveling cryosphere: Arctic, Antarctica and mountain glaciers.  The former have global impacts, such as irreversible sea-level rise and feedback loops accelerating climate change globally, for example loss of Arctic sea ice and permafrost thaw.  The latter directly impact water resources for mountain communities.  Both kinds of dynamics already are impacting marginalized populations, including the most poor, and indigenous peoples.  </w:t>
            </w:r>
          </w:p>
          <w:p w:rsidR="00CC4ABA" w:rsidRPr="00CC4ABA" w:rsidRDefault="00CC4ABA" w:rsidP="00CC4ABA">
            <w:pPr>
              <w:spacing w:after="200" w:line="276" w:lineRule="auto"/>
              <w:ind w:left="360"/>
              <w:rPr>
                <w:sz w:val="24"/>
                <w:szCs w:val="24"/>
              </w:rPr>
            </w:pPr>
            <w:r>
              <w:rPr>
                <w:sz w:val="24"/>
                <w:szCs w:val="24"/>
              </w:rPr>
              <w:t xml:space="preserve">As a result, since our founding in 2010 ICCI has worked to both bring attention to the need – simply because of the physical dynamics of </w:t>
            </w:r>
            <w:proofErr w:type="spellStart"/>
            <w:r>
              <w:rPr>
                <w:sz w:val="24"/>
                <w:szCs w:val="24"/>
              </w:rPr>
              <w:t>cryosphere</w:t>
            </w:r>
            <w:proofErr w:type="spellEnd"/>
            <w:r>
              <w:rPr>
                <w:sz w:val="24"/>
                <w:szCs w:val="24"/>
              </w:rPr>
              <w:t xml:space="preserve"> – to remain within a 2 degree goal without overshoot (due to the increased risk of triggering irreversible dynamics including cold-water acidification impacts) even for a few years or decades at higher temperatures and CO2 levels; with 1.5 degrees a far more scientifically-based goal.  </w:t>
            </w:r>
            <w:r w:rsidRPr="00CC4ABA">
              <w:rPr>
                <w:sz w:val="24"/>
                <w:szCs w:val="24"/>
              </w:rPr>
              <w:t xml:space="preserve">Our research also has examined different ways to slow warming specifically in cryosphere in combination with deep and accelerated cuts in CO2.  One of the most promising comprises addressing certain sectors that emit short-lived forcers, especially black carbon, and also carry large co-benefits for local populations.  </w:t>
            </w:r>
          </w:p>
          <w:p w:rsidR="001D66AE" w:rsidRPr="00A318EB" w:rsidRDefault="001D66AE" w:rsidP="00CC4ABA">
            <w:pPr>
              <w:rPr>
                <w:i/>
                <w:sz w:val="20"/>
              </w:rPr>
            </w:pPr>
          </w:p>
          <w:p w:rsidR="001D66AE" w:rsidRPr="00A318EB" w:rsidRDefault="001D66AE" w:rsidP="00CC4ABA">
            <w:pPr>
              <w:rPr>
                <w:i/>
                <w:sz w:val="20"/>
              </w:rPr>
            </w:pPr>
          </w:p>
        </w:tc>
      </w:tr>
    </w:tbl>
    <w:p w:rsidR="001D66AE" w:rsidRPr="00A318EB" w:rsidRDefault="001D66AE" w:rsidP="001D66AE">
      <w:pPr>
        <w:rPr>
          <w:rFonts w:asciiTheme="minorHAnsi" w:hAnsiTheme="minorHAnsi"/>
          <w:i/>
          <w:sz w:val="20"/>
        </w:rPr>
      </w:pPr>
    </w:p>
    <w:p w:rsidR="001D66AE" w:rsidRPr="00A318EB" w:rsidRDefault="001D66AE" w:rsidP="001D66AE">
      <w:pPr>
        <w:rPr>
          <w:rFonts w:asciiTheme="minorHAnsi" w:hAnsiTheme="minorHAnsi"/>
          <w:i/>
          <w:sz w:val="20"/>
        </w:rPr>
      </w:pPr>
      <w:r w:rsidRPr="00A318EB">
        <w:rPr>
          <w:rFonts w:asciiTheme="minorHAnsi" w:hAnsiTheme="minorHAnsi"/>
          <w:i/>
          <w:sz w:val="20"/>
        </w:rPr>
        <w:t>Progress made so far against the above commitments</w:t>
      </w:r>
      <w:r w:rsidR="005E6302">
        <w:rPr>
          <w:rFonts w:asciiTheme="minorHAnsi" w:hAnsiTheme="minorHAnsi"/>
          <w:i/>
          <w:sz w:val="20"/>
        </w:rPr>
        <w:t xml:space="preserve">, including success </w:t>
      </w:r>
      <w:r w:rsidR="00B824E9">
        <w:rPr>
          <w:rFonts w:asciiTheme="minorHAnsi" w:hAnsiTheme="minorHAnsi"/>
          <w:i/>
          <w:sz w:val="20"/>
        </w:rPr>
        <w:t>stories</w:t>
      </w:r>
      <w:r w:rsidR="004D526B">
        <w:rPr>
          <w:rFonts w:asciiTheme="minorHAnsi" w:hAnsiTheme="minorHAnsi"/>
          <w:i/>
          <w:sz w:val="20"/>
        </w:rPr>
        <w:t>,</w:t>
      </w:r>
      <w:r w:rsidR="00B824E9">
        <w:rPr>
          <w:rFonts w:asciiTheme="minorHAnsi" w:hAnsiTheme="minorHAnsi"/>
          <w:i/>
          <w:sz w:val="20"/>
        </w:rPr>
        <w:t xml:space="preserve"> </w:t>
      </w:r>
      <w:r w:rsidR="005E6302">
        <w:rPr>
          <w:rFonts w:asciiTheme="minorHAnsi" w:hAnsiTheme="minorHAnsi"/>
          <w:i/>
          <w:sz w:val="20"/>
        </w:rPr>
        <w:t>case studies</w:t>
      </w:r>
      <w:r w:rsidRPr="00A318EB">
        <w:rPr>
          <w:rFonts w:asciiTheme="minorHAnsi" w:hAnsiTheme="minorHAnsi"/>
          <w:i/>
          <w:sz w:val="20"/>
        </w:rPr>
        <w:t xml:space="preserve"> </w:t>
      </w:r>
      <w:r w:rsidR="004D526B">
        <w:rPr>
          <w:rFonts w:asciiTheme="minorHAnsi" w:hAnsiTheme="minorHAnsi"/>
          <w:i/>
          <w:sz w:val="20"/>
        </w:rPr>
        <w:t xml:space="preserve">and gaps </w:t>
      </w:r>
      <w:r w:rsidRPr="00A318EB">
        <w:rPr>
          <w:rFonts w:asciiTheme="minorHAnsi" w:hAnsiTheme="minorHAnsi"/>
          <w:i/>
          <w:sz w:val="20"/>
        </w:rPr>
        <w:t>[Maximum 300 words]</w:t>
      </w:r>
    </w:p>
    <w:tbl>
      <w:tblPr>
        <w:tblStyle w:val="TableGrid"/>
        <w:tblW w:w="0" w:type="auto"/>
        <w:tblLook w:val="04A0"/>
      </w:tblPr>
      <w:tblGrid>
        <w:gridCol w:w="9016"/>
      </w:tblGrid>
      <w:tr w:rsidR="001D66AE" w:rsidRPr="00A318EB">
        <w:tc>
          <w:tcPr>
            <w:tcW w:w="9016" w:type="dxa"/>
          </w:tcPr>
          <w:p w:rsidR="001D66AE" w:rsidRPr="00A318EB" w:rsidRDefault="001D66AE" w:rsidP="00CC4ABA">
            <w:pPr>
              <w:rPr>
                <w:i/>
                <w:sz w:val="20"/>
              </w:rPr>
            </w:pPr>
          </w:p>
          <w:p w:rsidR="001D66AE" w:rsidRPr="00A318EB" w:rsidRDefault="00CC4ABA" w:rsidP="00CC4ABA">
            <w:pPr>
              <w:rPr>
                <w:i/>
                <w:sz w:val="20"/>
              </w:rPr>
            </w:pPr>
            <w:r>
              <w:rPr>
                <w:sz w:val="24"/>
                <w:szCs w:val="24"/>
              </w:rPr>
              <w:t xml:space="preserve">In terms of research, ICCI in 2013 published with World Bank support an initial examination of the potential of short-lived forcer reductions to slow warming in four key </w:t>
            </w:r>
            <w:proofErr w:type="spellStart"/>
            <w:r>
              <w:rPr>
                <w:sz w:val="24"/>
                <w:szCs w:val="24"/>
              </w:rPr>
              <w:t>cryosphere</w:t>
            </w:r>
            <w:proofErr w:type="spellEnd"/>
            <w:r>
              <w:rPr>
                <w:sz w:val="24"/>
                <w:szCs w:val="24"/>
              </w:rPr>
              <w:t xml:space="preserve"> regions – the Andes, Himalayas, Arctic and Antarctic (</w:t>
            </w:r>
            <w:r w:rsidRPr="00CC4ABA">
              <w:rPr>
                <w:i/>
                <w:sz w:val="24"/>
                <w:szCs w:val="24"/>
              </w:rPr>
              <w:t>On Thin Ice:  How cutting pollution can slow warming and save lives</w:t>
            </w:r>
            <w:r>
              <w:rPr>
                <w:sz w:val="24"/>
                <w:szCs w:val="24"/>
              </w:rPr>
              <w:t xml:space="preserve">, available at </w:t>
            </w:r>
            <w:hyperlink r:id="rId7" w:history="1">
              <w:r w:rsidRPr="009756D1">
                <w:rPr>
                  <w:rStyle w:val="Hyperlink"/>
                  <w:sz w:val="24"/>
                  <w:szCs w:val="24"/>
                </w:rPr>
                <w:t>www.iccinet.org</w:t>
              </w:r>
            </w:hyperlink>
            <w:r>
              <w:rPr>
                <w:sz w:val="24"/>
                <w:szCs w:val="24"/>
              </w:rPr>
              <w:t xml:space="preserve">).  Since then, and with the support of the Climate and Clean Air Coalition (CCAC), Sweden, Nordic Environment Financing Corporation (NEFCO) and UN Environment, we have worked in the field to demonstrate the potential of actions in two sectors not yet widely addressed by government actors:  (1) to decrease open agricultural sector field and forest burning -- an unnecessary practice that is the largest global source of black carbon, also due to related wildfires in a drier climate.  Such repeated burning actually decreases crop yields and/or destroys biomass that can be put to other uses such as pellet production); and (2) the household-based domestic heating (or combined cooking and heating) using wood and coal, with options to either burn more effectively in the near-term and ultimately to replace old stoves with ultra-low-emissions models or other sources of heat.  </w:t>
            </w:r>
            <w:r w:rsidRPr="00CC4ABA">
              <w:rPr>
                <w:sz w:val="24"/>
                <w:szCs w:val="24"/>
              </w:rPr>
              <w:t xml:space="preserve">We currently are conducting </w:t>
            </w:r>
            <w:r>
              <w:rPr>
                <w:sz w:val="24"/>
                <w:szCs w:val="24"/>
              </w:rPr>
              <w:t xml:space="preserve">open burning </w:t>
            </w:r>
            <w:r w:rsidRPr="00CC4ABA">
              <w:rPr>
                <w:sz w:val="24"/>
                <w:szCs w:val="24"/>
              </w:rPr>
              <w:t xml:space="preserve">demonstration projects in </w:t>
            </w:r>
            <w:r>
              <w:rPr>
                <w:sz w:val="24"/>
                <w:szCs w:val="24"/>
              </w:rPr>
              <w:t xml:space="preserve">cooperation with local and national authorities in </w:t>
            </w:r>
            <w:r w:rsidRPr="00CC4ABA">
              <w:rPr>
                <w:sz w:val="24"/>
                <w:szCs w:val="24"/>
              </w:rPr>
              <w:t xml:space="preserve">Peru, India, </w:t>
            </w:r>
            <w:r>
              <w:rPr>
                <w:sz w:val="24"/>
                <w:szCs w:val="24"/>
              </w:rPr>
              <w:t xml:space="preserve">Russia and Ukraine; and domestic heating projects in </w:t>
            </w:r>
            <w:r w:rsidRPr="00CC4ABA">
              <w:rPr>
                <w:sz w:val="24"/>
                <w:szCs w:val="24"/>
              </w:rPr>
              <w:t xml:space="preserve">Sweden, Chile, </w:t>
            </w:r>
            <w:r>
              <w:rPr>
                <w:sz w:val="24"/>
                <w:szCs w:val="24"/>
              </w:rPr>
              <w:t xml:space="preserve">and </w:t>
            </w:r>
            <w:r w:rsidRPr="00CC4ABA">
              <w:rPr>
                <w:sz w:val="24"/>
                <w:szCs w:val="24"/>
              </w:rPr>
              <w:t>Poland among others</w:t>
            </w:r>
            <w:r w:rsidR="00AD4DE1">
              <w:rPr>
                <w:sz w:val="24"/>
                <w:szCs w:val="24"/>
              </w:rPr>
              <w:t>.  Initial results are promising that rapid scale-up can be achieved globally in both these sectors, but the need is great for additional countries and actors to take these low and even negative-cost actions.</w:t>
            </w:r>
          </w:p>
          <w:p w:rsidR="001D66AE" w:rsidRPr="00A318EB" w:rsidRDefault="001D66AE" w:rsidP="00CC4ABA">
            <w:pPr>
              <w:rPr>
                <w:i/>
                <w:sz w:val="20"/>
              </w:rPr>
            </w:pPr>
          </w:p>
        </w:tc>
      </w:tr>
    </w:tbl>
    <w:p w:rsidR="001D66AE" w:rsidRPr="00A318EB" w:rsidRDefault="001D66AE" w:rsidP="001D66AE">
      <w:pPr>
        <w:rPr>
          <w:rFonts w:asciiTheme="minorHAnsi" w:hAnsiTheme="minorHAnsi"/>
          <w:sz w:val="20"/>
        </w:rPr>
      </w:pPr>
    </w:p>
    <w:p w:rsidR="001D66AE" w:rsidRPr="00A318EB" w:rsidRDefault="001D66AE" w:rsidP="001D66AE">
      <w:pPr>
        <w:rPr>
          <w:rFonts w:asciiTheme="minorHAnsi" w:hAnsiTheme="minorHAnsi"/>
          <w:i/>
          <w:sz w:val="20"/>
        </w:rPr>
      </w:pPr>
      <w:r w:rsidRPr="00A318EB">
        <w:rPr>
          <w:rFonts w:asciiTheme="minorHAnsi" w:hAnsiTheme="minorHAnsi"/>
          <w:i/>
          <w:sz w:val="20"/>
        </w:rPr>
        <w:t>Quantitative impact so far with respect to mitigation, adaptation</w:t>
      </w:r>
      <w:r w:rsidR="004D526B">
        <w:rPr>
          <w:rFonts w:asciiTheme="minorHAnsi" w:hAnsiTheme="minorHAnsi"/>
          <w:i/>
          <w:sz w:val="20"/>
        </w:rPr>
        <w:t>, resilience</w:t>
      </w:r>
      <w:r w:rsidRPr="00A318EB">
        <w:rPr>
          <w:rFonts w:asciiTheme="minorHAnsi" w:hAnsiTheme="minorHAnsi"/>
          <w:i/>
          <w:sz w:val="20"/>
        </w:rPr>
        <w:t xml:space="preserve"> and/or finance [Maximum 300 words]</w:t>
      </w:r>
    </w:p>
    <w:tbl>
      <w:tblPr>
        <w:tblStyle w:val="TableGrid"/>
        <w:tblW w:w="0" w:type="auto"/>
        <w:tblLook w:val="04A0"/>
      </w:tblPr>
      <w:tblGrid>
        <w:gridCol w:w="9016"/>
      </w:tblGrid>
      <w:tr w:rsidR="001D66AE" w:rsidRPr="00A318EB">
        <w:tc>
          <w:tcPr>
            <w:tcW w:w="9016" w:type="dxa"/>
          </w:tcPr>
          <w:p w:rsidR="001D66AE" w:rsidRPr="00A318EB" w:rsidRDefault="00AD4DE1" w:rsidP="00CC4ABA">
            <w:pPr>
              <w:rPr>
                <w:i/>
                <w:sz w:val="20"/>
              </w:rPr>
            </w:pPr>
            <w:r>
              <w:rPr>
                <w:sz w:val="24"/>
                <w:szCs w:val="24"/>
              </w:rPr>
              <w:t>Initial results are promising that rapid scale-up can be achieved globally in both these sectors, but the need is great for additional countries and actors to take these low and even negative-cost actions.  In the earliest demonstration projects in southern Russia, local farmers themselves have begun employing no-burn methods as word spreads of their effectiveness, with burning in the one oblast (Rostov) having decreased by about 50% in just three years 2014-16.</w:t>
            </w:r>
          </w:p>
          <w:p w:rsidR="001D66AE" w:rsidRPr="00A318EB" w:rsidRDefault="001D66AE" w:rsidP="00CC4ABA">
            <w:pPr>
              <w:rPr>
                <w:i/>
                <w:sz w:val="20"/>
              </w:rPr>
            </w:pPr>
          </w:p>
          <w:p w:rsidR="001D66AE" w:rsidRPr="00A318EB" w:rsidRDefault="001D66AE" w:rsidP="00CC4ABA">
            <w:pPr>
              <w:rPr>
                <w:i/>
                <w:sz w:val="20"/>
              </w:rPr>
            </w:pPr>
          </w:p>
        </w:tc>
      </w:tr>
    </w:tbl>
    <w:p w:rsidR="001D66AE" w:rsidRDefault="001D66AE" w:rsidP="001D66AE">
      <w:pPr>
        <w:rPr>
          <w:rFonts w:asciiTheme="minorHAnsi" w:hAnsiTheme="minorHAnsi"/>
          <w:b/>
          <w:sz w:val="24"/>
          <w:szCs w:val="24"/>
        </w:rPr>
      </w:pPr>
    </w:p>
    <w:p w:rsidR="009A0D67" w:rsidRDefault="009A0D67">
      <w:pPr>
        <w:tabs>
          <w:tab w:val="clear" w:pos="709"/>
          <w:tab w:val="clear" w:pos="5245"/>
        </w:tabs>
        <w:spacing w:after="200" w:line="276" w:lineRule="auto"/>
        <w:rPr>
          <w:rFonts w:asciiTheme="minorHAnsi" w:hAnsiTheme="minorHAnsi"/>
          <w:b/>
          <w:sz w:val="24"/>
          <w:szCs w:val="24"/>
        </w:rPr>
      </w:pPr>
      <w:r>
        <w:rPr>
          <w:rFonts w:asciiTheme="minorHAnsi" w:hAnsiTheme="minorHAnsi"/>
          <w:b/>
          <w:sz w:val="24"/>
          <w:szCs w:val="24"/>
        </w:rPr>
        <w:br w:type="page"/>
      </w:r>
    </w:p>
    <w:p w:rsidR="009A0D67" w:rsidRPr="00A318EB" w:rsidRDefault="009A0D67" w:rsidP="009A0D67">
      <w:pPr>
        <w:rPr>
          <w:rFonts w:asciiTheme="minorHAnsi" w:hAnsiTheme="minorHAnsi"/>
          <w:b/>
          <w:sz w:val="24"/>
          <w:szCs w:val="24"/>
        </w:rPr>
      </w:pPr>
      <w:r>
        <w:rPr>
          <w:rFonts w:asciiTheme="minorHAnsi" w:hAnsiTheme="minorHAnsi"/>
          <w:b/>
          <w:sz w:val="24"/>
          <w:szCs w:val="24"/>
        </w:rPr>
        <w:t xml:space="preserve">Question 2: </w:t>
      </w:r>
      <w:r w:rsidRPr="00A318EB">
        <w:rPr>
          <w:rFonts w:asciiTheme="minorHAnsi" w:hAnsiTheme="minorHAnsi"/>
          <w:b/>
          <w:sz w:val="24"/>
          <w:szCs w:val="24"/>
        </w:rPr>
        <w:t>Where do we want to go?</w:t>
      </w:r>
    </w:p>
    <w:p w:rsidR="009A0D67" w:rsidRPr="00A318EB" w:rsidRDefault="009A0D67" w:rsidP="009A0D67">
      <w:pPr>
        <w:rPr>
          <w:rFonts w:asciiTheme="minorHAnsi" w:hAnsiTheme="minorHAnsi"/>
          <w:i/>
          <w:sz w:val="20"/>
        </w:rPr>
      </w:pPr>
      <w:r w:rsidRPr="00A318EB">
        <w:rPr>
          <w:rFonts w:asciiTheme="minorHAnsi" w:hAnsiTheme="minorHAnsi"/>
          <w:i/>
          <w:sz w:val="20"/>
        </w:rPr>
        <w:t>Vision of the future for your organization</w:t>
      </w:r>
      <w:r>
        <w:rPr>
          <w:rFonts w:asciiTheme="minorHAnsi" w:hAnsiTheme="minorHAnsi"/>
          <w:i/>
          <w:sz w:val="20"/>
        </w:rPr>
        <w:t xml:space="preserve"> </w:t>
      </w:r>
      <w:r w:rsidRPr="00A318EB">
        <w:rPr>
          <w:rFonts w:asciiTheme="minorHAnsi" w:hAnsiTheme="minorHAnsi"/>
          <w:i/>
          <w:sz w:val="20"/>
        </w:rPr>
        <w:t xml:space="preserve">and/or sector </w:t>
      </w:r>
      <w:r>
        <w:rPr>
          <w:rFonts w:asciiTheme="minorHAnsi" w:hAnsiTheme="minorHAnsi"/>
          <w:i/>
          <w:sz w:val="20"/>
        </w:rPr>
        <w:t xml:space="preserve">in terms of its possible role in achieving </w:t>
      </w:r>
      <w:r w:rsidRPr="00A318EB">
        <w:rPr>
          <w:rFonts w:asciiTheme="minorHAnsi" w:hAnsiTheme="minorHAnsi"/>
          <w:i/>
          <w:sz w:val="20"/>
        </w:rPr>
        <w:t>the 1.5/2 degrees’ goal</w:t>
      </w:r>
      <w:r>
        <w:rPr>
          <w:rFonts w:asciiTheme="minorHAnsi" w:hAnsiTheme="minorHAnsi"/>
          <w:i/>
          <w:sz w:val="20"/>
        </w:rPr>
        <w:t xml:space="preserve"> and a net-zero emission world by this mid-century</w:t>
      </w:r>
      <w:r w:rsidRPr="00A318EB">
        <w:rPr>
          <w:rFonts w:asciiTheme="minorHAnsi" w:hAnsiTheme="minorHAnsi"/>
          <w:i/>
          <w:sz w:val="20"/>
        </w:rPr>
        <w:t xml:space="preserve"> [Maximum 300 words]</w:t>
      </w:r>
    </w:p>
    <w:tbl>
      <w:tblPr>
        <w:tblStyle w:val="TableGrid"/>
        <w:tblW w:w="0" w:type="auto"/>
        <w:tblLook w:val="04A0"/>
      </w:tblPr>
      <w:tblGrid>
        <w:gridCol w:w="9016"/>
      </w:tblGrid>
      <w:tr w:rsidR="009A0D67" w:rsidRPr="00A318EB">
        <w:tc>
          <w:tcPr>
            <w:tcW w:w="9016" w:type="dxa"/>
          </w:tcPr>
          <w:p w:rsidR="009A0D67" w:rsidRPr="00A318EB" w:rsidRDefault="009A0D67" w:rsidP="006E371C">
            <w:pPr>
              <w:rPr>
                <w:i/>
                <w:sz w:val="20"/>
              </w:rPr>
            </w:pPr>
            <w:proofErr w:type="spellStart"/>
            <w:r>
              <w:rPr>
                <w:bCs/>
                <w:color w:val="000000"/>
                <w:sz w:val="24"/>
                <w:szCs w:val="24"/>
              </w:rPr>
              <w:t>ICCI’s</w:t>
            </w:r>
            <w:proofErr w:type="spellEnd"/>
            <w:r>
              <w:rPr>
                <w:bCs/>
                <w:color w:val="000000"/>
                <w:sz w:val="24"/>
                <w:szCs w:val="24"/>
              </w:rPr>
              <w:t xml:space="preserve"> role lies in both elevating awareness of the risks of current rapid levels of temperature rise in </w:t>
            </w:r>
            <w:proofErr w:type="spellStart"/>
            <w:r>
              <w:rPr>
                <w:bCs/>
                <w:color w:val="000000"/>
                <w:sz w:val="24"/>
                <w:szCs w:val="24"/>
              </w:rPr>
              <w:t>cryosphere</w:t>
            </w:r>
            <w:proofErr w:type="spellEnd"/>
            <w:r>
              <w:rPr>
                <w:bCs/>
                <w:color w:val="000000"/>
                <w:sz w:val="24"/>
                <w:szCs w:val="24"/>
              </w:rPr>
              <w:t xml:space="preserve">, and realistically available pathways to slow and reverse this rise.  Bluntly: the next round of </w:t>
            </w:r>
            <w:proofErr w:type="spellStart"/>
            <w:r>
              <w:rPr>
                <w:bCs/>
                <w:color w:val="000000"/>
                <w:sz w:val="24"/>
                <w:szCs w:val="24"/>
              </w:rPr>
              <w:t>NDCs</w:t>
            </w:r>
            <w:proofErr w:type="spellEnd"/>
            <w:r>
              <w:rPr>
                <w:bCs/>
                <w:color w:val="000000"/>
                <w:sz w:val="24"/>
                <w:szCs w:val="24"/>
              </w:rPr>
              <w:t xml:space="preserve"> must place us on a pathway that will never exceed 2 degrees due to risks associated with overshoot, and the return the globe to levels below 1.5 degrees as quickly as possible.  </w:t>
            </w:r>
            <w:proofErr w:type="spellStart"/>
            <w:r>
              <w:rPr>
                <w:bCs/>
                <w:color w:val="000000"/>
                <w:sz w:val="24"/>
                <w:szCs w:val="24"/>
              </w:rPr>
              <w:t>Cryosphere</w:t>
            </w:r>
            <w:proofErr w:type="spellEnd"/>
            <w:r>
              <w:rPr>
                <w:bCs/>
                <w:color w:val="000000"/>
                <w:sz w:val="24"/>
                <w:szCs w:val="24"/>
              </w:rPr>
              <w:t xml:space="preserve"> science tells us that we are very </w:t>
            </w:r>
            <w:proofErr w:type="spellStart"/>
            <w:r>
              <w:rPr>
                <w:bCs/>
                <w:color w:val="000000"/>
                <w:sz w:val="24"/>
                <w:szCs w:val="24"/>
              </w:rPr>
              <w:t>very</w:t>
            </w:r>
            <w:proofErr w:type="spellEnd"/>
            <w:r>
              <w:rPr>
                <w:bCs/>
                <w:color w:val="000000"/>
                <w:sz w:val="24"/>
                <w:szCs w:val="24"/>
              </w:rPr>
              <w:t xml:space="preserve"> close to triggering irreversible polar and alpine dynamics leading to a quite different climate state, with associated extreme human suffering and ecosystems loss.  G</w:t>
            </w:r>
            <w:r>
              <w:rPr>
                <w:sz w:val="24"/>
                <w:szCs w:val="24"/>
              </w:rPr>
              <w:t xml:space="preserve">lobal risks of a rapidly </w:t>
            </w:r>
            <w:proofErr w:type="spellStart"/>
            <w:r>
              <w:rPr>
                <w:sz w:val="24"/>
                <w:szCs w:val="24"/>
              </w:rPr>
              <w:t>unraveling</w:t>
            </w:r>
            <w:proofErr w:type="spellEnd"/>
            <w:r>
              <w:rPr>
                <w:sz w:val="24"/>
                <w:szCs w:val="24"/>
              </w:rPr>
              <w:t xml:space="preserve"> </w:t>
            </w:r>
            <w:proofErr w:type="spellStart"/>
            <w:r>
              <w:rPr>
                <w:sz w:val="24"/>
                <w:szCs w:val="24"/>
              </w:rPr>
              <w:t>cryosphere</w:t>
            </w:r>
            <w:proofErr w:type="spellEnd"/>
            <w:r>
              <w:rPr>
                <w:sz w:val="24"/>
                <w:szCs w:val="24"/>
              </w:rPr>
              <w:t xml:space="preserve"> -- the Arctic, Antarctica and mountain glaciers – include irreversible sea-level rise and feedback loops accelerating climate change globally, for example loss of Arctic sea ice and permafrost thaw.  Locally, loss of mountain glaciers can directly impact water resources for mountain and downstream communities.  Both kinds of dynamics already are impacting marginalized populations, including the most poor, and indigenous peoples.  These risks if properly appreciated by today’s policy makers should stimulate even higher levels of action to prevent them, because we</w:t>
            </w:r>
            <w:r>
              <w:rPr>
                <w:bCs/>
                <w:color w:val="000000"/>
                <w:sz w:val="24"/>
                <w:szCs w:val="24"/>
              </w:rPr>
              <w:t xml:space="preserve"> still do have time – though limited – to both change this trajectory and meet key </w:t>
            </w:r>
            <w:proofErr w:type="spellStart"/>
            <w:r>
              <w:rPr>
                <w:bCs/>
                <w:color w:val="000000"/>
                <w:sz w:val="24"/>
                <w:szCs w:val="24"/>
              </w:rPr>
              <w:t>SDGs</w:t>
            </w:r>
            <w:proofErr w:type="spellEnd"/>
            <w:r>
              <w:rPr>
                <w:bCs/>
                <w:color w:val="000000"/>
                <w:sz w:val="24"/>
                <w:szCs w:val="24"/>
              </w:rPr>
              <w:t xml:space="preserve"> at the same time.  In addition to raising the bar for CO2 reductions, others kinds of actions (particular addressing methane emissions, and black carbon emissions in and downwind of </w:t>
            </w:r>
            <w:proofErr w:type="spellStart"/>
            <w:r>
              <w:rPr>
                <w:bCs/>
                <w:color w:val="000000"/>
                <w:sz w:val="24"/>
                <w:szCs w:val="24"/>
              </w:rPr>
              <w:t>cryosphere</w:t>
            </w:r>
            <w:proofErr w:type="spellEnd"/>
            <w:r>
              <w:rPr>
                <w:bCs/>
                <w:color w:val="000000"/>
                <w:sz w:val="24"/>
                <w:szCs w:val="24"/>
              </w:rPr>
              <w:t>) can mitigate these impacts in the near-term, though such efforts will prove futile if not taken with equally urgent cuts on CO2.</w:t>
            </w:r>
          </w:p>
          <w:p w:rsidR="009A0D67" w:rsidRPr="00A318EB" w:rsidRDefault="009A0D67" w:rsidP="006E371C">
            <w:pPr>
              <w:rPr>
                <w:i/>
                <w:sz w:val="20"/>
              </w:rPr>
            </w:pPr>
          </w:p>
          <w:p w:rsidR="009A0D67" w:rsidRPr="00A318EB" w:rsidRDefault="009A0D67" w:rsidP="006E371C">
            <w:pPr>
              <w:rPr>
                <w:i/>
                <w:sz w:val="20"/>
              </w:rPr>
            </w:pPr>
          </w:p>
        </w:tc>
      </w:tr>
    </w:tbl>
    <w:p w:rsidR="009A0D67" w:rsidRPr="00A318EB" w:rsidRDefault="009A0D67" w:rsidP="009A0D67">
      <w:pPr>
        <w:rPr>
          <w:rFonts w:asciiTheme="minorHAnsi" w:hAnsiTheme="minorHAnsi"/>
          <w:i/>
          <w:sz w:val="20"/>
        </w:rPr>
      </w:pPr>
    </w:p>
    <w:p w:rsidR="009A0D67" w:rsidRPr="00A318EB" w:rsidRDefault="009A0D67" w:rsidP="009A0D67">
      <w:pPr>
        <w:rPr>
          <w:rFonts w:asciiTheme="minorHAnsi" w:hAnsiTheme="minorHAnsi"/>
          <w:i/>
          <w:sz w:val="20"/>
        </w:rPr>
      </w:pPr>
      <w:r>
        <w:rPr>
          <w:rFonts w:asciiTheme="minorHAnsi" w:hAnsiTheme="minorHAnsi"/>
          <w:i/>
          <w:sz w:val="20"/>
        </w:rPr>
        <w:t>Possible and potential n</w:t>
      </w:r>
      <w:r w:rsidRPr="00A318EB">
        <w:rPr>
          <w:rFonts w:asciiTheme="minorHAnsi" w:hAnsiTheme="minorHAnsi"/>
          <w:i/>
          <w:sz w:val="20"/>
        </w:rPr>
        <w:t>ew commitments</w:t>
      </w:r>
      <w:r>
        <w:rPr>
          <w:rFonts w:asciiTheme="minorHAnsi" w:hAnsiTheme="minorHAnsi"/>
          <w:i/>
          <w:sz w:val="20"/>
        </w:rPr>
        <w:t xml:space="preserve"> </w:t>
      </w:r>
      <w:r w:rsidRPr="00A318EB">
        <w:rPr>
          <w:rFonts w:asciiTheme="minorHAnsi" w:hAnsiTheme="minorHAnsi"/>
          <w:i/>
          <w:sz w:val="20"/>
        </w:rPr>
        <w:t xml:space="preserve">and pledges of </w:t>
      </w:r>
      <w:r>
        <w:rPr>
          <w:rFonts w:asciiTheme="minorHAnsi" w:hAnsiTheme="minorHAnsi"/>
          <w:i/>
          <w:sz w:val="20"/>
        </w:rPr>
        <w:t xml:space="preserve">to achieve </w:t>
      </w:r>
      <w:r w:rsidRPr="00A318EB">
        <w:rPr>
          <w:rFonts w:asciiTheme="minorHAnsi" w:hAnsiTheme="minorHAnsi"/>
          <w:i/>
          <w:sz w:val="20"/>
        </w:rPr>
        <w:t>the 1.5/2 degrees’ goal</w:t>
      </w:r>
      <w:r>
        <w:rPr>
          <w:rFonts w:asciiTheme="minorHAnsi" w:hAnsiTheme="minorHAnsi"/>
          <w:i/>
          <w:sz w:val="20"/>
        </w:rPr>
        <w:t xml:space="preserve"> and a net-zero emission world by this mid-century</w:t>
      </w:r>
      <w:r w:rsidRPr="00A318EB">
        <w:rPr>
          <w:rFonts w:asciiTheme="minorHAnsi" w:hAnsiTheme="minorHAnsi"/>
          <w:i/>
          <w:sz w:val="20"/>
        </w:rPr>
        <w:t xml:space="preserve"> [Maximum 300 words]</w:t>
      </w:r>
    </w:p>
    <w:tbl>
      <w:tblPr>
        <w:tblStyle w:val="TableGrid"/>
        <w:tblW w:w="0" w:type="auto"/>
        <w:tblLook w:val="04A0"/>
      </w:tblPr>
      <w:tblGrid>
        <w:gridCol w:w="9016"/>
      </w:tblGrid>
      <w:tr w:rsidR="009A0D67" w:rsidRPr="00A318EB">
        <w:tc>
          <w:tcPr>
            <w:tcW w:w="9016" w:type="dxa"/>
          </w:tcPr>
          <w:p w:rsidR="009A0D67" w:rsidRPr="00C96201" w:rsidRDefault="009A0D67" w:rsidP="00C96201">
            <w:pPr>
              <w:spacing w:after="200" w:line="276" w:lineRule="auto"/>
              <w:ind w:left="360"/>
              <w:rPr>
                <w:sz w:val="24"/>
                <w:szCs w:val="24"/>
              </w:rPr>
            </w:pPr>
            <w:r>
              <w:rPr>
                <w:sz w:val="24"/>
                <w:szCs w:val="24"/>
              </w:rPr>
              <w:t xml:space="preserve">Pledges addressing CO2 must take into account the physical reality of the </w:t>
            </w:r>
            <w:proofErr w:type="spellStart"/>
            <w:r>
              <w:rPr>
                <w:sz w:val="24"/>
                <w:szCs w:val="24"/>
              </w:rPr>
              <w:t>cryowpehre</w:t>
            </w:r>
            <w:proofErr w:type="spellEnd"/>
            <w:r>
              <w:rPr>
                <w:sz w:val="24"/>
                <w:szCs w:val="24"/>
              </w:rPr>
              <w:t xml:space="preserve"> response, especially to pathways that overshoot 2 degrees or even 1.5 degrees.  For example, the consensus temperature of Greenland instability is 1.6 degrees if overshoot is maintained for more than a few centuries; but irreversible instability may be reached much more quickly as higher temperatures occur.  The first round of </w:t>
            </w:r>
            <w:proofErr w:type="spellStart"/>
            <w:r>
              <w:rPr>
                <w:sz w:val="24"/>
                <w:szCs w:val="24"/>
              </w:rPr>
              <w:t>NDCs</w:t>
            </w:r>
            <w:proofErr w:type="spellEnd"/>
            <w:r>
              <w:rPr>
                <w:sz w:val="24"/>
                <w:szCs w:val="24"/>
              </w:rPr>
              <w:t xml:space="preserve"> – even in fully realized -- show temperatures above 3 degrees by the end of this century.  In addition to CO2 therefore, new commitments should also take into account</w:t>
            </w:r>
            <w:r w:rsidRPr="006E371C">
              <w:rPr>
                <w:sz w:val="24"/>
                <w:szCs w:val="24"/>
              </w:rPr>
              <w:t xml:space="preserve"> addressing certain sectors that emit short-lived force</w:t>
            </w:r>
            <w:r>
              <w:rPr>
                <w:sz w:val="24"/>
                <w:szCs w:val="24"/>
              </w:rPr>
              <w:t>rs, especially black carbon, that</w:t>
            </w:r>
            <w:r w:rsidRPr="006E371C">
              <w:rPr>
                <w:sz w:val="24"/>
                <w:szCs w:val="24"/>
              </w:rPr>
              <w:t xml:space="preserve"> also carry large co-benefits </w:t>
            </w:r>
            <w:r>
              <w:rPr>
                <w:sz w:val="24"/>
                <w:szCs w:val="24"/>
              </w:rPr>
              <w:t xml:space="preserve">in health and food security </w:t>
            </w:r>
            <w:r w:rsidRPr="006E371C">
              <w:rPr>
                <w:sz w:val="24"/>
                <w:szCs w:val="24"/>
              </w:rPr>
              <w:t xml:space="preserve">for local populations.  </w:t>
            </w:r>
            <w:r>
              <w:rPr>
                <w:sz w:val="24"/>
                <w:szCs w:val="24"/>
              </w:rPr>
              <w:t xml:space="preserve">Important sectors include </w:t>
            </w:r>
            <w:r w:rsidRPr="006E371C">
              <w:rPr>
                <w:sz w:val="24"/>
                <w:szCs w:val="24"/>
              </w:rPr>
              <w:t>domestic heating and cooking sectors</w:t>
            </w:r>
            <w:r>
              <w:rPr>
                <w:sz w:val="24"/>
                <w:szCs w:val="24"/>
              </w:rPr>
              <w:t xml:space="preserve">; </w:t>
            </w:r>
            <w:r w:rsidRPr="006E371C">
              <w:rPr>
                <w:sz w:val="24"/>
                <w:szCs w:val="24"/>
              </w:rPr>
              <w:t>agro-forestry</w:t>
            </w:r>
            <w:r>
              <w:rPr>
                <w:sz w:val="24"/>
                <w:szCs w:val="24"/>
              </w:rPr>
              <w:t xml:space="preserve">, especially where unnecessary and damaging open burning occurs as well as methane emissions from livestock and rice paddies; diesel transport and generators; and a great variety of emissions from the oil and gas sectors, where concerns around related emissions of black carbon and methane (from flaring, fugitive methane emissions </w:t>
            </w:r>
            <w:proofErr w:type="spellStart"/>
            <w:r>
              <w:rPr>
                <w:sz w:val="24"/>
                <w:szCs w:val="24"/>
              </w:rPr>
              <w:t>invluding</w:t>
            </w:r>
            <w:proofErr w:type="spellEnd"/>
            <w:r>
              <w:rPr>
                <w:sz w:val="24"/>
                <w:szCs w:val="24"/>
              </w:rPr>
              <w:t xml:space="preserve"> from coal mines, etc.), in addition to their CO2 emissions only adds to the need for rapid conversion to non-fossil fuel sources of energy.</w:t>
            </w:r>
          </w:p>
          <w:p w:rsidR="009A0D67" w:rsidRPr="00A318EB" w:rsidRDefault="009A0D67" w:rsidP="006E371C">
            <w:pPr>
              <w:rPr>
                <w:i/>
                <w:sz w:val="20"/>
              </w:rPr>
            </w:pPr>
          </w:p>
        </w:tc>
      </w:tr>
    </w:tbl>
    <w:p w:rsidR="009A0D67" w:rsidRPr="00A318EB" w:rsidRDefault="009A0D67" w:rsidP="009A0D67">
      <w:pPr>
        <w:rPr>
          <w:rFonts w:asciiTheme="minorHAnsi" w:hAnsiTheme="minorHAnsi"/>
          <w:i/>
          <w:sz w:val="20"/>
        </w:rPr>
      </w:pPr>
    </w:p>
    <w:p w:rsidR="009A0D67" w:rsidRPr="00A318EB" w:rsidRDefault="009A0D67" w:rsidP="009A0D67">
      <w:pPr>
        <w:rPr>
          <w:rFonts w:asciiTheme="minorHAnsi" w:hAnsiTheme="minorHAnsi"/>
          <w:i/>
          <w:sz w:val="20"/>
        </w:rPr>
      </w:pPr>
      <w:r>
        <w:rPr>
          <w:rFonts w:asciiTheme="minorHAnsi" w:hAnsiTheme="minorHAnsi"/>
          <w:i/>
          <w:sz w:val="20"/>
        </w:rPr>
        <w:t>Foreseen positive i</w:t>
      </w:r>
      <w:r w:rsidRPr="00A318EB">
        <w:rPr>
          <w:rFonts w:asciiTheme="minorHAnsi" w:hAnsiTheme="minorHAnsi"/>
          <w:i/>
          <w:sz w:val="20"/>
        </w:rPr>
        <w:t>mpact of these commitments once they are realized</w:t>
      </w:r>
      <w:r>
        <w:rPr>
          <w:rFonts w:asciiTheme="minorHAnsi" w:hAnsiTheme="minorHAnsi"/>
          <w:i/>
          <w:sz w:val="20"/>
        </w:rPr>
        <w:t>, including contributions to the sustainable development agenda</w:t>
      </w:r>
      <w:r w:rsidRPr="00A318EB">
        <w:rPr>
          <w:rFonts w:asciiTheme="minorHAnsi" w:hAnsiTheme="minorHAnsi"/>
          <w:i/>
          <w:sz w:val="20"/>
        </w:rPr>
        <w:t xml:space="preserve"> [Maximum 300 words]</w:t>
      </w:r>
    </w:p>
    <w:tbl>
      <w:tblPr>
        <w:tblStyle w:val="TableGrid"/>
        <w:tblW w:w="0" w:type="auto"/>
        <w:tblLook w:val="04A0"/>
      </w:tblPr>
      <w:tblGrid>
        <w:gridCol w:w="9016"/>
      </w:tblGrid>
      <w:tr w:rsidR="009A0D67" w:rsidRPr="00A318EB">
        <w:tc>
          <w:tcPr>
            <w:tcW w:w="9016" w:type="dxa"/>
          </w:tcPr>
          <w:p w:rsidR="009A0D67" w:rsidRDefault="009A0D67" w:rsidP="006E371C">
            <w:pPr>
              <w:rPr>
                <w:i/>
                <w:sz w:val="20"/>
              </w:rPr>
            </w:pPr>
          </w:p>
          <w:p w:rsidR="009A0D67" w:rsidRPr="00A318EB" w:rsidRDefault="009A0D67" w:rsidP="006E371C">
            <w:pPr>
              <w:rPr>
                <w:i/>
                <w:sz w:val="20"/>
              </w:rPr>
            </w:pPr>
            <w:r>
              <w:rPr>
                <w:bCs/>
                <w:color w:val="000000"/>
                <w:sz w:val="24"/>
                <w:szCs w:val="24"/>
              </w:rPr>
              <w:t>Higher ambition in the above-named sectors is both cost-effective and beneficial to the world’s poorest populations.  Benefits include human health (especially from decreasing use of inefficient household wood and coal stoves, and from less exposure to high levels of PM2</w:t>
            </w:r>
            <w:proofErr w:type="gramStart"/>
            <w:r>
              <w:rPr>
                <w:bCs/>
                <w:color w:val="000000"/>
                <w:sz w:val="24"/>
                <w:szCs w:val="24"/>
              </w:rPr>
              <w:t>,5</w:t>
            </w:r>
            <w:proofErr w:type="gramEnd"/>
            <w:r>
              <w:rPr>
                <w:bCs/>
                <w:color w:val="000000"/>
                <w:sz w:val="24"/>
                <w:szCs w:val="24"/>
              </w:rPr>
              <w:t xml:space="preserve"> from </w:t>
            </w:r>
            <w:proofErr w:type="spellStart"/>
            <w:r>
              <w:rPr>
                <w:bCs/>
                <w:color w:val="000000"/>
                <w:sz w:val="24"/>
                <w:szCs w:val="24"/>
              </w:rPr>
              <w:t>agroforestry</w:t>
            </w:r>
            <w:proofErr w:type="spellEnd"/>
            <w:r>
              <w:rPr>
                <w:bCs/>
                <w:color w:val="000000"/>
                <w:sz w:val="24"/>
                <w:szCs w:val="24"/>
              </w:rPr>
              <w:t xml:space="preserve"> burning that have recently impacted for example New Delhi); food security (from greater crop yields and resilience to both drought and extreme weather events from no-burn methods, especially those involving low-till or no-till conservation agriculture cultivation methods); and greater economic security especially for women and female-run rural households.</w:t>
            </w:r>
          </w:p>
          <w:p w:rsidR="009A0D67" w:rsidRPr="00A318EB" w:rsidRDefault="009A0D67" w:rsidP="006E371C">
            <w:pPr>
              <w:rPr>
                <w:i/>
                <w:sz w:val="20"/>
              </w:rPr>
            </w:pPr>
          </w:p>
        </w:tc>
      </w:tr>
    </w:tbl>
    <w:p w:rsidR="009A0D67" w:rsidRDefault="009A0D67" w:rsidP="009A0D67">
      <w:pPr>
        <w:rPr>
          <w:rFonts w:asciiTheme="minorHAnsi" w:hAnsiTheme="minorHAnsi"/>
          <w:b/>
          <w:sz w:val="24"/>
          <w:szCs w:val="24"/>
        </w:rPr>
      </w:pPr>
    </w:p>
    <w:p w:rsidR="009A0D67" w:rsidRDefault="009A0D67">
      <w:pPr>
        <w:tabs>
          <w:tab w:val="clear" w:pos="709"/>
          <w:tab w:val="clear" w:pos="5245"/>
        </w:tabs>
        <w:spacing w:after="200" w:line="276" w:lineRule="auto"/>
        <w:rPr>
          <w:rFonts w:asciiTheme="minorHAnsi" w:hAnsiTheme="minorHAnsi"/>
          <w:b/>
          <w:sz w:val="24"/>
          <w:szCs w:val="24"/>
        </w:rPr>
      </w:pPr>
      <w:r>
        <w:rPr>
          <w:rFonts w:asciiTheme="minorHAnsi" w:hAnsiTheme="minorHAnsi"/>
          <w:b/>
          <w:sz w:val="24"/>
          <w:szCs w:val="24"/>
        </w:rPr>
        <w:br w:type="page"/>
      </w:r>
    </w:p>
    <w:p w:rsidR="009A0D67" w:rsidRPr="00A318EB" w:rsidRDefault="009A0D67" w:rsidP="009A0D67">
      <w:pPr>
        <w:rPr>
          <w:rFonts w:asciiTheme="minorHAnsi" w:hAnsiTheme="minorHAnsi"/>
          <w:b/>
          <w:sz w:val="24"/>
          <w:szCs w:val="24"/>
        </w:rPr>
      </w:pPr>
      <w:r>
        <w:rPr>
          <w:rFonts w:asciiTheme="minorHAnsi" w:hAnsiTheme="minorHAnsi"/>
          <w:b/>
          <w:sz w:val="24"/>
          <w:szCs w:val="24"/>
        </w:rPr>
        <w:t xml:space="preserve">Question 3: </w:t>
      </w:r>
      <w:r w:rsidRPr="00A318EB">
        <w:rPr>
          <w:rFonts w:asciiTheme="minorHAnsi" w:hAnsiTheme="minorHAnsi"/>
          <w:b/>
          <w:sz w:val="24"/>
          <w:szCs w:val="24"/>
        </w:rPr>
        <w:t>How do we get there?</w:t>
      </w:r>
    </w:p>
    <w:p w:rsidR="009A0D67" w:rsidRPr="00A318EB" w:rsidRDefault="009A0D67" w:rsidP="009A0D67">
      <w:pPr>
        <w:rPr>
          <w:rFonts w:asciiTheme="minorHAnsi" w:hAnsiTheme="minorHAnsi"/>
          <w:i/>
          <w:sz w:val="20"/>
        </w:rPr>
      </w:pPr>
      <w:r>
        <w:rPr>
          <w:rFonts w:asciiTheme="minorHAnsi" w:hAnsiTheme="minorHAnsi"/>
          <w:i/>
          <w:sz w:val="20"/>
        </w:rPr>
        <w:t xml:space="preserve">Ways in which the UN Climate Change process can help you achieve your vision and goals, and how your actions can help in expediting sustainable transitions to climate neutral societies </w:t>
      </w:r>
      <w:r w:rsidRPr="00A318EB">
        <w:rPr>
          <w:rFonts w:asciiTheme="minorHAnsi" w:hAnsiTheme="minorHAnsi"/>
          <w:i/>
          <w:sz w:val="20"/>
        </w:rPr>
        <w:t>[Maximum 300 words]</w:t>
      </w:r>
    </w:p>
    <w:tbl>
      <w:tblPr>
        <w:tblStyle w:val="TableGrid"/>
        <w:tblW w:w="0" w:type="auto"/>
        <w:tblLook w:val="04A0"/>
      </w:tblPr>
      <w:tblGrid>
        <w:gridCol w:w="9016"/>
      </w:tblGrid>
      <w:tr w:rsidR="009A0D67" w:rsidRPr="00A318EB">
        <w:tc>
          <w:tcPr>
            <w:tcW w:w="9016" w:type="dxa"/>
          </w:tcPr>
          <w:p w:rsidR="009A0D67" w:rsidRPr="00A318EB" w:rsidRDefault="009A0D67" w:rsidP="00D81C54">
            <w:pPr>
              <w:rPr>
                <w:i/>
                <w:sz w:val="20"/>
              </w:rPr>
            </w:pPr>
          </w:p>
          <w:p w:rsidR="009A0D67" w:rsidRPr="00A318EB" w:rsidRDefault="009A0D67" w:rsidP="00D81C54">
            <w:pPr>
              <w:rPr>
                <w:i/>
                <w:sz w:val="20"/>
              </w:rPr>
            </w:pPr>
            <w:r>
              <w:rPr>
                <w:bCs/>
                <w:color w:val="000000"/>
                <w:sz w:val="24"/>
                <w:szCs w:val="24"/>
              </w:rPr>
              <w:t xml:space="preserve">ICCI actually aim to assist national governments and the UN system to adopt polices and measures that will support this transition, using the stories of individual successful communities and projected benefits.  These include both avoided extreme impacts of overshoot due to </w:t>
            </w:r>
            <w:proofErr w:type="spellStart"/>
            <w:r>
              <w:rPr>
                <w:bCs/>
                <w:color w:val="000000"/>
                <w:sz w:val="24"/>
                <w:szCs w:val="24"/>
              </w:rPr>
              <w:t>cryosphere</w:t>
            </w:r>
            <w:proofErr w:type="spellEnd"/>
            <w:r>
              <w:rPr>
                <w:bCs/>
                <w:color w:val="000000"/>
                <w:sz w:val="24"/>
                <w:szCs w:val="24"/>
              </w:rPr>
              <w:t xml:space="preserve"> dynamics – not least, in the long term and looking well beyond 2100 – as well as more near-term benefits in terms of </w:t>
            </w:r>
            <w:proofErr w:type="spellStart"/>
            <w:r>
              <w:rPr>
                <w:bCs/>
                <w:color w:val="000000"/>
                <w:sz w:val="24"/>
                <w:szCs w:val="24"/>
              </w:rPr>
              <w:t>SDGs</w:t>
            </w:r>
            <w:proofErr w:type="spellEnd"/>
            <w:r>
              <w:rPr>
                <w:bCs/>
                <w:color w:val="000000"/>
                <w:sz w:val="24"/>
                <w:szCs w:val="24"/>
              </w:rPr>
              <w:t xml:space="preserve"> and improved resilience.  The current process can support us and concerned communities, for example those with which we work in Andean Peru (</w:t>
            </w:r>
            <w:proofErr w:type="spellStart"/>
            <w:r>
              <w:rPr>
                <w:bCs/>
                <w:color w:val="000000"/>
                <w:sz w:val="24"/>
                <w:szCs w:val="24"/>
              </w:rPr>
              <w:t>Huancayo</w:t>
            </w:r>
            <w:proofErr w:type="spellEnd"/>
            <w:r>
              <w:rPr>
                <w:bCs/>
                <w:color w:val="000000"/>
                <w:sz w:val="24"/>
                <w:szCs w:val="24"/>
              </w:rPr>
              <w:t>) and near-Himalayas India (Punjab) to spread the of both urgency, and the successful future transition they see with adequate support and education on alternative pathways.</w:t>
            </w:r>
          </w:p>
          <w:p w:rsidR="009A0D67" w:rsidRPr="00A318EB" w:rsidRDefault="009A0D67" w:rsidP="00D81C54">
            <w:pPr>
              <w:rPr>
                <w:i/>
                <w:sz w:val="20"/>
              </w:rPr>
            </w:pPr>
          </w:p>
        </w:tc>
      </w:tr>
    </w:tbl>
    <w:p w:rsidR="009A0D67" w:rsidRDefault="009A0D67" w:rsidP="009A0D67">
      <w:pPr>
        <w:rPr>
          <w:rFonts w:asciiTheme="minorHAnsi" w:hAnsiTheme="minorHAnsi"/>
          <w:i/>
          <w:sz w:val="20"/>
        </w:rPr>
      </w:pPr>
    </w:p>
    <w:p w:rsidR="009A0D67" w:rsidRPr="00A318EB" w:rsidRDefault="009A0D67" w:rsidP="009A0D67">
      <w:pPr>
        <w:rPr>
          <w:rFonts w:asciiTheme="minorHAnsi" w:hAnsiTheme="minorHAnsi"/>
          <w:i/>
          <w:sz w:val="20"/>
        </w:rPr>
      </w:pPr>
      <w:r w:rsidRPr="00A318EB">
        <w:rPr>
          <w:rFonts w:asciiTheme="minorHAnsi" w:hAnsiTheme="minorHAnsi"/>
          <w:i/>
          <w:sz w:val="20"/>
        </w:rPr>
        <w:t xml:space="preserve">Concrete solutions </w:t>
      </w:r>
      <w:r>
        <w:rPr>
          <w:rFonts w:asciiTheme="minorHAnsi" w:hAnsiTheme="minorHAnsi"/>
          <w:i/>
          <w:sz w:val="20"/>
        </w:rPr>
        <w:t>that have been realized while implementing your commitments, including lessons learnt from</w:t>
      </w:r>
      <w:r w:rsidRPr="00A318EB">
        <w:rPr>
          <w:rFonts w:asciiTheme="minorHAnsi" w:hAnsiTheme="minorHAnsi"/>
          <w:i/>
          <w:sz w:val="20"/>
        </w:rPr>
        <w:t xml:space="preserve"> success stories</w:t>
      </w:r>
      <w:r>
        <w:rPr>
          <w:rFonts w:asciiTheme="minorHAnsi" w:hAnsiTheme="minorHAnsi"/>
          <w:i/>
          <w:sz w:val="20"/>
        </w:rPr>
        <w:t xml:space="preserve"> and challenges</w:t>
      </w:r>
      <w:r w:rsidRPr="00A318EB">
        <w:rPr>
          <w:rFonts w:asciiTheme="minorHAnsi" w:hAnsiTheme="minorHAnsi"/>
          <w:i/>
          <w:sz w:val="20"/>
        </w:rPr>
        <w:t xml:space="preserve">, </w:t>
      </w:r>
      <w:r>
        <w:rPr>
          <w:rFonts w:asciiTheme="minorHAnsi" w:hAnsiTheme="minorHAnsi"/>
          <w:i/>
          <w:sz w:val="20"/>
        </w:rPr>
        <w:t xml:space="preserve">and </w:t>
      </w:r>
      <w:r w:rsidRPr="00A318EB">
        <w:rPr>
          <w:rFonts w:asciiTheme="minorHAnsi" w:hAnsiTheme="minorHAnsi"/>
          <w:i/>
          <w:sz w:val="20"/>
        </w:rPr>
        <w:t>case studie</w:t>
      </w:r>
      <w:r>
        <w:rPr>
          <w:rFonts w:asciiTheme="minorHAnsi" w:hAnsiTheme="minorHAnsi"/>
          <w:i/>
          <w:sz w:val="20"/>
        </w:rPr>
        <w:t>s</w:t>
      </w:r>
      <w:r w:rsidRPr="00A318EB">
        <w:rPr>
          <w:rFonts w:asciiTheme="minorHAnsi" w:hAnsiTheme="minorHAnsi"/>
          <w:i/>
          <w:sz w:val="20"/>
        </w:rPr>
        <w:t xml:space="preserve"> that are in line with the 1.5/2 degrees’ goal and </w:t>
      </w:r>
      <w:r>
        <w:rPr>
          <w:rFonts w:asciiTheme="minorHAnsi" w:hAnsiTheme="minorHAnsi"/>
          <w:i/>
          <w:sz w:val="20"/>
        </w:rPr>
        <w:t>can support</w:t>
      </w:r>
      <w:r w:rsidRPr="00A318EB">
        <w:rPr>
          <w:rFonts w:asciiTheme="minorHAnsi" w:hAnsiTheme="minorHAnsi"/>
          <w:i/>
          <w:sz w:val="20"/>
        </w:rPr>
        <w:t xml:space="preserve"> </w:t>
      </w:r>
      <w:r>
        <w:rPr>
          <w:rFonts w:asciiTheme="minorHAnsi" w:hAnsiTheme="minorHAnsi"/>
          <w:i/>
          <w:sz w:val="20"/>
        </w:rPr>
        <w:t xml:space="preserve">the </w:t>
      </w:r>
      <w:r w:rsidRPr="00A318EB">
        <w:rPr>
          <w:rFonts w:asciiTheme="minorHAnsi" w:hAnsiTheme="minorHAnsi"/>
          <w:i/>
          <w:sz w:val="20"/>
        </w:rPr>
        <w:t xml:space="preserve">Parties </w:t>
      </w:r>
      <w:r>
        <w:rPr>
          <w:rFonts w:asciiTheme="minorHAnsi" w:hAnsiTheme="minorHAnsi"/>
          <w:i/>
          <w:sz w:val="20"/>
        </w:rPr>
        <w:t xml:space="preserve">in </w:t>
      </w:r>
      <w:r w:rsidRPr="00A318EB">
        <w:rPr>
          <w:rFonts w:asciiTheme="minorHAnsi" w:hAnsiTheme="minorHAnsi"/>
          <w:i/>
          <w:sz w:val="20"/>
        </w:rPr>
        <w:t>achiev</w:t>
      </w:r>
      <w:r>
        <w:rPr>
          <w:rFonts w:asciiTheme="minorHAnsi" w:hAnsiTheme="minorHAnsi"/>
          <w:i/>
          <w:sz w:val="20"/>
        </w:rPr>
        <w:t>ing</w:t>
      </w:r>
      <w:r w:rsidRPr="00A318EB">
        <w:rPr>
          <w:rFonts w:asciiTheme="minorHAnsi" w:hAnsiTheme="minorHAnsi"/>
          <w:i/>
          <w:sz w:val="20"/>
        </w:rPr>
        <w:t xml:space="preserve"> their </w:t>
      </w:r>
      <w:r>
        <w:rPr>
          <w:rFonts w:asciiTheme="minorHAnsi" w:hAnsiTheme="minorHAnsi"/>
          <w:i/>
          <w:sz w:val="20"/>
        </w:rPr>
        <w:t xml:space="preserve">NDC goals, </w:t>
      </w:r>
      <w:r w:rsidRPr="00A318EB">
        <w:rPr>
          <w:rFonts w:asciiTheme="minorHAnsi" w:hAnsiTheme="minorHAnsi"/>
          <w:i/>
          <w:sz w:val="20"/>
        </w:rPr>
        <w:t xml:space="preserve">enable higher ambition </w:t>
      </w:r>
      <w:r>
        <w:rPr>
          <w:rFonts w:asciiTheme="minorHAnsi" w:hAnsiTheme="minorHAnsi"/>
          <w:i/>
          <w:sz w:val="20"/>
        </w:rPr>
        <w:t xml:space="preserve">and inspire engagement of other non-state actors </w:t>
      </w:r>
      <w:r w:rsidRPr="00A318EB">
        <w:rPr>
          <w:rFonts w:asciiTheme="minorHAnsi" w:hAnsiTheme="minorHAnsi"/>
          <w:i/>
          <w:sz w:val="20"/>
        </w:rPr>
        <w:t>[Maximum 300 words]</w:t>
      </w:r>
    </w:p>
    <w:tbl>
      <w:tblPr>
        <w:tblStyle w:val="TableGrid"/>
        <w:tblW w:w="0" w:type="auto"/>
        <w:tblLook w:val="04A0"/>
      </w:tblPr>
      <w:tblGrid>
        <w:gridCol w:w="9016"/>
      </w:tblGrid>
      <w:tr w:rsidR="009A0D67" w:rsidRPr="00A318EB">
        <w:tc>
          <w:tcPr>
            <w:tcW w:w="9016" w:type="dxa"/>
          </w:tcPr>
          <w:p w:rsidR="009A0D67" w:rsidRDefault="009A0D67" w:rsidP="00D81C54">
            <w:pPr>
              <w:rPr>
                <w:bCs/>
                <w:color w:val="000000"/>
                <w:sz w:val="24"/>
                <w:szCs w:val="24"/>
              </w:rPr>
            </w:pPr>
          </w:p>
          <w:p w:rsidR="009A0D67" w:rsidRPr="00A318EB" w:rsidRDefault="009A0D67" w:rsidP="00D81C54">
            <w:pPr>
              <w:rPr>
                <w:i/>
                <w:sz w:val="20"/>
              </w:rPr>
            </w:pPr>
            <w:r>
              <w:rPr>
                <w:bCs/>
                <w:color w:val="000000"/>
                <w:sz w:val="24"/>
                <w:szCs w:val="24"/>
              </w:rPr>
              <w:t>The success stories we would present are those in connection with the domestic cooking/heating and agriculture (in terms of alternatives to burning of fields or forest understory) sectors.  Agriculture is especially compelling, as no-burn methods also contribute to higher food security and adaptation to extreme weather events.</w:t>
            </w:r>
          </w:p>
          <w:p w:rsidR="009A0D67" w:rsidRPr="00A318EB" w:rsidRDefault="009A0D67" w:rsidP="00D81C54">
            <w:pPr>
              <w:rPr>
                <w:i/>
                <w:sz w:val="20"/>
              </w:rPr>
            </w:pPr>
          </w:p>
        </w:tc>
      </w:tr>
    </w:tbl>
    <w:p w:rsidR="009A0D67" w:rsidRPr="00A318EB" w:rsidRDefault="009A0D67" w:rsidP="009A0D67">
      <w:pPr>
        <w:spacing w:line="240" w:lineRule="auto"/>
        <w:rPr>
          <w:rFonts w:asciiTheme="minorHAnsi" w:hAnsiTheme="minorHAnsi"/>
          <w:i/>
          <w:sz w:val="20"/>
        </w:rPr>
      </w:pPr>
    </w:p>
    <w:p w:rsidR="009A0D67" w:rsidRPr="00A318EB" w:rsidRDefault="009A0D67" w:rsidP="009A0D67">
      <w:pPr>
        <w:rPr>
          <w:rFonts w:asciiTheme="minorHAnsi" w:hAnsiTheme="minorHAnsi"/>
          <w:i/>
          <w:sz w:val="20"/>
        </w:rPr>
      </w:pPr>
      <w:r>
        <w:rPr>
          <w:rFonts w:asciiTheme="minorHAnsi" w:hAnsiTheme="minorHAnsi"/>
          <w:i/>
          <w:sz w:val="20"/>
        </w:rPr>
        <w:t>C</w:t>
      </w:r>
      <w:r w:rsidRPr="00A318EB">
        <w:rPr>
          <w:rFonts w:asciiTheme="minorHAnsi" w:hAnsiTheme="minorHAnsi"/>
          <w:i/>
          <w:sz w:val="20"/>
        </w:rPr>
        <w:t xml:space="preserve">ollaboration models with other stakeholders and, in particular, between non-Party stakeholders, national </w:t>
      </w:r>
      <w:proofErr w:type="gramStart"/>
      <w:r w:rsidRPr="00A318EB">
        <w:rPr>
          <w:rFonts w:asciiTheme="minorHAnsi" w:hAnsiTheme="minorHAnsi"/>
          <w:i/>
          <w:sz w:val="20"/>
        </w:rPr>
        <w:t>governments</w:t>
      </w:r>
      <w:proofErr w:type="gramEnd"/>
      <w:r w:rsidRPr="00A318EB">
        <w:rPr>
          <w:rFonts w:asciiTheme="minorHAnsi" w:hAnsiTheme="minorHAnsi"/>
          <w:i/>
          <w:sz w:val="20"/>
        </w:rPr>
        <w:t xml:space="preserve"> and the UN Climate Change process </w:t>
      </w:r>
      <w:r>
        <w:rPr>
          <w:rFonts w:asciiTheme="minorHAnsi" w:hAnsiTheme="minorHAnsi"/>
          <w:i/>
          <w:sz w:val="20"/>
        </w:rPr>
        <w:t xml:space="preserve">that have been successful in helping you, or can help you, achieve your commitments </w:t>
      </w:r>
      <w:r w:rsidRPr="00A318EB">
        <w:rPr>
          <w:rFonts w:asciiTheme="minorHAnsi" w:hAnsiTheme="minorHAnsi"/>
          <w:i/>
          <w:sz w:val="20"/>
        </w:rPr>
        <w:t>[Maximum 300 words]</w:t>
      </w:r>
    </w:p>
    <w:tbl>
      <w:tblPr>
        <w:tblStyle w:val="TableGrid"/>
        <w:tblW w:w="0" w:type="auto"/>
        <w:tblLook w:val="04A0"/>
      </w:tblPr>
      <w:tblGrid>
        <w:gridCol w:w="9016"/>
      </w:tblGrid>
      <w:tr w:rsidR="009A0D67" w:rsidRPr="00A318EB">
        <w:tc>
          <w:tcPr>
            <w:tcW w:w="9016" w:type="dxa"/>
          </w:tcPr>
          <w:p w:rsidR="009A0D67" w:rsidRPr="00A318EB" w:rsidRDefault="009A0D67" w:rsidP="00D81C54">
            <w:pPr>
              <w:rPr>
                <w:i/>
                <w:sz w:val="20"/>
              </w:rPr>
            </w:pPr>
          </w:p>
          <w:p w:rsidR="009A0D67" w:rsidRPr="00A318EB" w:rsidRDefault="009A0D67" w:rsidP="00D81C54">
            <w:pPr>
              <w:rPr>
                <w:i/>
                <w:sz w:val="20"/>
              </w:rPr>
            </w:pPr>
            <w:proofErr w:type="spellStart"/>
            <w:r>
              <w:rPr>
                <w:bCs/>
                <w:color w:val="000000"/>
                <w:sz w:val="24"/>
                <w:szCs w:val="24"/>
              </w:rPr>
              <w:t>ICCI’s</w:t>
            </w:r>
            <w:proofErr w:type="spellEnd"/>
            <w:r>
              <w:rPr>
                <w:bCs/>
                <w:color w:val="000000"/>
                <w:sz w:val="24"/>
                <w:szCs w:val="24"/>
              </w:rPr>
              <w:t xml:space="preserve"> combination of science and development policy demonstrates that higher ambition is both cost-effective and beneficial to the world’s poorest populations.  We have found that bringing leading scientists, especially but not exclusively those participating in IPCC reports; together with local and national-level officials and rural stakeholders </w:t>
            </w:r>
            <w:proofErr w:type="gramStart"/>
            <w:r>
              <w:rPr>
                <w:bCs/>
                <w:color w:val="000000"/>
                <w:sz w:val="24"/>
                <w:szCs w:val="24"/>
              </w:rPr>
              <w:t>has</w:t>
            </w:r>
            <w:proofErr w:type="gramEnd"/>
            <w:r>
              <w:rPr>
                <w:bCs/>
                <w:color w:val="000000"/>
                <w:sz w:val="24"/>
                <w:szCs w:val="24"/>
              </w:rPr>
              <w:t xml:space="preserve"> proven enormously compelling in stimulating greater action and ambition.  This includes collaboration with such forums as varied as the UNFCCC, UN Environment and CCAC; to Arctic Council and Antarctic Treaty system or various mountain organizations; to the LRTAP Convention on air quality; to global and regional farmer organizations or stove manufacturers.</w:t>
            </w:r>
          </w:p>
          <w:p w:rsidR="009A0D67" w:rsidRPr="00A318EB" w:rsidRDefault="009A0D67" w:rsidP="00D81C54">
            <w:pPr>
              <w:rPr>
                <w:i/>
                <w:sz w:val="20"/>
              </w:rPr>
            </w:pPr>
          </w:p>
        </w:tc>
      </w:tr>
    </w:tbl>
    <w:p w:rsidR="009A0D67" w:rsidRPr="00A318EB" w:rsidRDefault="009A0D67" w:rsidP="009A0D67">
      <w:pPr>
        <w:rPr>
          <w:rFonts w:asciiTheme="minorHAnsi" w:hAnsiTheme="minorHAnsi"/>
          <w:i/>
          <w:sz w:val="20"/>
        </w:rPr>
      </w:pPr>
    </w:p>
    <w:p w:rsidR="009A0D67" w:rsidRPr="00A318EB" w:rsidRDefault="009A0D67" w:rsidP="009A0D67">
      <w:pPr>
        <w:rPr>
          <w:rFonts w:asciiTheme="minorHAnsi" w:hAnsiTheme="minorHAnsi"/>
          <w:i/>
          <w:sz w:val="20"/>
        </w:rPr>
      </w:pPr>
      <w:r w:rsidRPr="00A318EB">
        <w:rPr>
          <w:rFonts w:asciiTheme="minorHAnsi" w:hAnsiTheme="minorHAnsi"/>
          <w:i/>
          <w:sz w:val="20"/>
        </w:rPr>
        <w:t>Opportunities to further scale up action and means to address barriers that can enable even further action by non-Party stakeholders</w:t>
      </w:r>
      <w:r>
        <w:rPr>
          <w:rFonts w:asciiTheme="minorHAnsi" w:hAnsiTheme="minorHAnsi"/>
          <w:i/>
          <w:sz w:val="20"/>
        </w:rPr>
        <w:t xml:space="preserve"> based on the actions you have taken to implement your commitments.</w:t>
      </w:r>
      <w:r w:rsidRPr="00A318EB">
        <w:rPr>
          <w:rFonts w:asciiTheme="minorHAnsi" w:hAnsiTheme="minorHAnsi"/>
          <w:i/>
          <w:sz w:val="20"/>
        </w:rPr>
        <w:t xml:space="preserve"> </w:t>
      </w:r>
      <w:r w:rsidRPr="001D66AE">
        <w:rPr>
          <w:rFonts w:asciiTheme="minorHAnsi" w:hAnsiTheme="minorHAnsi"/>
          <w:i/>
          <w:sz w:val="20"/>
        </w:rPr>
        <w:t>(“We’ve made progress and have made new commitments as described above. This is what I need from national governments</w:t>
      </w:r>
      <w:r>
        <w:rPr>
          <w:rFonts w:asciiTheme="minorHAnsi" w:hAnsiTheme="minorHAnsi"/>
          <w:i/>
          <w:sz w:val="20"/>
        </w:rPr>
        <w:t>, other non-Party stakeholders</w:t>
      </w:r>
      <w:r w:rsidRPr="001D66AE">
        <w:rPr>
          <w:rFonts w:asciiTheme="minorHAnsi" w:hAnsiTheme="minorHAnsi"/>
          <w:i/>
          <w:sz w:val="20"/>
        </w:rPr>
        <w:t xml:space="preserve"> and the UN Climate Change process to take even further action…”)</w:t>
      </w:r>
      <w:r w:rsidRPr="00A318EB">
        <w:rPr>
          <w:rFonts w:asciiTheme="minorHAnsi" w:hAnsiTheme="minorHAnsi"/>
          <w:i/>
          <w:sz w:val="20"/>
        </w:rPr>
        <w:t xml:space="preserve"> [Maximum 200 words for each item below]:</w:t>
      </w:r>
    </w:p>
    <w:p w:rsidR="009A0D67" w:rsidRPr="00A318EB" w:rsidRDefault="009A0D67" w:rsidP="009A0D67">
      <w:pPr>
        <w:spacing w:line="240" w:lineRule="auto"/>
        <w:rPr>
          <w:rFonts w:asciiTheme="minorHAnsi" w:hAnsiTheme="minorHAnsi"/>
          <w:i/>
          <w:sz w:val="20"/>
        </w:rPr>
      </w:pPr>
    </w:p>
    <w:p w:rsidR="009A0D67" w:rsidRPr="00A318EB" w:rsidRDefault="009A0D67" w:rsidP="009A0D67">
      <w:pPr>
        <w:pStyle w:val="ListParagraph"/>
        <w:numPr>
          <w:ilvl w:val="0"/>
          <w:numId w:val="1"/>
        </w:numPr>
        <w:spacing w:after="0" w:line="240" w:lineRule="auto"/>
        <w:rPr>
          <w:rFonts w:eastAsia="Times New Roman"/>
          <w:i/>
          <w:sz w:val="20"/>
          <w:szCs w:val="20"/>
        </w:rPr>
      </w:pPr>
      <w:r w:rsidRPr="00A318EB">
        <w:rPr>
          <w:rFonts w:eastAsia="Times New Roman"/>
          <w:i/>
          <w:sz w:val="20"/>
          <w:szCs w:val="20"/>
        </w:rPr>
        <w:t xml:space="preserve">Policy levers </w:t>
      </w:r>
    </w:p>
    <w:tbl>
      <w:tblPr>
        <w:tblStyle w:val="TableGrid"/>
        <w:tblW w:w="0" w:type="auto"/>
        <w:tblLook w:val="04A0"/>
      </w:tblPr>
      <w:tblGrid>
        <w:gridCol w:w="9016"/>
      </w:tblGrid>
      <w:tr w:rsidR="009A0D67" w:rsidRPr="00A318EB">
        <w:tc>
          <w:tcPr>
            <w:tcW w:w="9016" w:type="dxa"/>
          </w:tcPr>
          <w:p w:rsidR="009A0D67" w:rsidRPr="00A318EB" w:rsidRDefault="009A0D67" w:rsidP="00D81C54">
            <w:pPr>
              <w:rPr>
                <w:i/>
                <w:sz w:val="20"/>
              </w:rPr>
            </w:pPr>
          </w:p>
          <w:p w:rsidR="009A0D67" w:rsidRPr="00D81C54" w:rsidRDefault="009A0D67" w:rsidP="009B171E">
            <w:pPr>
              <w:shd w:val="clear" w:color="auto" w:fill="FFFFFF"/>
              <w:spacing w:line="276" w:lineRule="auto"/>
              <w:rPr>
                <w:b/>
                <w:color w:val="222222"/>
                <w:sz w:val="24"/>
                <w:szCs w:val="24"/>
              </w:rPr>
            </w:pPr>
            <w:r w:rsidRPr="00D81C54">
              <w:rPr>
                <w:bCs/>
                <w:color w:val="000000"/>
                <w:sz w:val="24"/>
                <w:szCs w:val="24"/>
              </w:rPr>
              <w:t xml:space="preserve">Our vision involves a combination of </w:t>
            </w:r>
            <w:r>
              <w:rPr>
                <w:bCs/>
                <w:color w:val="000000"/>
                <w:sz w:val="24"/>
                <w:szCs w:val="24"/>
              </w:rPr>
              <w:t xml:space="preserve">raising ambition through increased awareness of the reality of the </w:t>
            </w:r>
            <w:proofErr w:type="spellStart"/>
            <w:r>
              <w:rPr>
                <w:bCs/>
                <w:color w:val="000000"/>
                <w:sz w:val="24"/>
                <w:szCs w:val="24"/>
              </w:rPr>
              <w:t>cryosphere</w:t>
            </w:r>
            <w:proofErr w:type="spellEnd"/>
            <w:r>
              <w:rPr>
                <w:bCs/>
                <w:color w:val="000000"/>
                <w:sz w:val="24"/>
                <w:szCs w:val="24"/>
              </w:rPr>
              <w:t xml:space="preserve"> response; and </w:t>
            </w:r>
            <w:r w:rsidRPr="00D81C54">
              <w:rPr>
                <w:bCs/>
                <w:color w:val="000000"/>
                <w:sz w:val="24"/>
                <w:szCs w:val="24"/>
              </w:rPr>
              <w:t>using the tools at-hand to slow warming and benefit rural, mountain and Arctic peoples directly.</w:t>
            </w:r>
            <w:r>
              <w:rPr>
                <w:bCs/>
                <w:color w:val="000000"/>
                <w:sz w:val="24"/>
                <w:szCs w:val="24"/>
              </w:rPr>
              <w:t xml:space="preserve">  The UN system can help stress the former; national governments and </w:t>
            </w:r>
            <w:proofErr w:type="spellStart"/>
            <w:r>
              <w:rPr>
                <w:bCs/>
                <w:color w:val="000000"/>
                <w:sz w:val="24"/>
                <w:szCs w:val="24"/>
              </w:rPr>
              <w:t>sectoral</w:t>
            </w:r>
            <w:proofErr w:type="spellEnd"/>
            <w:r>
              <w:rPr>
                <w:bCs/>
                <w:color w:val="000000"/>
                <w:sz w:val="24"/>
                <w:szCs w:val="24"/>
              </w:rPr>
              <w:t xml:space="preserve"> organizations can help create enabling mechanisms and policies, for example through price supports to farmers who cease using burning methods.</w:t>
            </w:r>
          </w:p>
          <w:p w:rsidR="009A0D67" w:rsidRPr="00A318EB" w:rsidRDefault="009A0D67" w:rsidP="00D81C54">
            <w:pPr>
              <w:rPr>
                <w:i/>
                <w:sz w:val="20"/>
              </w:rPr>
            </w:pPr>
          </w:p>
          <w:p w:rsidR="009A0D67" w:rsidRPr="00A318EB" w:rsidRDefault="009A0D67" w:rsidP="00D81C54">
            <w:pPr>
              <w:rPr>
                <w:i/>
                <w:sz w:val="20"/>
              </w:rPr>
            </w:pPr>
          </w:p>
        </w:tc>
      </w:tr>
    </w:tbl>
    <w:p w:rsidR="009A0D67" w:rsidRDefault="009A0D67" w:rsidP="009A0D67">
      <w:pPr>
        <w:pStyle w:val="ListParagraph"/>
        <w:spacing w:after="0" w:line="240" w:lineRule="auto"/>
        <w:rPr>
          <w:rFonts w:eastAsia="Times New Roman"/>
          <w:i/>
          <w:sz w:val="20"/>
          <w:szCs w:val="20"/>
        </w:rPr>
      </w:pPr>
    </w:p>
    <w:p w:rsidR="009A0D67" w:rsidRDefault="009A0D67" w:rsidP="009A0D67">
      <w:pPr>
        <w:pStyle w:val="ListParagraph"/>
        <w:spacing w:after="0" w:line="240" w:lineRule="auto"/>
        <w:rPr>
          <w:rFonts w:eastAsia="Times New Roman"/>
          <w:i/>
          <w:sz w:val="20"/>
          <w:szCs w:val="20"/>
        </w:rPr>
      </w:pPr>
    </w:p>
    <w:p w:rsidR="009A0D67" w:rsidRPr="00A318EB" w:rsidRDefault="009A0D67" w:rsidP="009A0D67">
      <w:pPr>
        <w:pStyle w:val="ListParagraph"/>
        <w:spacing w:after="0" w:line="240" w:lineRule="auto"/>
        <w:rPr>
          <w:rFonts w:eastAsia="Times New Roman"/>
          <w:i/>
          <w:sz w:val="20"/>
          <w:szCs w:val="20"/>
        </w:rPr>
      </w:pPr>
    </w:p>
    <w:p w:rsidR="009A0D67" w:rsidRPr="00A318EB" w:rsidRDefault="009A0D67" w:rsidP="009A0D67">
      <w:pPr>
        <w:pStyle w:val="ListParagraph"/>
        <w:numPr>
          <w:ilvl w:val="0"/>
          <w:numId w:val="1"/>
        </w:numPr>
        <w:spacing w:after="0" w:line="240" w:lineRule="auto"/>
        <w:rPr>
          <w:rFonts w:eastAsia="Times New Roman"/>
          <w:i/>
          <w:sz w:val="20"/>
          <w:szCs w:val="20"/>
        </w:rPr>
      </w:pPr>
      <w:r w:rsidRPr="00A318EB">
        <w:rPr>
          <w:rFonts w:eastAsia="Times New Roman"/>
          <w:i/>
          <w:sz w:val="20"/>
          <w:szCs w:val="20"/>
        </w:rPr>
        <w:t>Collaboration</w:t>
      </w:r>
      <w:r>
        <w:rPr>
          <w:rFonts w:eastAsia="Times New Roman"/>
          <w:i/>
          <w:sz w:val="20"/>
          <w:szCs w:val="20"/>
        </w:rPr>
        <w:t>/cooperation</w:t>
      </w:r>
      <w:r w:rsidRPr="00A318EB">
        <w:rPr>
          <w:rFonts w:eastAsia="Times New Roman"/>
          <w:i/>
          <w:sz w:val="20"/>
          <w:szCs w:val="20"/>
        </w:rPr>
        <w:t xml:space="preserve"> opportunities </w:t>
      </w:r>
    </w:p>
    <w:tbl>
      <w:tblPr>
        <w:tblStyle w:val="TableGrid"/>
        <w:tblW w:w="0" w:type="auto"/>
        <w:tblLook w:val="04A0"/>
      </w:tblPr>
      <w:tblGrid>
        <w:gridCol w:w="9016"/>
      </w:tblGrid>
      <w:tr w:rsidR="009A0D67" w:rsidRPr="00A318EB">
        <w:tc>
          <w:tcPr>
            <w:tcW w:w="9016" w:type="dxa"/>
          </w:tcPr>
          <w:p w:rsidR="009A0D67" w:rsidRPr="00A318EB" w:rsidRDefault="009A0D67" w:rsidP="00D81C54">
            <w:pPr>
              <w:rPr>
                <w:i/>
                <w:sz w:val="20"/>
              </w:rPr>
            </w:pPr>
          </w:p>
          <w:p w:rsidR="009A0D67" w:rsidRPr="00A318EB" w:rsidRDefault="009A0D67" w:rsidP="00D81C54">
            <w:pPr>
              <w:rPr>
                <w:i/>
                <w:sz w:val="20"/>
              </w:rPr>
            </w:pPr>
            <w:r>
              <w:rPr>
                <w:sz w:val="24"/>
                <w:szCs w:val="24"/>
              </w:rPr>
              <w:t xml:space="preserve">Collaboration is needed and ongoing, but can be expanded with the communities named above as well as FAO, and ministries of agriculture, environment and finance. </w:t>
            </w:r>
          </w:p>
          <w:p w:rsidR="009A0D67" w:rsidRPr="00A318EB" w:rsidRDefault="009A0D67" w:rsidP="00D81C54">
            <w:pPr>
              <w:rPr>
                <w:i/>
                <w:sz w:val="20"/>
              </w:rPr>
            </w:pPr>
          </w:p>
        </w:tc>
      </w:tr>
    </w:tbl>
    <w:p w:rsidR="009A0D67" w:rsidRPr="00A318EB" w:rsidRDefault="009A0D67" w:rsidP="009A0D67">
      <w:pPr>
        <w:spacing w:line="240" w:lineRule="auto"/>
        <w:rPr>
          <w:rFonts w:asciiTheme="minorHAnsi" w:hAnsiTheme="minorHAnsi"/>
          <w:i/>
          <w:sz w:val="20"/>
        </w:rPr>
      </w:pPr>
    </w:p>
    <w:p w:rsidR="009A0D67" w:rsidRPr="00A318EB" w:rsidRDefault="009A0D67" w:rsidP="009A0D67">
      <w:pPr>
        <w:pStyle w:val="ListParagraph"/>
        <w:numPr>
          <w:ilvl w:val="0"/>
          <w:numId w:val="1"/>
        </w:numPr>
        <w:spacing w:after="0" w:line="240" w:lineRule="auto"/>
        <w:rPr>
          <w:rFonts w:eastAsia="Times New Roman"/>
          <w:i/>
          <w:sz w:val="20"/>
          <w:szCs w:val="20"/>
        </w:rPr>
      </w:pPr>
      <w:r w:rsidRPr="00A318EB">
        <w:rPr>
          <w:rFonts w:eastAsia="Times New Roman"/>
          <w:i/>
          <w:sz w:val="20"/>
          <w:szCs w:val="20"/>
        </w:rPr>
        <w:t xml:space="preserve">Lessons learned based on the experience and progress so far </w:t>
      </w:r>
    </w:p>
    <w:tbl>
      <w:tblPr>
        <w:tblStyle w:val="TableGrid"/>
        <w:tblW w:w="0" w:type="auto"/>
        <w:tblLook w:val="04A0"/>
      </w:tblPr>
      <w:tblGrid>
        <w:gridCol w:w="9016"/>
      </w:tblGrid>
      <w:tr w:rsidR="009A0D67" w:rsidRPr="00A318EB">
        <w:tc>
          <w:tcPr>
            <w:tcW w:w="9016" w:type="dxa"/>
          </w:tcPr>
          <w:p w:rsidR="009A0D67" w:rsidRPr="00A318EB" w:rsidRDefault="009A0D67" w:rsidP="00D81C54">
            <w:pPr>
              <w:rPr>
                <w:i/>
                <w:sz w:val="20"/>
              </w:rPr>
            </w:pPr>
          </w:p>
          <w:p w:rsidR="009A0D67" w:rsidRPr="009B171E" w:rsidRDefault="009A0D67" w:rsidP="009B171E">
            <w:pPr>
              <w:spacing w:after="200" w:line="276" w:lineRule="auto"/>
              <w:rPr>
                <w:sz w:val="24"/>
                <w:szCs w:val="24"/>
              </w:rPr>
            </w:pPr>
            <w:r w:rsidRPr="009B171E">
              <w:rPr>
                <w:sz w:val="24"/>
                <w:szCs w:val="24"/>
              </w:rPr>
              <w:t>We currently are conducting demonstration projects in several countries (Peru, India, Sweden, Chile, Poland among others) to reduce emissions in the domestic heating and cooking sectors, and in agro-forestry where open burning produces the largest global emissions of black carbon.</w:t>
            </w:r>
            <w:r>
              <w:rPr>
                <w:sz w:val="24"/>
                <w:szCs w:val="24"/>
              </w:rPr>
              <w:t xml:space="preserve">  Progress thus far indicates that rural communities are eager to adopt alternatives once the economic benefits are shown in nearby projects; but financing and education remain barriers.</w:t>
            </w:r>
          </w:p>
          <w:p w:rsidR="009A0D67" w:rsidRPr="00A318EB" w:rsidRDefault="009A0D67" w:rsidP="00D81C54">
            <w:pPr>
              <w:rPr>
                <w:i/>
                <w:sz w:val="20"/>
              </w:rPr>
            </w:pPr>
          </w:p>
          <w:p w:rsidR="009A0D67" w:rsidRPr="00A318EB" w:rsidRDefault="009A0D67" w:rsidP="00D81C54">
            <w:pPr>
              <w:rPr>
                <w:i/>
                <w:sz w:val="20"/>
              </w:rPr>
            </w:pPr>
          </w:p>
        </w:tc>
      </w:tr>
    </w:tbl>
    <w:p w:rsidR="009A0D67" w:rsidRDefault="009A0D67" w:rsidP="009A0D67">
      <w:pPr>
        <w:rPr>
          <w:rFonts w:asciiTheme="minorHAnsi" w:hAnsiTheme="minorHAnsi"/>
          <w:i/>
          <w:sz w:val="20"/>
        </w:rPr>
      </w:pPr>
    </w:p>
    <w:p w:rsidR="009A0D67" w:rsidRPr="00A318EB" w:rsidRDefault="009A0D67" w:rsidP="009A0D67">
      <w:pPr>
        <w:pStyle w:val="ListParagraph"/>
        <w:numPr>
          <w:ilvl w:val="0"/>
          <w:numId w:val="1"/>
        </w:numPr>
        <w:spacing w:after="0" w:line="240" w:lineRule="auto"/>
        <w:rPr>
          <w:rFonts w:eastAsia="Times New Roman"/>
          <w:sz w:val="20"/>
          <w:szCs w:val="20"/>
        </w:rPr>
      </w:pPr>
      <w:r>
        <w:rPr>
          <w:rFonts w:eastAsia="Times New Roman"/>
          <w:i/>
          <w:sz w:val="20"/>
          <w:szCs w:val="20"/>
        </w:rPr>
        <w:t>Public and private financing models</w:t>
      </w:r>
    </w:p>
    <w:tbl>
      <w:tblPr>
        <w:tblStyle w:val="TableGrid"/>
        <w:tblW w:w="0" w:type="auto"/>
        <w:tblLook w:val="04A0"/>
      </w:tblPr>
      <w:tblGrid>
        <w:gridCol w:w="9016"/>
      </w:tblGrid>
      <w:tr w:rsidR="009A0D67" w:rsidRPr="00A318EB">
        <w:tc>
          <w:tcPr>
            <w:tcW w:w="9016" w:type="dxa"/>
          </w:tcPr>
          <w:p w:rsidR="009A0D67" w:rsidRPr="00A318EB" w:rsidRDefault="009A0D67" w:rsidP="00D81C54">
            <w:pPr>
              <w:rPr>
                <w:i/>
              </w:rPr>
            </w:pPr>
          </w:p>
          <w:p w:rsidR="009A0D67" w:rsidRPr="00A318EB" w:rsidRDefault="009A0D67" w:rsidP="00D81C54">
            <w:pPr>
              <w:rPr>
                <w:i/>
              </w:rPr>
            </w:pPr>
            <w:r>
              <w:rPr>
                <w:sz w:val="24"/>
                <w:szCs w:val="24"/>
              </w:rPr>
              <w:t>We are currently working on a Concept Note to the Green Climate Fund to support no-burn methods.  Other financing models include enabling purchase of lower-emissions agricultural equipment or woodstoves through price or tax incentives</w:t>
            </w:r>
            <w:proofErr w:type="gramStart"/>
            <w:r>
              <w:rPr>
                <w:sz w:val="24"/>
                <w:szCs w:val="24"/>
              </w:rPr>
              <w:t>;</w:t>
            </w:r>
            <w:proofErr w:type="gramEnd"/>
            <w:r>
              <w:rPr>
                <w:sz w:val="24"/>
                <w:szCs w:val="24"/>
              </w:rPr>
              <w:t xml:space="preserve"> or more concessional lending policies to farmers from micro-financing institutions or private banks. </w:t>
            </w:r>
          </w:p>
          <w:p w:rsidR="009A0D67" w:rsidRPr="00A318EB" w:rsidRDefault="009A0D67" w:rsidP="00D81C54">
            <w:pPr>
              <w:rPr>
                <w:i/>
              </w:rPr>
            </w:pPr>
          </w:p>
        </w:tc>
      </w:tr>
    </w:tbl>
    <w:p w:rsidR="009A0D67" w:rsidRDefault="009A0D67" w:rsidP="009A0D67">
      <w:pPr>
        <w:rPr>
          <w:rFonts w:asciiTheme="minorHAnsi" w:hAnsiTheme="minorHAnsi"/>
          <w:i/>
          <w:sz w:val="20"/>
        </w:rPr>
      </w:pPr>
    </w:p>
    <w:p w:rsidR="009A0D67" w:rsidRPr="00A318EB" w:rsidRDefault="009A0D67" w:rsidP="009A0D67">
      <w:pPr>
        <w:pStyle w:val="ListParagraph"/>
        <w:numPr>
          <w:ilvl w:val="0"/>
          <w:numId w:val="1"/>
        </w:numPr>
        <w:spacing w:after="0" w:line="240" w:lineRule="auto"/>
        <w:rPr>
          <w:rFonts w:eastAsia="Times New Roman"/>
          <w:sz w:val="20"/>
          <w:szCs w:val="20"/>
        </w:rPr>
      </w:pPr>
      <w:r w:rsidRPr="00A318EB">
        <w:rPr>
          <w:rFonts w:eastAsia="Times New Roman"/>
          <w:i/>
          <w:sz w:val="20"/>
          <w:szCs w:val="20"/>
        </w:rPr>
        <w:t>Impact on non-Party stakeholders if these actions by national level governments and the UN Climate Change process and other opportunities are implemented and how much further they could go</w:t>
      </w:r>
    </w:p>
    <w:tbl>
      <w:tblPr>
        <w:tblStyle w:val="TableGrid"/>
        <w:tblW w:w="0" w:type="auto"/>
        <w:tblLook w:val="04A0"/>
      </w:tblPr>
      <w:tblGrid>
        <w:gridCol w:w="9016"/>
      </w:tblGrid>
      <w:tr w:rsidR="009A0D67" w:rsidRPr="00A318EB">
        <w:tc>
          <w:tcPr>
            <w:tcW w:w="9016" w:type="dxa"/>
          </w:tcPr>
          <w:p w:rsidR="009A0D67" w:rsidRPr="00A318EB" w:rsidRDefault="009A0D67" w:rsidP="00D81C54">
            <w:pPr>
              <w:rPr>
                <w:i/>
              </w:rPr>
            </w:pPr>
          </w:p>
          <w:p w:rsidR="009A0D67" w:rsidRPr="00A318EB" w:rsidRDefault="009A0D67" w:rsidP="0029767F">
            <w:pPr>
              <w:rPr>
                <w:i/>
              </w:rPr>
            </w:pPr>
            <w:r>
              <w:rPr>
                <w:sz w:val="24"/>
                <w:szCs w:val="24"/>
              </w:rPr>
              <w:t xml:space="preserve">As just one </w:t>
            </w:r>
            <w:proofErr w:type="spellStart"/>
            <w:r>
              <w:rPr>
                <w:sz w:val="24"/>
                <w:szCs w:val="24"/>
              </w:rPr>
              <w:t>sectoral</w:t>
            </w:r>
            <w:proofErr w:type="spellEnd"/>
            <w:r>
              <w:rPr>
                <w:sz w:val="24"/>
                <w:szCs w:val="24"/>
              </w:rPr>
              <w:t xml:space="preserve"> example: there is almost no long-term economic reason to burn fields and forests (aside from very limited </w:t>
            </w:r>
            <w:proofErr w:type="spellStart"/>
            <w:r>
              <w:rPr>
                <w:sz w:val="24"/>
                <w:szCs w:val="24"/>
              </w:rPr>
              <w:t>wildlands</w:t>
            </w:r>
            <w:proofErr w:type="spellEnd"/>
            <w:r>
              <w:rPr>
                <w:sz w:val="24"/>
                <w:szCs w:val="24"/>
              </w:rPr>
              <w:t xml:space="preserve"> where burns on a decadal basis are necessary for ecosystem preservation).  The reduction potential is on the order of </w:t>
            </w:r>
            <w:r>
              <w:rPr>
                <w:rFonts w:asciiTheme="majorHAnsi" w:hAnsiTheme="majorHAnsi"/>
                <w:lang w:val="en-US"/>
              </w:rPr>
              <w:t xml:space="preserve">40% of global black carbon </w:t>
            </w:r>
            <w:r w:rsidRPr="001A1D69">
              <w:rPr>
                <w:rFonts w:asciiTheme="majorHAnsi" w:hAnsiTheme="majorHAnsi"/>
                <w:lang w:val="en-US"/>
              </w:rPr>
              <w:t>emissions from nearly 340 million hectares affected per year</w:t>
            </w:r>
            <w:r>
              <w:rPr>
                <w:rFonts w:asciiTheme="majorHAnsi" w:hAnsiTheme="majorHAnsi"/>
                <w:lang w:val="en-US"/>
              </w:rPr>
              <w:t xml:space="preserve">, with associated decreases not only of CO2, methane and other </w:t>
            </w:r>
            <w:proofErr w:type="spellStart"/>
            <w:r>
              <w:rPr>
                <w:rFonts w:asciiTheme="majorHAnsi" w:hAnsiTheme="majorHAnsi"/>
                <w:lang w:val="en-US"/>
              </w:rPr>
              <w:t>GHGs</w:t>
            </w:r>
            <w:proofErr w:type="spellEnd"/>
            <w:r>
              <w:rPr>
                <w:rFonts w:asciiTheme="majorHAnsi" w:hAnsiTheme="majorHAnsi"/>
                <w:lang w:val="en-US"/>
              </w:rPr>
              <w:t xml:space="preserve"> from burning but loss of carbon previously fixed in plants matter and the soil.  </w:t>
            </w:r>
            <w:r>
              <w:rPr>
                <w:sz w:val="24"/>
                <w:szCs w:val="24"/>
              </w:rPr>
              <w:t xml:space="preserve">In both subsistence and commercial agriculture, all burning globally could be eliminated in very rapid order – as occurred for example in the </w:t>
            </w:r>
            <w:proofErr w:type="spellStart"/>
            <w:r>
              <w:rPr>
                <w:sz w:val="24"/>
                <w:szCs w:val="24"/>
              </w:rPr>
              <w:t>Baltics</w:t>
            </w:r>
            <w:proofErr w:type="spellEnd"/>
            <w:r>
              <w:rPr>
                <w:sz w:val="24"/>
                <w:szCs w:val="24"/>
              </w:rPr>
              <w:t xml:space="preserve"> and Poland when they joined the EU, where burning decreased by 90% over five years with a combination of economic supports for this transition and effective regulation.  </w:t>
            </w:r>
          </w:p>
          <w:p w:rsidR="009A0D67" w:rsidRPr="00A318EB" w:rsidRDefault="009A0D67" w:rsidP="00D81C54">
            <w:pPr>
              <w:rPr>
                <w:i/>
              </w:rPr>
            </w:pPr>
          </w:p>
        </w:tc>
      </w:tr>
    </w:tbl>
    <w:p w:rsidR="005E6302" w:rsidRDefault="005E6302" w:rsidP="001D66AE">
      <w:pPr>
        <w:rPr>
          <w:rFonts w:asciiTheme="minorHAnsi" w:hAnsiTheme="minorHAnsi"/>
          <w:b/>
          <w:sz w:val="24"/>
          <w:szCs w:val="24"/>
        </w:rPr>
      </w:pPr>
    </w:p>
    <w:sectPr w:rsidR="005E6302" w:rsidSect="009B6C10">
      <w:headerReference w:type="default" r:id="rId8"/>
      <w:pgSz w:w="12240" w:h="15840"/>
      <w:pgMar w:top="1440" w:right="1440" w:bottom="1440" w:left="1440" w:header="1191" w:footer="96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ABA" w:rsidRDefault="00CC4ABA" w:rsidP="005339CC">
      <w:pPr>
        <w:spacing w:line="240" w:lineRule="auto"/>
      </w:pPr>
      <w:r>
        <w:separator/>
      </w:r>
    </w:p>
  </w:endnote>
  <w:endnote w:type="continuationSeparator" w:id="0">
    <w:p w:rsidR="00CC4ABA" w:rsidRDefault="00CC4ABA" w:rsidP="005339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ABA" w:rsidRDefault="00CC4ABA" w:rsidP="005339CC">
      <w:pPr>
        <w:spacing w:line="240" w:lineRule="auto"/>
      </w:pPr>
      <w:r>
        <w:separator/>
      </w:r>
    </w:p>
  </w:footnote>
  <w:footnote w:type="continuationSeparator" w:id="0">
    <w:p w:rsidR="00CC4ABA" w:rsidRDefault="00CC4ABA" w:rsidP="005339CC">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BA" w:rsidRDefault="00CC4ABA" w:rsidP="00AA4B66">
    <w:pPr>
      <w:pStyle w:val="Header"/>
      <w:widowControl w:val="0"/>
    </w:pPr>
    <w:r w:rsidRPr="000A100E">
      <w:rPr>
        <w:noProof/>
        <w:lang w:val="en-US"/>
      </w:rPr>
      <w:drawing>
        <wp:anchor distT="0" distB="0" distL="114300" distR="114300" simplePos="0" relativeHeight="251660288" behindDoc="0" locked="0" layoutInCell="1" allowOverlap="1">
          <wp:simplePos x="0" y="0"/>
          <wp:positionH relativeFrom="margin">
            <wp:posOffset>3152140</wp:posOffset>
          </wp:positionH>
          <wp:positionV relativeFrom="paragraph">
            <wp:posOffset>-697534</wp:posOffset>
          </wp:positionV>
          <wp:extent cx="2762250" cy="8616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2762250" cy="861695"/>
                  </a:xfrm>
                  <a:prstGeom prst="rect">
                    <a:avLst/>
                  </a:prstGeom>
                </pic:spPr>
              </pic:pic>
            </a:graphicData>
          </a:graphic>
        </wp:anchor>
      </w:drawing>
    </w:r>
    <w:r w:rsidRPr="000A100E">
      <w:rPr>
        <w:noProof/>
        <w:lang w:val="en-US"/>
      </w:rPr>
      <w:drawing>
        <wp:anchor distT="0" distB="0" distL="114300" distR="114300" simplePos="0" relativeHeight="251659264" behindDoc="0" locked="0" layoutInCell="1" allowOverlap="1">
          <wp:simplePos x="0" y="0"/>
          <wp:positionH relativeFrom="margin">
            <wp:posOffset>-201416</wp:posOffset>
          </wp:positionH>
          <wp:positionV relativeFrom="topMargin">
            <wp:align>bottom</wp:align>
          </wp:positionV>
          <wp:extent cx="929640" cy="752475"/>
          <wp:effectExtent l="0" t="0" r="381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929640" cy="752475"/>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61D39"/>
    <w:multiLevelType w:val="hybridMultilevel"/>
    <w:tmpl w:val="BCA47F66"/>
    <w:lvl w:ilvl="0" w:tplc="8CEA8F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BB2EE7"/>
    <w:multiLevelType w:val="hybridMultilevel"/>
    <w:tmpl w:val="BD5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hyphenationZone w:val="425"/>
  <w:characterSpacingControl w:val="doNotCompress"/>
  <w:savePreviewPicture/>
  <w:footnotePr>
    <w:footnote w:id="-1"/>
    <w:footnote w:id="0"/>
  </w:footnotePr>
  <w:endnotePr>
    <w:endnote w:id="-1"/>
    <w:endnote w:id="0"/>
  </w:endnotePr>
  <w:compat/>
  <w:rsids>
    <w:rsidRoot w:val="001D66AE"/>
    <w:rsid w:val="00065692"/>
    <w:rsid w:val="00176EE2"/>
    <w:rsid w:val="001C774C"/>
    <w:rsid w:val="001D66AE"/>
    <w:rsid w:val="00216A9B"/>
    <w:rsid w:val="00237713"/>
    <w:rsid w:val="00283365"/>
    <w:rsid w:val="002A0875"/>
    <w:rsid w:val="00396682"/>
    <w:rsid w:val="003D371E"/>
    <w:rsid w:val="003E28D3"/>
    <w:rsid w:val="003E4CEC"/>
    <w:rsid w:val="004D526B"/>
    <w:rsid w:val="005339CC"/>
    <w:rsid w:val="00595EAB"/>
    <w:rsid w:val="005C7ACC"/>
    <w:rsid w:val="005E6302"/>
    <w:rsid w:val="0066071D"/>
    <w:rsid w:val="00801E89"/>
    <w:rsid w:val="0087125E"/>
    <w:rsid w:val="009A0D67"/>
    <w:rsid w:val="009B6C10"/>
    <w:rsid w:val="00A919B1"/>
    <w:rsid w:val="00AA4B66"/>
    <w:rsid w:val="00AD4DE1"/>
    <w:rsid w:val="00B77EA8"/>
    <w:rsid w:val="00B824E9"/>
    <w:rsid w:val="00CC4ABA"/>
    <w:rsid w:val="00DF5156"/>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302"/>
    <w:pPr>
      <w:tabs>
        <w:tab w:val="left" w:pos="709"/>
        <w:tab w:val="left" w:pos="5245"/>
      </w:tabs>
      <w:spacing w:after="0" w:line="284" w:lineRule="atLeast"/>
    </w:pPr>
    <w:rPr>
      <w:rFonts w:ascii="Times New Roman" w:eastAsia="Times New Roman" w:hAnsi="Times New Roman" w:cs="Times New Roman"/>
      <w:szCs w:val="20"/>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uiPriority w:val="99"/>
    <w:semiHidden/>
    <w:rsid w:val="001D66AE"/>
    <w:rPr>
      <w:sz w:val="16"/>
    </w:rPr>
  </w:style>
  <w:style w:type="paragraph" w:styleId="CommentText">
    <w:name w:val="annotation text"/>
    <w:basedOn w:val="Normal"/>
    <w:link w:val="CommentTextChar"/>
    <w:uiPriority w:val="99"/>
    <w:semiHidden/>
    <w:rsid w:val="001D66AE"/>
  </w:style>
  <w:style w:type="character" w:customStyle="1" w:styleId="CommentTextChar">
    <w:name w:val="Comment Text Char"/>
    <w:basedOn w:val="DefaultParagraphFont"/>
    <w:link w:val="CommentText"/>
    <w:uiPriority w:val="99"/>
    <w:semiHidden/>
    <w:rsid w:val="001D66AE"/>
    <w:rPr>
      <w:rFonts w:ascii="Times New Roman" w:eastAsia="Times New Roman" w:hAnsi="Times New Roman" w:cs="Times New Roman"/>
      <w:szCs w:val="20"/>
      <w:lang w:val="en-GB"/>
    </w:rPr>
  </w:style>
  <w:style w:type="paragraph" w:styleId="NormalWeb">
    <w:name w:val="Normal (Web)"/>
    <w:basedOn w:val="Normal"/>
    <w:uiPriority w:val="99"/>
    <w:unhideWhenUsed/>
    <w:rsid w:val="001D66AE"/>
    <w:pPr>
      <w:tabs>
        <w:tab w:val="clear" w:pos="709"/>
        <w:tab w:val="clear" w:pos="5245"/>
      </w:tabs>
      <w:spacing w:before="100" w:beforeAutospacing="1" w:after="100" w:afterAutospacing="1" w:line="240" w:lineRule="auto"/>
    </w:pPr>
    <w:rPr>
      <w:rFonts w:eastAsia="Calibri"/>
      <w:sz w:val="24"/>
      <w:szCs w:val="24"/>
      <w:lang w:val="en-US"/>
    </w:rPr>
  </w:style>
  <w:style w:type="paragraph" w:styleId="ListParagraph">
    <w:name w:val="List Paragraph"/>
    <w:basedOn w:val="Normal"/>
    <w:uiPriority w:val="34"/>
    <w:qFormat/>
    <w:rsid w:val="001D66AE"/>
    <w:pPr>
      <w:tabs>
        <w:tab w:val="clear" w:pos="709"/>
        <w:tab w:val="clear" w:pos="5245"/>
      </w:tabs>
      <w:spacing w:after="160" w:line="259" w:lineRule="auto"/>
      <w:ind w:left="720"/>
      <w:contextualSpacing/>
    </w:pPr>
    <w:rPr>
      <w:rFonts w:asciiTheme="minorHAnsi" w:eastAsiaTheme="minorHAnsi" w:hAnsiTheme="minorHAnsi" w:cstheme="minorBidi"/>
      <w:szCs w:val="22"/>
      <w:lang w:val="en-IE"/>
    </w:rPr>
  </w:style>
  <w:style w:type="table" w:styleId="TableGrid">
    <w:name w:val="Table Grid"/>
    <w:basedOn w:val="TableNormal"/>
    <w:uiPriority w:val="39"/>
    <w:rsid w:val="001D66AE"/>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66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AE"/>
    <w:rPr>
      <w:rFonts w:ascii="Segoe UI" w:eastAsia="Times New Roman" w:hAnsi="Segoe UI" w:cs="Segoe UI"/>
      <w:sz w:val="18"/>
      <w:szCs w:val="18"/>
      <w:lang w:val="en-GB"/>
    </w:rPr>
  </w:style>
  <w:style w:type="paragraph" w:styleId="Header">
    <w:name w:val="header"/>
    <w:basedOn w:val="Normal"/>
    <w:link w:val="HeaderChar"/>
    <w:uiPriority w:val="99"/>
    <w:unhideWhenUsed/>
    <w:rsid w:val="005339CC"/>
    <w:pPr>
      <w:tabs>
        <w:tab w:val="clear" w:pos="709"/>
        <w:tab w:val="clear" w:pos="5245"/>
        <w:tab w:val="center" w:pos="4680"/>
        <w:tab w:val="right" w:pos="9360"/>
      </w:tabs>
      <w:spacing w:line="240" w:lineRule="auto"/>
    </w:pPr>
  </w:style>
  <w:style w:type="character" w:customStyle="1" w:styleId="HeaderChar">
    <w:name w:val="Header Char"/>
    <w:basedOn w:val="DefaultParagraphFont"/>
    <w:link w:val="Header"/>
    <w:uiPriority w:val="99"/>
    <w:rsid w:val="005339CC"/>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5339CC"/>
    <w:pPr>
      <w:tabs>
        <w:tab w:val="clear" w:pos="709"/>
        <w:tab w:val="clear" w:pos="5245"/>
        <w:tab w:val="center" w:pos="4680"/>
        <w:tab w:val="right" w:pos="9360"/>
      </w:tabs>
      <w:spacing w:line="240" w:lineRule="auto"/>
    </w:pPr>
  </w:style>
  <w:style w:type="character" w:customStyle="1" w:styleId="FooterChar">
    <w:name w:val="Footer Char"/>
    <w:basedOn w:val="DefaultParagraphFont"/>
    <w:link w:val="Footer"/>
    <w:uiPriority w:val="99"/>
    <w:rsid w:val="005339CC"/>
    <w:rPr>
      <w:rFonts w:ascii="Times New Roman" w:eastAsia="Times New Roman" w:hAnsi="Times New Roman" w:cs="Times New Roman"/>
      <w:szCs w:val="20"/>
      <w:lang w:val="en-GB"/>
    </w:rPr>
  </w:style>
  <w:style w:type="character" w:styleId="Hyperlink">
    <w:name w:val="Hyperlink"/>
    <w:basedOn w:val="DefaultParagraphFont"/>
    <w:uiPriority w:val="99"/>
    <w:semiHidden/>
    <w:unhideWhenUsed/>
    <w:rsid w:val="00CC4A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ccinet.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2076</Words>
  <Characters>11834</Characters>
  <Application>Microsoft Macintosh Word</Application>
  <DocSecurity>0</DocSecurity>
  <Lines>98</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Magalhaes</dc:creator>
  <cp:keywords/>
  <dc:description/>
  <cp:lastModifiedBy>Pam Pearson</cp:lastModifiedBy>
  <cp:revision>2</cp:revision>
  <dcterms:created xsi:type="dcterms:W3CDTF">2018-04-02T15:52:00Z</dcterms:created>
  <dcterms:modified xsi:type="dcterms:W3CDTF">2018-04-02T15:52:00Z</dcterms:modified>
</cp:coreProperties>
</file>