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6F" w:rsidRDefault="00B66E6F" w:rsidP="00B66E6F">
      <w:pPr>
        <w:pStyle w:val="BodyTextIndent"/>
        <w:spacing w:before="120"/>
        <w:jc w:val="center"/>
        <w:rPr>
          <w:b/>
          <w:sz w:val="32"/>
          <w:szCs w:val="32"/>
          <w:lang w:val="en-US"/>
        </w:rPr>
      </w:pPr>
      <w:r>
        <w:rPr>
          <w:b/>
          <w:sz w:val="32"/>
          <w:szCs w:val="32"/>
          <w:lang w:val="en-US"/>
        </w:rPr>
        <w:t>CGE Greenhouse Gas Inventory Workshop</w:t>
      </w:r>
    </w:p>
    <w:p w:rsidR="00B66E6F" w:rsidRDefault="00B66E6F" w:rsidP="00B66E6F">
      <w:pPr>
        <w:pStyle w:val="BodyTextIndent"/>
        <w:jc w:val="center"/>
        <w:rPr>
          <w:b/>
          <w:sz w:val="32"/>
          <w:szCs w:val="32"/>
          <w:lang w:val="en-US"/>
        </w:rPr>
      </w:pPr>
    </w:p>
    <w:p w:rsidR="00B66E6F" w:rsidRDefault="00B66E6F" w:rsidP="00B66E6F">
      <w:pPr>
        <w:pStyle w:val="BodyTextIndent"/>
        <w:spacing w:before="120"/>
        <w:jc w:val="left"/>
        <w:rPr>
          <w:lang w:val="en-US"/>
        </w:rPr>
      </w:pPr>
      <w:r>
        <w:rPr>
          <w:lang w:val="en-US"/>
        </w:rPr>
        <w:t>Name</w:t>
      </w:r>
      <w:proofErr w:type="gramStart"/>
      <w:r>
        <w:rPr>
          <w:lang w:val="en-US"/>
        </w:rPr>
        <w:t>:</w:t>
      </w:r>
      <w:r>
        <w:rPr>
          <w:u w:val="single"/>
          <w:lang w:val="en-US"/>
        </w:rPr>
        <w:t xml:space="preserve">                                                                     .</w:t>
      </w:r>
      <w:proofErr w:type="gramEnd"/>
    </w:p>
    <w:p w:rsidR="00B66E6F" w:rsidRDefault="00B66E6F" w:rsidP="00B66E6F">
      <w:pPr>
        <w:pStyle w:val="BodyTextIndent"/>
        <w:jc w:val="center"/>
        <w:rPr>
          <w:b/>
          <w:sz w:val="32"/>
          <w:szCs w:val="32"/>
          <w:lang w:val="en-US"/>
        </w:rPr>
      </w:pPr>
    </w:p>
    <w:p w:rsidR="00B66E6F" w:rsidRDefault="00B66E6F" w:rsidP="00B66E6F">
      <w:pPr>
        <w:spacing w:before="100" w:beforeAutospacing="1" w:after="100" w:afterAutospacing="1"/>
        <w:jc w:val="center"/>
        <w:outlineLvl w:val="1"/>
        <w:rPr>
          <w:b/>
          <w:bCs/>
          <w:sz w:val="36"/>
          <w:szCs w:val="36"/>
        </w:rPr>
      </w:pPr>
      <w:r>
        <w:rPr>
          <w:b/>
          <w:bCs/>
          <w:sz w:val="36"/>
          <w:szCs w:val="36"/>
        </w:rPr>
        <w:t>Land use, land-use change and forestry (LULUCF)</w:t>
      </w:r>
    </w:p>
    <w:p w:rsidR="00B66E6F" w:rsidRDefault="00B66E6F" w:rsidP="00B66E6F"/>
    <w:p w:rsidR="00B66E6F" w:rsidRDefault="00B66E6F" w:rsidP="00B66E6F">
      <w:pPr>
        <w:ind w:left="1134" w:hanging="414"/>
      </w:pPr>
      <w:r>
        <w:t>1.</w:t>
      </w:r>
      <w:r>
        <w:tab/>
        <w:t>The IPCC good practice guidance for LULUCF introduces six broad land-use categories which are used in the reporting to UNFCCC. These are:</w:t>
      </w:r>
    </w:p>
    <w:p w:rsidR="00B66E6F" w:rsidRDefault="00B66E6F" w:rsidP="00B66E6F">
      <w:pPr>
        <w:ind w:left="414" w:firstLine="720"/>
      </w:pPr>
      <w:r>
        <w:t xml:space="preserve">(Choose one answer.) </w:t>
      </w:r>
    </w:p>
    <w:p w:rsidR="00B66E6F" w:rsidRDefault="00B66E6F" w:rsidP="00B66E6F">
      <w:pPr>
        <w:numPr>
          <w:ilvl w:val="0"/>
          <w:numId w:val="1"/>
        </w:numPr>
      </w:pPr>
      <w:r>
        <w:t xml:space="preserve">Forest land, cropland, grazing land, wetlands, settlements and other land </w:t>
      </w:r>
    </w:p>
    <w:p w:rsidR="00B66E6F" w:rsidRDefault="00B66E6F" w:rsidP="00B66E6F">
      <w:pPr>
        <w:numPr>
          <w:ilvl w:val="0"/>
          <w:numId w:val="1"/>
        </w:numPr>
      </w:pPr>
      <w:r>
        <w:t xml:space="preserve">Forest land, agricultural land, </w:t>
      </w:r>
      <w:proofErr w:type="spellStart"/>
      <w:r>
        <w:t>revegetated</w:t>
      </w:r>
      <w:proofErr w:type="spellEnd"/>
      <w:r>
        <w:t xml:space="preserve"> lands, wetlands, settlements, other land </w:t>
      </w:r>
    </w:p>
    <w:p w:rsidR="00B66E6F" w:rsidRDefault="00B66E6F" w:rsidP="00B66E6F">
      <w:pPr>
        <w:numPr>
          <w:ilvl w:val="0"/>
          <w:numId w:val="1"/>
        </w:numPr>
      </w:pPr>
      <w:r>
        <w:t xml:space="preserve">Forest land, cropland, grassland, wetlands, settlements, other land </w:t>
      </w:r>
    </w:p>
    <w:p w:rsidR="00B66E6F" w:rsidRDefault="00B66E6F" w:rsidP="00B66E6F"/>
    <w:p w:rsidR="00B66E6F" w:rsidRDefault="00B66E6F" w:rsidP="00B66E6F"/>
    <w:p w:rsidR="00B66E6F" w:rsidRDefault="00B66E6F" w:rsidP="00B66E6F">
      <w:pPr>
        <w:ind w:left="1134" w:hanging="414"/>
      </w:pPr>
      <w:r>
        <w:t>2.</w:t>
      </w:r>
      <w:r>
        <w:tab/>
        <w:t>The carbon pools defined in the IPCC good practice guidance for LULUCF and for which estimates on emissions/removals (carbon stock changes and emissions of non-CO</w:t>
      </w:r>
      <w:r w:rsidRPr="007171D5">
        <w:rPr>
          <w:vertAlign w:val="subscript"/>
        </w:rPr>
        <w:t>2</w:t>
      </w:r>
      <w:r>
        <w:t xml:space="preserve"> greenhouse gases) are:</w:t>
      </w:r>
    </w:p>
    <w:p w:rsidR="00B66E6F" w:rsidRDefault="00B66E6F" w:rsidP="00B66E6F">
      <w:pPr>
        <w:ind w:left="360" w:firstLine="720"/>
      </w:pPr>
      <w:r>
        <w:t xml:space="preserve">(Choose one answer.) </w:t>
      </w:r>
    </w:p>
    <w:p w:rsidR="00B66E6F" w:rsidRDefault="00B66E6F" w:rsidP="00B66E6F">
      <w:pPr>
        <w:numPr>
          <w:ilvl w:val="0"/>
          <w:numId w:val="2"/>
        </w:numPr>
      </w:pPr>
      <w:r>
        <w:t xml:space="preserve">Biomass of trees, biomass of </w:t>
      </w:r>
      <w:proofErr w:type="spellStart"/>
      <w:r>
        <w:t>understorey</w:t>
      </w:r>
      <w:proofErr w:type="spellEnd"/>
      <w:r>
        <w:t xml:space="preserve"> vegetation, coarse woody debris, humus layer, soil organic carbon </w:t>
      </w:r>
    </w:p>
    <w:p w:rsidR="00B66E6F" w:rsidRDefault="00B66E6F" w:rsidP="00B66E6F">
      <w:pPr>
        <w:numPr>
          <w:ilvl w:val="0"/>
          <w:numId w:val="2"/>
        </w:numPr>
      </w:pPr>
      <w:r>
        <w:t xml:space="preserve">Aboveground biomass, belowground biomass, dead wood, litter, soil organic carbon </w:t>
      </w:r>
    </w:p>
    <w:p w:rsidR="00B66E6F" w:rsidRDefault="00B66E6F" w:rsidP="00B66E6F">
      <w:pPr>
        <w:numPr>
          <w:ilvl w:val="0"/>
          <w:numId w:val="2"/>
        </w:numPr>
      </w:pPr>
      <w:r>
        <w:t xml:space="preserve">Aboveground biomass, belowground biomass, dead woody debris, dead roots, soil organic carbon </w:t>
      </w:r>
    </w:p>
    <w:p w:rsidR="00B66E6F" w:rsidRDefault="00B66E6F" w:rsidP="00B66E6F"/>
    <w:p w:rsidR="00B66E6F" w:rsidRDefault="00B66E6F" w:rsidP="00B66E6F"/>
    <w:p w:rsidR="00B66E6F" w:rsidRDefault="00B66E6F" w:rsidP="00B66E6F">
      <w:pPr>
        <w:ind w:left="1134" w:hanging="414"/>
      </w:pPr>
      <w:r>
        <w:t>3.</w:t>
      </w:r>
      <w:r>
        <w:tab/>
        <w:t>The IPCC good practice guidance describes three tiers for use in preparing the estimates. The tiers are defined by:</w:t>
      </w:r>
    </w:p>
    <w:p w:rsidR="00B66E6F" w:rsidRDefault="00B66E6F" w:rsidP="00B66E6F">
      <w:pPr>
        <w:ind w:left="360" w:firstLine="720"/>
      </w:pPr>
      <w:r>
        <w:t xml:space="preserve">(Choose one answer.) </w:t>
      </w:r>
    </w:p>
    <w:p w:rsidR="00B66E6F" w:rsidRDefault="00B66E6F" w:rsidP="00B66E6F">
      <w:pPr>
        <w:numPr>
          <w:ilvl w:val="0"/>
          <w:numId w:val="3"/>
        </w:numPr>
      </w:pPr>
      <w:r>
        <w:t xml:space="preserve">The tiers describe alternative methods for making the estimates and there is no hierarchy among the methods </w:t>
      </w:r>
    </w:p>
    <w:p w:rsidR="00B66E6F" w:rsidRDefault="00B66E6F" w:rsidP="00B66E6F">
      <w:pPr>
        <w:numPr>
          <w:ilvl w:val="0"/>
          <w:numId w:val="3"/>
        </w:numPr>
      </w:pPr>
      <w:r>
        <w:t xml:space="preserve">The tiers form a hierarchy with increased and more advanced use of national data (both activity and parameters) by increase in the tier number </w:t>
      </w:r>
    </w:p>
    <w:p w:rsidR="00B66E6F" w:rsidRDefault="00B66E6F" w:rsidP="00B66E6F"/>
    <w:p w:rsidR="00B66E6F" w:rsidRDefault="00B66E6F" w:rsidP="00B66E6F"/>
    <w:p w:rsidR="00B66E6F" w:rsidRDefault="00B66E6F" w:rsidP="00B66E6F">
      <w:pPr>
        <w:ind w:left="1134" w:hanging="414"/>
      </w:pPr>
      <w:r>
        <w:t>4.</w:t>
      </w:r>
      <w:r>
        <w:tab/>
        <w:t xml:space="preserve">The IPCC good practice guidance LULUCF expands the key source concept to key categories covering both sources and sinks. Which of the following statements </w:t>
      </w:r>
      <w:proofErr w:type="gramStart"/>
      <w:r>
        <w:t>apply:</w:t>
      </w:r>
      <w:proofErr w:type="gramEnd"/>
    </w:p>
    <w:p w:rsidR="00B66E6F" w:rsidRDefault="00B66E6F" w:rsidP="00B66E6F">
      <w:pPr>
        <w:ind w:left="414" w:firstLine="720"/>
      </w:pPr>
      <w:r>
        <w:t xml:space="preserve">(Choose one answer.) </w:t>
      </w:r>
    </w:p>
    <w:p w:rsidR="00B66E6F" w:rsidRDefault="00B66E6F" w:rsidP="00B66E6F">
      <w:pPr>
        <w:numPr>
          <w:ilvl w:val="0"/>
          <w:numId w:val="4"/>
        </w:numPr>
      </w:pPr>
      <w:r>
        <w:t xml:space="preserve">Parties may choose whether they perform a key source analysis without the LULUCF sector or a key category analysis including the LULUCF </w:t>
      </w:r>
      <w:r>
        <w:lastRenderedPageBreak/>
        <w:t xml:space="preserve">sector. In the former case, the LULUCF sector as whole is considered to be a “key category” </w:t>
      </w:r>
    </w:p>
    <w:p w:rsidR="00B66E6F" w:rsidRDefault="00B66E6F" w:rsidP="00B66E6F">
      <w:pPr>
        <w:numPr>
          <w:ilvl w:val="0"/>
          <w:numId w:val="4"/>
        </w:numPr>
      </w:pPr>
      <w:r>
        <w:t xml:space="preserve">The key category analysis including the LULUCF sector replaces the key source analysis </w:t>
      </w:r>
    </w:p>
    <w:p w:rsidR="00B66E6F" w:rsidRDefault="00B66E6F" w:rsidP="00B66E6F">
      <w:pPr>
        <w:numPr>
          <w:ilvl w:val="0"/>
          <w:numId w:val="3"/>
        </w:numPr>
      </w:pPr>
      <w:r>
        <w:t xml:space="preserve">The key category analysis including the LULUCF sector complements the key source analysis and requires additional analysis and reporting </w:t>
      </w:r>
    </w:p>
    <w:p w:rsidR="00B66E6F" w:rsidRDefault="00B66E6F" w:rsidP="00B66E6F">
      <w:pPr>
        <w:ind w:left="1440"/>
      </w:pPr>
    </w:p>
    <w:p w:rsidR="00B66E6F" w:rsidRDefault="00B66E6F" w:rsidP="00B66E6F"/>
    <w:p w:rsidR="00B66E6F" w:rsidRDefault="00B66E6F" w:rsidP="00B66E6F"/>
    <w:p w:rsidR="00B66E6F" w:rsidRDefault="00B66E6F" w:rsidP="00B66E6F">
      <w:pPr>
        <w:ind w:left="1134" w:hanging="414"/>
      </w:pPr>
      <w:r>
        <w:t>5.</w:t>
      </w:r>
      <w:r>
        <w:tab/>
        <w:t xml:space="preserve">Time series consistency is an important aspect of inventories. In the LULUCF sector activity data is often collected periodically. This is taken into consideration in the guidance for preparing the estimates. Which of the following statements </w:t>
      </w:r>
      <w:proofErr w:type="gramStart"/>
      <w:r>
        <w:t>apply:</w:t>
      </w:r>
      <w:proofErr w:type="gramEnd"/>
    </w:p>
    <w:p w:rsidR="00B66E6F" w:rsidRDefault="00B66E6F" w:rsidP="00B66E6F">
      <w:pPr>
        <w:ind w:left="360" w:firstLine="720"/>
      </w:pPr>
      <w:r>
        <w:t xml:space="preserve">(Choose one answer.) </w:t>
      </w:r>
    </w:p>
    <w:p w:rsidR="00B66E6F" w:rsidRDefault="00B66E6F" w:rsidP="00B66E6F">
      <w:pPr>
        <w:numPr>
          <w:ilvl w:val="0"/>
          <w:numId w:val="5"/>
        </w:numPr>
      </w:pPr>
      <w:r>
        <w:t xml:space="preserve">Parties can report the emissions/removals in the sector periodically corresponding to the data collection (maximum length of period is 5 years) </w:t>
      </w:r>
    </w:p>
    <w:p w:rsidR="00B66E6F" w:rsidRDefault="00B66E6F" w:rsidP="00B66E6F">
      <w:pPr>
        <w:numPr>
          <w:ilvl w:val="0"/>
          <w:numId w:val="5"/>
        </w:numPr>
      </w:pPr>
      <w:r>
        <w:t xml:space="preserve">Parties can use periodic data as the basis for their estimates but the reporting of annual emissions and removals is required. Methods showing how to do this are given in the IPCC good practice guidance for LULUCF. </w:t>
      </w:r>
    </w:p>
    <w:p w:rsidR="00B66E6F" w:rsidRDefault="00B66E6F" w:rsidP="00B66E6F">
      <w:pPr>
        <w:numPr>
          <w:ilvl w:val="0"/>
          <w:numId w:val="5"/>
        </w:numPr>
      </w:pPr>
      <w:r>
        <w:t xml:space="preserve">According to the IPCC good practice guidance for LULUCF it is good practice to collect annual data – the use of periodic data as the basis of the estimates is discouraged. </w:t>
      </w:r>
    </w:p>
    <w:p w:rsidR="00B66E6F" w:rsidRDefault="00B66E6F">
      <w:r>
        <w:br w:type="page"/>
      </w:r>
    </w:p>
    <w:p w:rsidR="00B66E6F" w:rsidRDefault="00B66E6F" w:rsidP="00B66E6F">
      <w:pPr>
        <w:spacing w:before="100" w:beforeAutospacing="1" w:after="100" w:afterAutospacing="1"/>
        <w:jc w:val="center"/>
        <w:outlineLvl w:val="1"/>
        <w:rPr>
          <w:b/>
          <w:bCs/>
          <w:sz w:val="36"/>
          <w:szCs w:val="36"/>
        </w:rPr>
      </w:pPr>
      <w:r>
        <w:rPr>
          <w:b/>
          <w:bCs/>
          <w:sz w:val="36"/>
          <w:szCs w:val="36"/>
        </w:rPr>
        <w:lastRenderedPageBreak/>
        <w:t>Land use, land-use change and forestry (LULUCF)</w:t>
      </w:r>
    </w:p>
    <w:p w:rsidR="00B66E6F" w:rsidRDefault="00B66E6F" w:rsidP="00B66E6F"/>
    <w:p w:rsidR="00B66E6F" w:rsidRDefault="00B66E6F" w:rsidP="00B66E6F">
      <w:pPr>
        <w:numPr>
          <w:ilvl w:val="0"/>
          <w:numId w:val="6"/>
        </w:numPr>
      </w:pPr>
      <w:r>
        <w:t>Answer: (c)</w:t>
      </w:r>
      <w:r w:rsidDel="00692853">
        <w:t>.</w:t>
      </w:r>
    </w:p>
    <w:p w:rsidR="00B66E6F" w:rsidRDefault="00B66E6F" w:rsidP="00B66E6F">
      <w:pPr>
        <w:numPr>
          <w:ilvl w:val="0"/>
          <w:numId w:val="6"/>
        </w:numPr>
      </w:pPr>
      <w:r>
        <w:t xml:space="preserve">Answer: (b). </w:t>
      </w:r>
    </w:p>
    <w:p w:rsidR="00B66E6F" w:rsidRDefault="00B66E6F" w:rsidP="00B66E6F">
      <w:pPr>
        <w:numPr>
          <w:ilvl w:val="0"/>
          <w:numId w:val="6"/>
        </w:numPr>
      </w:pPr>
      <w:r>
        <w:t xml:space="preserve">Answer: (b). </w:t>
      </w:r>
    </w:p>
    <w:p w:rsidR="00B66E6F" w:rsidRDefault="00B66E6F" w:rsidP="00B66E6F">
      <w:pPr>
        <w:numPr>
          <w:ilvl w:val="0"/>
          <w:numId w:val="6"/>
        </w:numPr>
      </w:pPr>
      <w:r>
        <w:t>Answer: (c)</w:t>
      </w:r>
      <w:r w:rsidDel="00692853">
        <w:t>.</w:t>
      </w:r>
    </w:p>
    <w:p w:rsidR="00B66E6F" w:rsidRDefault="00B66E6F" w:rsidP="00B66E6F">
      <w:pPr>
        <w:numPr>
          <w:ilvl w:val="0"/>
          <w:numId w:val="6"/>
        </w:numPr>
      </w:pPr>
      <w:r>
        <w:t xml:space="preserve">Answer: (b). </w:t>
      </w:r>
    </w:p>
    <w:p w:rsidR="003C5B06" w:rsidRDefault="003C5B06">
      <w:bookmarkStart w:id="0" w:name="_GoBack"/>
      <w:bookmarkEnd w:id="0"/>
    </w:p>
    <w:sectPr w:rsidR="003C5B0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4463E810-0508-4843-83B4-D82BF1272028}"/>
    <w:embedBold r:id="rId2" w:fontKey="{C5696B61-DF18-4631-8365-93DAA54D7ED2}"/>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777"/>
    <w:multiLevelType w:val="hybridMultilevel"/>
    <w:tmpl w:val="8C7028B4"/>
    <w:lvl w:ilvl="0" w:tplc="B7CA36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13D"/>
    <w:multiLevelType w:val="hybridMultilevel"/>
    <w:tmpl w:val="4252A6CC"/>
    <w:lvl w:ilvl="0" w:tplc="B7CA36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9D622A"/>
    <w:multiLevelType w:val="hybridMultilevel"/>
    <w:tmpl w:val="774E81B4"/>
    <w:lvl w:ilvl="0" w:tplc="B7CA36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484D59"/>
    <w:multiLevelType w:val="hybridMultilevel"/>
    <w:tmpl w:val="1DF8097E"/>
    <w:lvl w:ilvl="0" w:tplc="B7CA36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40003E"/>
    <w:multiLevelType w:val="hybridMultilevel"/>
    <w:tmpl w:val="0A548D46"/>
    <w:lvl w:ilvl="0" w:tplc="B7CA36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6507AC"/>
    <w:multiLevelType w:val="hybridMultilevel"/>
    <w:tmpl w:val="14427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6F"/>
    <w:rsid w:val="00346C7A"/>
    <w:rsid w:val="003C5B06"/>
    <w:rsid w:val="00606BB4"/>
    <w:rsid w:val="00B66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66E6F"/>
    <w:pPr>
      <w:jc w:val="both"/>
    </w:pPr>
    <w:rPr>
      <w:lang w:val="en-GB" w:eastAsia="fr-FR"/>
    </w:rPr>
  </w:style>
  <w:style w:type="character" w:customStyle="1" w:styleId="BodyTextIndentChar">
    <w:name w:val="Body Text Indent Char"/>
    <w:basedOn w:val="DefaultParagraphFont"/>
    <w:link w:val="BodyTextIndent"/>
    <w:rsid w:val="00B66E6F"/>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66E6F"/>
    <w:pPr>
      <w:jc w:val="both"/>
    </w:pPr>
    <w:rPr>
      <w:lang w:val="en-GB" w:eastAsia="fr-FR"/>
    </w:rPr>
  </w:style>
  <w:style w:type="character" w:customStyle="1" w:styleId="BodyTextIndentChar">
    <w:name w:val="Body Text Indent Char"/>
    <w:basedOn w:val="DefaultParagraphFont"/>
    <w:link w:val="BodyTextIndent"/>
    <w:rsid w:val="00B66E6F"/>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Revet</dc:creator>
  <cp:keywords/>
  <dc:description/>
  <cp:lastModifiedBy>Dominique Revet</cp:lastModifiedBy>
  <cp:revision>1</cp:revision>
  <dcterms:created xsi:type="dcterms:W3CDTF">2012-11-08T08:14:00Z</dcterms:created>
  <dcterms:modified xsi:type="dcterms:W3CDTF">2012-11-08T08:15:00Z</dcterms:modified>
</cp:coreProperties>
</file>