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567B" w14:textId="1DD55EB2" w:rsidR="00477938" w:rsidRPr="00C0155F" w:rsidRDefault="00B53805" w:rsidP="00C0155F">
      <w:pPr>
        <w:widowControl w:val="0"/>
        <w:tabs>
          <w:tab w:val="left" w:pos="220"/>
          <w:tab w:val="left" w:pos="720"/>
        </w:tabs>
        <w:autoSpaceDE w:val="0"/>
        <w:autoSpaceDN w:val="0"/>
        <w:adjustRightInd w:val="0"/>
        <w:ind w:right="-567" w:hanging="426"/>
        <w:jc w:val="center"/>
        <w:rPr>
          <w:rFonts w:cs="Helvetica"/>
          <w:b/>
          <w:color w:val="2E74B5" w:themeColor="accent1" w:themeShade="BF"/>
          <w:sz w:val="26"/>
          <w:szCs w:val="26"/>
        </w:rPr>
      </w:pPr>
      <w:r w:rsidRPr="00C0155F">
        <w:rPr>
          <w:rFonts w:cs="Helvetica"/>
          <w:b/>
          <w:color w:val="2E74B5" w:themeColor="accent1" w:themeShade="BF"/>
          <w:sz w:val="26"/>
          <w:szCs w:val="26"/>
        </w:rPr>
        <w:t>T</w:t>
      </w:r>
      <w:r w:rsidR="003F1A1B" w:rsidRPr="00C0155F">
        <w:rPr>
          <w:rFonts w:cs="Helvetica"/>
          <w:b/>
          <w:color w:val="2E74B5" w:themeColor="accent1" w:themeShade="BF"/>
          <w:sz w:val="26"/>
          <w:szCs w:val="26"/>
        </w:rPr>
        <w:t xml:space="preserve">emplate for collecting feedback on the </w:t>
      </w:r>
      <w:r w:rsidR="003B2E48" w:rsidRPr="00C0155F">
        <w:rPr>
          <w:rFonts w:cs="Helvetica"/>
          <w:b/>
          <w:color w:val="2E74B5" w:themeColor="accent1" w:themeShade="BF"/>
          <w:sz w:val="26"/>
          <w:szCs w:val="26"/>
        </w:rPr>
        <w:t xml:space="preserve">draft </w:t>
      </w:r>
      <w:r w:rsidR="00CD22B0" w:rsidRPr="00C0155F">
        <w:rPr>
          <w:rFonts w:cs="Helvetica"/>
          <w:b/>
          <w:color w:val="2E74B5" w:themeColor="accent1" w:themeShade="BF"/>
          <w:sz w:val="26"/>
          <w:szCs w:val="26"/>
        </w:rPr>
        <w:t xml:space="preserve">paper-based </w:t>
      </w:r>
      <w:r w:rsidR="003F1A1B" w:rsidRPr="00C0155F">
        <w:rPr>
          <w:rFonts w:cs="Helvetica"/>
          <w:b/>
          <w:color w:val="2E74B5" w:themeColor="accent1" w:themeShade="BF"/>
          <w:sz w:val="26"/>
          <w:szCs w:val="26"/>
        </w:rPr>
        <w:t xml:space="preserve">compendium </w:t>
      </w:r>
      <w:r w:rsidR="00CD22B0" w:rsidRPr="00C0155F">
        <w:rPr>
          <w:rFonts w:cs="Times New Roman"/>
          <w:b/>
          <w:color w:val="2E74B5" w:themeColor="accent1" w:themeShade="BF"/>
          <w:sz w:val="26"/>
          <w:szCs w:val="26"/>
        </w:rPr>
        <w:t>on comprehensive risk management approaches</w:t>
      </w:r>
      <w:r w:rsidR="00F517CB" w:rsidRPr="00C0155F">
        <w:rPr>
          <w:rFonts w:cs="Times New Roman"/>
          <w:b/>
          <w:color w:val="2E74B5" w:themeColor="accent1" w:themeShade="BF"/>
          <w:sz w:val="26"/>
          <w:szCs w:val="26"/>
        </w:rPr>
        <w:t xml:space="preserve"> </w:t>
      </w:r>
      <w:r w:rsidR="003B2E48" w:rsidRPr="00C0155F">
        <w:rPr>
          <w:rFonts w:cs="Helvetica"/>
          <w:b/>
          <w:color w:val="2E74B5" w:themeColor="accent1" w:themeShade="BF"/>
          <w:sz w:val="26"/>
          <w:szCs w:val="26"/>
        </w:rPr>
        <w:t xml:space="preserve">prepared </w:t>
      </w:r>
      <w:r w:rsidR="003F1A1B" w:rsidRPr="00C0155F">
        <w:rPr>
          <w:rFonts w:cs="Helvetica"/>
          <w:b/>
          <w:color w:val="2E74B5" w:themeColor="accent1" w:themeShade="BF"/>
          <w:sz w:val="26"/>
          <w:szCs w:val="26"/>
        </w:rPr>
        <w:t>under A</w:t>
      </w:r>
      <w:r w:rsidR="00F517CB" w:rsidRPr="00C0155F">
        <w:rPr>
          <w:rFonts w:cs="Helvetica"/>
          <w:b/>
          <w:color w:val="2E74B5" w:themeColor="accent1" w:themeShade="BF"/>
          <w:sz w:val="26"/>
          <w:szCs w:val="26"/>
        </w:rPr>
        <w:t xml:space="preserve">ction </w:t>
      </w:r>
      <w:r w:rsidR="003F1A1B" w:rsidRPr="00C0155F">
        <w:rPr>
          <w:rFonts w:cs="Helvetica"/>
          <w:b/>
          <w:color w:val="2E74B5" w:themeColor="accent1" w:themeShade="BF"/>
          <w:sz w:val="26"/>
          <w:szCs w:val="26"/>
        </w:rPr>
        <w:t>A</w:t>
      </w:r>
      <w:r w:rsidR="00F517CB" w:rsidRPr="00C0155F">
        <w:rPr>
          <w:rFonts w:cs="Helvetica"/>
          <w:b/>
          <w:color w:val="2E74B5" w:themeColor="accent1" w:themeShade="BF"/>
          <w:sz w:val="26"/>
          <w:szCs w:val="26"/>
        </w:rPr>
        <w:t xml:space="preserve">rea </w:t>
      </w:r>
      <w:r w:rsidR="003F1A1B" w:rsidRPr="00C0155F">
        <w:rPr>
          <w:rFonts w:cs="Helvetica"/>
          <w:b/>
          <w:color w:val="2E74B5" w:themeColor="accent1" w:themeShade="BF"/>
          <w:sz w:val="26"/>
          <w:szCs w:val="26"/>
        </w:rPr>
        <w:t>2</w:t>
      </w:r>
      <w:r w:rsidR="00471183" w:rsidRPr="00C0155F">
        <w:rPr>
          <w:rFonts w:cs="Helvetica"/>
          <w:b/>
          <w:color w:val="2E74B5" w:themeColor="accent1" w:themeShade="BF"/>
          <w:sz w:val="26"/>
          <w:szCs w:val="26"/>
        </w:rPr>
        <w:t xml:space="preserve"> </w:t>
      </w:r>
      <w:r w:rsidR="003B2E48" w:rsidRPr="00C0155F">
        <w:rPr>
          <w:rFonts w:cs="Helvetica"/>
          <w:b/>
          <w:color w:val="2E74B5" w:themeColor="accent1" w:themeShade="BF"/>
          <w:sz w:val="26"/>
          <w:szCs w:val="26"/>
        </w:rPr>
        <w:t>(</w:t>
      </w:r>
      <w:r w:rsidR="003F1A1B" w:rsidRPr="00C0155F">
        <w:rPr>
          <w:rFonts w:cs="Helvetica"/>
          <w:b/>
          <w:color w:val="2E74B5" w:themeColor="accent1" w:themeShade="BF"/>
          <w:sz w:val="26"/>
          <w:szCs w:val="26"/>
        </w:rPr>
        <w:t>a</w:t>
      </w:r>
      <w:r w:rsidR="003B2E48" w:rsidRPr="00C0155F">
        <w:rPr>
          <w:rFonts w:cs="Helvetica"/>
          <w:b/>
          <w:color w:val="2E74B5" w:themeColor="accent1" w:themeShade="BF"/>
          <w:sz w:val="26"/>
          <w:szCs w:val="26"/>
        </w:rPr>
        <w:t xml:space="preserve">) of the initial two-year workplan of the Executive </w:t>
      </w:r>
      <w:r w:rsidR="00D92F4C" w:rsidRPr="00C0155F">
        <w:rPr>
          <w:rFonts w:cs="Helvetica"/>
          <w:b/>
          <w:color w:val="2E74B5" w:themeColor="accent1" w:themeShade="BF"/>
          <w:sz w:val="26"/>
          <w:szCs w:val="26"/>
        </w:rPr>
        <w:t xml:space="preserve">Committee of the </w:t>
      </w:r>
      <w:r w:rsidR="00CD48C8" w:rsidRPr="00C0155F">
        <w:rPr>
          <w:rFonts w:cs="Helvetica"/>
          <w:b/>
          <w:color w:val="2E74B5" w:themeColor="accent1" w:themeShade="BF"/>
          <w:sz w:val="26"/>
          <w:szCs w:val="26"/>
        </w:rPr>
        <w:t>Warsaw International Mechanism for Loss and Damage</w:t>
      </w:r>
    </w:p>
    <w:p w14:paraId="1B62E20F" w14:textId="77777777" w:rsidR="00D92F4C" w:rsidRPr="00F517CB" w:rsidRDefault="00D92F4C" w:rsidP="008E7813">
      <w:pPr>
        <w:widowControl w:val="0"/>
        <w:tabs>
          <w:tab w:val="left" w:pos="220"/>
          <w:tab w:val="left" w:pos="720"/>
        </w:tabs>
        <w:autoSpaceDE w:val="0"/>
        <w:autoSpaceDN w:val="0"/>
        <w:adjustRightInd w:val="0"/>
        <w:jc w:val="both"/>
        <w:rPr>
          <w:rFonts w:cs="Helvetica"/>
        </w:rPr>
      </w:pPr>
    </w:p>
    <w:p w14:paraId="469A76AF" w14:textId="3D4C3329" w:rsidR="00D92F4C" w:rsidRPr="00D92F4C" w:rsidRDefault="00D92F4C" w:rsidP="008E7813">
      <w:pPr>
        <w:widowControl w:val="0"/>
        <w:tabs>
          <w:tab w:val="left" w:pos="220"/>
          <w:tab w:val="left" w:pos="720"/>
        </w:tabs>
        <w:autoSpaceDE w:val="0"/>
        <w:autoSpaceDN w:val="0"/>
        <w:adjustRightInd w:val="0"/>
        <w:jc w:val="both"/>
        <w:rPr>
          <w:rFonts w:cs="Helvetica"/>
          <w:sz w:val="22"/>
        </w:rPr>
      </w:pPr>
      <w:r w:rsidRPr="00F517CB">
        <w:rPr>
          <w:rFonts w:cs="Helvetica"/>
          <w:sz w:val="22"/>
        </w:rPr>
        <w:t xml:space="preserve">The Executive Committee of the Warsaw International Mechanism for Loss and Damage (Executive Committee) is collecting feedback on a draft </w:t>
      </w:r>
      <w:r w:rsidR="0007488A">
        <w:rPr>
          <w:rFonts w:cs="Helvetica"/>
          <w:sz w:val="22"/>
        </w:rPr>
        <w:t xml:space="preserve">paper-based </w:t>
      </w:r>
      <w:r w:rsidRPr="00F517CB">
        <w:rPr>
          <w:rFonts w:cs="Helvetica"/>
          <w:sz w:val="22"/>
        </w:rPr>
        <w:t xml:space="preserve">compendium on comprehensive risk management approaches. The draft compendium is </w:t>
      </w:r>
      <w:r w:rsidRPr="00F517CB">
        <w:rPr>
          <w:sz w:val="22"/>
        </w:rPr>
        <w:t>available at &lt;</w:t>
      </w:r>
      <w:hyperlink r:id="rId8" w:history="1">
        <w:r w:rsidRPr="00F517CB">
          <w:rPr>
            <w:rStyle w:val="Hyperlink"/>
            <w:color w:val="034990" w:themeColor="hyperlink" w:themeShade="BF"/>
            <w:sz w:val="22"/>
            <w:szCs w:val="22"/>
          </w:rPr>
          <w:t>https://goo.gl/gxNP8i</w:t>
        </w:r>
      </w:hyperlink>
      <w:r w:rsidRPr="00F517CB">
        <w:rPr>
          <w:sz w:val="22"/>
        </w:rPr>
        <w:t>&gt;.</w:t>
      </w:r>
    </w:p>
    <w:p w14:paraId="0CC9A44D" w14:textId="77777777" w:rsidR="00F517CB" w:rsidRDefault="00F517CB" w:rsidP="008E7813">
      <w:pPr>
        <w:widowControl w:val="0"/>
        <w:tabs>
          <w:tab w:val="left" w:pos="220"/>
          <w:tab w:val="left" w:pos="720"/>
        </w:tabs>
        <w:autoSpaceDE w:val="0"/>
        <w:autoSpaceDN w:val="0"/>
        <w:adjustRightInd w:val="0"/>
        <w:jc w:val="both"/>
        <w:rPr>
          <w:rStyle w:val="IntenseEmphasis"/>
          <w:sz w:val="22"/>
        </w:rPr>
      </w:pPr>
    </w:p>
    <w:p w14:paraId="2A4C35FE" w14:textId="720FC613" w:rsidR="003B2E48" w:rsidRDefault="00D92F4C" w:rsidP="008E7813">
      <w:pPr>
        <w:widowControl w:val="0"/>
        <w:tabs>
          <w:tab w:val="left" w:pos="220"/>
          <w:tab w:val="left" w:pos="720"/>
        </w:tabs>
        <w:autoSpaceDE w:val="0"/>
        <w:autoSpaceDN w:val="0"/>
        <w:adjustRightInd w:val="0"/>
        <w:jc w:val="both"/>
        <w:rPr>
          <w:rFonts w:cs="Helvetica"/>
          <w:sz w:val="22"/>
        </w:rPr>
      </w:pPr>
      <w:r w:rsidRPr="00D92F4C">
        <w:rPr>
          <w:rStyle w:val="IntenseEmphasis"/>
          <w:sz w:val="22"/>
        </w:rPr>
        <w:t>Context</w:t>
      </w:r>
      <w:r w:rsidR="00F517CB">
        <w:rPr>
          <w:rStyle w:val="IntenseEmphasis"/>
          <w:sz w:val="22"/>
        </w:rPr>
        <w:t xml:space="preserve"> </w:t>
      </w:r>
      <w:r w:rsidR="003B2E48" w:rsidRPr="00D92F4C">
        <w:rPr>
          <w:rFonts w:cs="Helvetica"/>
          <w:sz w:val="22"/>
        </w:rPr>
        <w:t>The Executive Committee, at its 3</w:t>
      </w:r>
      <w:r w:rsidR="003B2E48" w:rsidRPr="00D92F4C">
        <w:rPr>
          <w:rFonts w:cs="Helvetica"/>
          <w:sz w:val="22"/>
          <w:vertAlign w:val="superscript"/>
        </w:rPr>
        <w:t>rd</w:t>
      </w:r>
      <w:r w:rsidR="003B2E48" w:rsidRPr="00D92F4C">
        <w:rPr>
          <w:rFonts w:cs="Helvetica"/>
          <w:sz w:val="22"/>
        </w:rPr>
        <w:t xml:space="preserve"> meeting (April 2016), requested the </w:t>
      </w:r>
      <w:r w:rsidRPr="00F517CB">
        <w:rPr>
          <w:rFonts w:cs="Helvetica"/>
          <w:sz w:val="22"/>
        </w:rPr>
        <w:t xml:space="preserve">UNFCCC </w:t>
      </w:r>
      <w:r w:rsidR="003B2E48" w:rsidRPr="00F517CB">
        <w:rPr>
          <w:rFonts w:cs="Helvetica"/>
          <w:sz w:val="22"/>
        </w:rPr>
        <w:t xml:space="preserve">secretariat to </w:t>
      </w:r>
      <w:r w:rsidRPr="00F517CB">
        <w:rPr>
          <w:rFonts w:cs="Helvetica"/>
          <w:sz w:val="22"/>
        </w:rPr>
        <w:t xml:space="preserve">develop </w:t>
      </w:r>
      <w:r w:rsidR="003B2E48" w:rsidRPr="00F517CB">
        <w:rPr>
          <w:rFonts w:cs="Helvetica"/>
          <w:sz w:val="22"/>
        </w:rPr>
        <w:t>a paper-based compendium</w:t>
      </w:r>
      <w:r w:rsidR="003B2E48" w:rsidRPr="00D92F4C">
        <w:rPr>
          <w:rFonts w:cs="Helvetica"/>
          <w:sz w:val="22"/>
        </w:rPr>
        <w:t xml:space="preserve"> in order to deliver the expected results of activity (a) of Action Area 2 of the initial two-year workplan of</w:t>
      </w:r>
      <w:r w:rsidRPr="00D92F4C">
        <w:rPr>
          <w:rFonts w:cs="Helvetica"/>
          <w:sz w:val="22"/>
        </w:rPr>
        <w:t xml:space="preserve"> the Executive Committee </w:t>
      </w:r>
      <w:r w:rsidRPr="00D92F4C">
        <w:rPr>
          <w:rFonts w:cs="Helvetica"/>
          <w:i/>
          <w:sz w:val="22"/>
        </w:rPr>
        <w:t>(see the box below)</w:t>
      </w:r>
      <w:r w:rsidRPr="00D92F4C">
        <w:rPr>
          <w:rFonts w:cs="Helvetica"/>
          <w:sz w:val="22"/>
        </w:rPr>
        <w:t>.</w:t>
      </w:r>
    </w:p>
    <w:p w14:paraId="680FD06B" w14:textId="603B48CD" w:rsidR="00F517CB" w:rsidRDefault="00F517CB" w:rsidP="008E7813">
      <w:pPr>
        <w:widowControl w:val="0"/>
        <w:tabs>
          <w:tab w:val="left" w:pos="220"/>
          <w:tab w:val="left" w:pos="720"/>
        </w:tabs>
        <w:autoSpaceDE w:val="0"/>
        <w:autoSpaceDN w:val="0"/>
        <w:adjustRightInd w:val="0"/>
        <w:jc w:val="both"/>
        <w:rPr>
          <w:rFonts w:cs="Helvetica"/>
          <w:sz w:val="22"/>
        </w:rPr>
      </w:pPr>
      <w:r w:rsidRPr="00D92F4C">
        <w:rPr>
          <w:rFonts w:cs="Helvetica"/>
          <w:noProof/>
          <w:sz w:val="22"/>
          <w:lang w:eastAsia="ja-JP"/>
        </w:rPr>
        <mc:AlternateContent>
          <mc:Choice Requires="wps">
            <w:drawing>
              <wp:anchor distT="0" distB="0" distL="114300" distR="114300" simplePos="0" relativeHeight="251659264" behindDoc="0" locked="0" layoutInCell="1" allowOverlap="1" wp14:anchorId="6218CFB0" wp14:editId="5C51FFA7">
                <wp:simplePos x="0" y="0"/>
                <wp:positionH relativeFrom="margin">
                  <wp:posOffset>-91440</wp:posOffset>
                </wp:positionH>
                <wp:positionV relativeFrom="paragraph">
                  <wp:posOffset>104775</wp:posOffset>
                </wp:positionV>
                <wp:extent cx="9239250" cy="14668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9239250" cy="14668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A54C1A" w14:textId="77777777"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r w:rsidRPr="00F517CB">
                              <w:rPr>
                                <w:rFonts w:cs="Helvetica"/>
                                <w:b/>
                                <w:color w:val="0070C0"/>
                                <w:sz w:val="22"/>
                              </w:rPr>
                              <w:t xml:space="preserve">Action Area 2 </w:t>
                            </w:r>
                            <w:r w:rsidRPr="00F517CB">
                              <w:rPr>
                                <w:rFonts w:cs="Helvetica"/>
                                <w:color w:val="0070C0"/>
                                <w:sz w:val="22"/>
                              </w:rPr>
                              <w:t>of the initial two-year workplan of the Executive Committee:</w:t>
                            </w:r>
                          </w:p>
                          <w:p w14:paraId="45654D6C" w14:textId="77777777"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r w:rsidRPr="00F517CB">
                              <w:rPr>
                                <w:rFonts w:cs="Helvetica"/>
                                <w:color w:val="0070C0"/>
                                <w:sz w:val="22"/>
                              </w:rPr>
                              <w:t>‘Enhance the understanding of, and promote, comprehensive risk management approaches (assessment, reduction, transfer, retention), including social protection instruments and transformational approaches, in building long-term resilience of countries, vulnerable populations and communities.’</w:t>
                            </w:r>
                          </w:p>
                          <w:p w14:paraId="5A58091E" w14:textId="77777777"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p>
                          <w:p w14:paraId="7E62986A" w14:textId="77777777"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r w:rsidRPr="00F517CB">
                              <w:rPr>
                                <w:rFonts w:cs="Helvetica"/>
                                <w:b/>
                                <w:color w:val="0070C0"/>
                                <w:sz w:val="22"/>
                              </w:rPr>
                              <w:t>Activity (a)</w:t>
                            </w:r>
                            <w:r w:rsidRPr="00F517CB">
                              <w:rPr>
                                <w:rFonts w:cs="Helvetica"/>
                                <w:color w:val="0070C0"/>
                                <w:sz w:val="22"/>
                              </w:rPr>
                              <w:t xml:space="preserve"> of this action area calls for ‘Identification of good practices and lessons learned, including with respect to policies and data standards, instruments such as insurance and social protection, and transformational approaches, to facilitate comprehensive risk management.’</w:t>
                            </w:r>
                          </w:p>
                          <w:p w14:paraId="2B32911C" w14:textId="4141BE5A"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r w:rsidRPr="00F517CB">
                              <w:rPr>
                                <w:rFonts w:cs="Helvetica"/>
                                <w:b/>
                                <w:color w:val="0070C0"/>
                                <w:sz w:val="22"/>
                              </w:rPr>
                              <w:t>Expected result</w:t>
                            </w:r>
                            <w:r w:rsidRPr="00F517CB">
                              <w:rPr>
                                <w:rFonts w:cs="Helvetica"/>
                                <w:color w:val="0070C0"/>
                                <w:sz w:val="22"/>
                              </w:rPr>
                              <w:t xml:space="preserve"> of this activity is identification of good practices and lessons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oundrect w14:anchorId="6218CFB0" id="Rectangle: Rounded Corners 6" o:spid="_x0000_s1026" style="position:absolute;left:0;text-align:left;margin-left:-7.2pt;margin-top:8.25pt;width:72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" fillcolor="#deeaf6 [660]" strokecolor="#1f4d78 [1604]" strokeweight="1pt">
                <v:stroke joinstyle="miter"/>
                <v:textbox>
                  <w:txbxContent>
                    <w:p w14:paraId="29A54C1A" w14:textId="77777777"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r w:rsidRPr="00F517CB">
                        <w:rPr>
                          <w:rFonts w:cs="Helvetica"/>
                          <w:b/>
                          <w:color w:val="0070C0"/>
                          <w:sz w:val="22"/>
                        </w:rPr>
                        <w:t xml:space="preserve">Action Area 2 </w:t>
                      </w:r>
                      <w:r w:rsidRPr="00F517CB">
                        <w:rPr>
                          <w:rFonts w:cs="Helvetica"/>
                          <w:color w:val="0070C0"/>
                          <w:sz w:val="22"/>
                        </w:rPr>
                        <w:t>of the initial two-year workplan of the Executive Committee:</w:t>
                      </w:r>
                    </w:p>
                    <w:p w14:paraId="45654D6C" w14:textId="77777777"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r w:rsidRPr="00F517CB">
                        <w:rPr>
                          <w:rFonts w:cs="Helvetica"/>
                          <w:color w:val="0070C0"/>
                          <w:sz w:val="22"/>
                        </w:rPr>
                        <w:t>‘Enhance the understanding of, and promote, comprehensive risk management approaches (assessment, reduction, transfer, retention), including social protection instruments and transformational approaches, in building long-term resilience of countries, vulnerable populations and communities.’</w:t>
                      </w:r>
                    </w:p>
                    <w:p w14:paraId="5A58091E" w14:textId="77777777"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p>
                    <w:p w14:paraId="7E62986A" w14:textId="77777777"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r w:rsidRPr="00F517CB">
                        <w:rPr>
                          <w:rFonts w:cs="Helvetica"/>
                          <w:b/>
                          <w:color w:val="0070C0"/>
                          <w:sz w:val="22"/>
                        </w:rPr>
                        <w:t>Activity (a)</w:t>
                      </w:r>
                      <w:r w:rsidRPr="00F517CB">
                        <w:rPr>
                          <w:rFonts w:cs="Helvetica"/>
                          <w:color w:val="0070C0"/>
                          <w:sz w:val="22"/>
                        </w:rPr>
                        <w:t xml:space="preserve"> of this action area calls for ‘Identification of good practices and lessons learned, including with respect to policies and data standards, instruments such as insurance and social protection, and transformational approaches, to facilitate comprehensive risk management.’</w:t>
                      </w:r>
                    </w:p>
                    <w:p w14:paraId="2B32911C" w14:textId="4141BE5A" w:rsidR="00F517CB" w:rsidRPr="00F517CB" w:rsidRDefault="00F517CB" w:rsidP="00F517CB">
                      <w:pPr>
                        <w:widowControl w:val="0"/>
                        <w:tabs>
                          <w:tab w:val="left" w:pos="220"/>
                          <w:tab w:val="left" w:pos="720"/>
                        </w:tabs>
                        <w:autoSpaceDE w:val="0"/>
                        <w:autoSpaceDN w:val="0"/>
                        <w:adjustRightInd w:val="0"/>
                        <w:jc w:val="both"/>
                        <w:rPr>
                          <w:rFonts w:cs="Helvetica"/>
                          <w:color w:val="0070C0"/>
                          <w:sz w:val="22"/>
                        </w:rPr>
                      </w:pPr>
                      <w:r w:rsidRPr="00F517CB">
                        <w:rPr>
                          <w:rFonts w:cs="Helvetica"/>
                          <w:b/>
                          <w:color w:val="0070C0"/>
                          <w:sz w:val="22"/>
                        </w:rPr>
                        <w:t>Expected result</w:t>
                      </w:r>
                      <w:r w:rsidRPr="00F517CB">
                        <w:rPr>
                          <w:rFonts w:cs="Helvetica"/>
                          <w:color w:val="0070C0"/>
                          <w:sz w:val="22"/>
                        </w:rPr>
                        <w:t xml:space="preserve"> of this activity is identification of good practices and lessons learned.</w:t>
                      </w:r>
                    </w:p>
                  </w:txbxContent>
                </v:textbox>
                <w10:wrap anchorx="margin"/>
              </v:roundrect>
            </w:pict>
          </mc:Fallback>
        </mc:AlternateContent>
      </w:r>
    </w:p>
    <w:p w14:paraId="5314D4C8" w14:textId="64829998" w:rsidR="00F517CB" w:rsidRDefault="00F517CB" w:rsidP="008E7813">
      <w:pPr>
        <w:widowControl w:val="0"/>
        <w:tabs>
          <w:tab w:val="left" w:pos="220"/>
          <w:tab w:val="left" w:pos="720"/>
        </w:tabs>
        <w:autoSpaceDE w:val="0"/>
        <w:autoSpaceDN w:val="0"/>
        <w:adjustRightInd w:val="0"/>
        <w:jc w:val="both"/>
        <w:rPr>
          <w:rFonts w:cs="Helvetica"/>
          <w:sz w:val="22"/>
        </w:rPr>
      </w:pPr>
    </w:p>
    <w:p w14:paraId="2033AFB8" w14:textId="2DF2A297" w:rsidR="00F517CB" w:rsidRDefault="00F517CB" w:rsidP="008E7813">
      <w:pPr>
        <w:widowControl w:val="0"/>
        <w:tabs>
          <w:tab w:val="left" w:pos="220"/>
          <w:tab w:val="left" w:pos="720"/>
        </w:tabs>
        <w:autoSpaceDE w:val="0"/>
        <w:autoSpaceDN w:val="0"/>
        <w:adjustRightInd w:val="0"/>
        <w:jc w:val="both"/>
        <w:rPr>
          <w:rFonts w:cs="Helvetica"/>
          <w:sz w:val="22"/>
        </w:rPr>
      </w:pPr>
    </w:p>
    <w:p w14:paraId="05529410" w14:textId="45B2322A" w:rsidR="00F517CB" w:rsidRDefault="00F517CB" w:rsidP="008E7813">
      <w:pPr>
        <w:widowControl w:val="0"/>
        <w:tabs>
          <w:tab w:val="left" w:pos="220"/>
          <w:tab w:val="left" w:pos="720"/>
        </w:tabs>
        <w:autoSpaceDE w:val="0"/>
        <w:autoSpaceDN w:val="0"/>
        <w:adjustRightInd w:val="0"/>
        <w:jc w:val="both"/>
        <w:rPr>
          <w:rFonts w:cs="Helvetica"/>
          <w:sz w:val="22"/>
        </w:rPr>
      </w:pPr>
    </w:p>
    <w:p w14:paraId="47F8AA2D" w14:textId="15B5A9DE" w:rsidR="00F517CB" w:rsidRPr="00D92F4C" w:rsidRDefault="00F517CB" w:rsidP="008E7813">
      <w:pPr>
        <w:widowControl w:val="0"/>
        <w:tabs>
          <w:tab w:val="left" w:pos="220"/>
          <w:tab w:val="left" w:pos="720"/>
        </w:tabs>
        <w:autoSpaceDE w:val="0"/>
        <w:autoSpaceDN w:val="0"/>
        <w:adjustRightInd w:val="0"/>
        <w:jc w:val="both"/>
        <w:rPr>
          <w:rFonts w:cs="Helvetica"/>
          <w:sz w:val="22"/>
        </w:rPr>
      </w:pPr>
    </w:p>
    <w:p w14:paraId="45E68516" w14:textId="30726687" w:rsidR="003B2E48" w:rsidRPr="00D92F4C" w:rsidRDefault="003B2E48" w:rsidP="008E7813">
      <w:pPr>
        <w:widowControl w:val="0"/>
        <w:tabs>
          <w:tab w:val="left" w:pos="220"/>
          <w:tab w:val="left" w:pos="720"/>
        </w:tabs>
        <w:autoSpaceDE w:val="0"/>
        <w:autoSpaceDN w:val="0"/>
        <w:adjustRightInd w:val="0"/>
        <w:jc w:val="both"/>
        <w:rPr>
          <w:rFonts w:cs="Helvetica"/>
          <w:sz w:val="22"/>
        </w:rPr>
      </w:pPr>
    </w:p>
    <w:p w14:paraId="7F575DAF" w14:textId="77777777" w:rsidR="00F517CB" w:rsidRDefault="00F517CB" w:rsidP="008E7813">
      <w:pPr>
        <w:widowControl w:val="0"/>
        <w:tabs>
          <w:tab w:val="left" w:pos="220"/>
          <w:tab w:val="left" w:pos="720"/>
        </w:tabs>
        <w:autoSpaceDE w:val="0"/>
        <w:autoSpaceDN w:val="0"/>
        <w:adjustRightInd w:val="0"/>
        <w:jc w:val="both"/>
        <w:rPr>
          <w:rFonts w:cs="Helvetica"/>
          <w:sz w:val="22"/>
        </w:rPr>
      </w:pPr>
    </w:p>
    <w:p w14:paraId="286C461D" w14:textId="77777777" w:rsidR="00F517CB" w:rsidRDefault="00F517CB" w:rsidP="008E7813">
      <w:pPr>
        <w:widowControl w:val="0"/>
        <w:tabs>
          <w:tab w:val="left" w:pos="220"/>
          <w:tab w:val="left" w:pos="720"/>
        </w:tabs>
        <w:autoSpaceDE w:val="0"/>
        <w:autoSpaceDN w:val="0"/>
        <w:adjustRightInd w:val="0"/>
        <w:jc w:val="both"/>
        <w:rPr>
          <w:rFonts w:cs="Helvetica"/>
          <w:sz w:val="22"/>
        </w:rPr>
      </w:pPr>
    </w:p>
    <w:p w14:paraId="631004B6" w14:textId="77777777" w:rsidR="00F517CB" w:rsidRDefault="00F517CB" w:rsidP="008E7813">
      <w:pPr>
        <w:widowControl w:val="0"/>
        <w:tabs>
          <w:tab w:val="left" w:pos="220"/>
          <w:tab w:val="left" w:pos="720"/>
        </w:tabs>
        <w:autoSpaceDE w:val="0"/>
        <w:autoSpaceDN w:val="0"/>
        <w:adjustRightInd w:val="0"/>
        <w:jc w:val="both"/>
        <w:rPr>
          <w:rFonts w:cs="Helvetica"/>
          <w:sz w:val="22"/>
        </w:rPr>
      </w:pPr>
    </w:p>
    <w:p w14:paraId="064A3422" w14:textId="77777777" w:rsidR="00F517CB" w:rsidRDefault="00F517CB" w:rsidP="008E7813">
      <w:pPr>
        <w:widowControl w:val="0"/>
        <w:tabs>
          <w:tab w:val="left" w:pos="220"/>
          <w:tab w:val="left" w:pos="720"/>
        </w:tabs>
        <w:autoSpaceDE w:val="0"/>
        <w:autoSpaceDN w:val="0"/>
        <w:adjustRightInd w:val="0"/>
        <w:jc w:val="both"/>
        <w:rPr>
          <w:rFonts w:cs="Helvetica"/>
          <w:sz w:val="22"/>
        </w:rPr>
      </w:pPr>
    </w:p>
    <w:p w14:paraId="561654D7" w14:textId="622ECC7F" w:rsidR="00D92F4C" w:rsidRPr="00D92F4C" w:rsidRDefault="00D92F4C" w:rsidP="008E7813">
      <w:pPr>
        <w:widowControl w:val="0"/>
        <w:tabs>
          <w:tab w:val="left" w:pos="220"/>
          <w:tab w:val="left" w:pos="720"/>
        </w:tabs>
        <w:autoSpaceDE w:val="0"/>
        <w:autoSpaceDN w:val="0"/>
        <w:adjustRightInd w:val="0"/>
        <w:jc w:val="both"/>
        <w:rPr>
          <w:rFonts w:cs="Helvetica"/>
          <w:sz w:val="22"/>
        </w:rPr>
      </w:pPr>
      <w:r w:rsidRPr="00D92F4C">
        <w:rPr>
          <w:rFonts w:cs="Helvetica"/>
          <w:sz w:val="22"/>
        </w:rPr>
        <w:t>T</w:t>
      </w:r>
      <w:r w:rsidR="003B2E48" w:rsidRPr="00D92F4C">
        <w:rPr>
          <w:rFonts w:cs="Helvetica"/>
          <w:sz w:val="22"/>
        </w:rPr>
        <w:t xml:space="preserve">he guidance </w:t>
      </w:r>
      <w:r w:rsidR="00C070EF">
        <w:rPr>
          <w:rFonts w:cs="Helvetica"/>
          <w:sz w:val="22"/>
        </w:rPr>
        <w:t>given</w:t>
      </w:r>
      <w:r w:rsidR="003B2E48" w:rsidRPr="00D92F4C">
        <w:rPr>
          <w:rFonts w:cs="Helvetica"/>
          <w:sz w:val="22"/>
        </w:rPr>
        <w:t xml:space="preserve"> by the Excom</w:t>
      </w:r>
      <w:r w:rsidRPr="00D92F4C">
        <w:rPr>
          <w:rFonts w:cs="Helvetica"/>
          <w:sz w:val="22"/>
        </w:rPr>
        <w:t xml:space="preserve"> includes: </w:t>
      </w:r>
    </w:p>
    <w:p w14:paraId="01C25191" w14:textId="08B08783" w:rsidR="00D92F4C" w:rsidRPr="00F517CB" w:rsidRDefault="00D92F4C" w:rsidP="00D92F4C">
      <w:pPr>
        <w:pStyle w:val="ListParagraph"/>
        <w:widowControl w:val="0"/>
        <w:numPr>
          <w:ilvl w:val="0"/>
          <w:numId w:val="2"/>
        </w:numPr>
        <w:tabs>
          <w:tab w:val="left" w:pos="220"/>
          <w:tab w:val="left" w:pos="720"/>
        </w:tabs>
        <w:autoSpaceDE w:val="0"/>
        <w:autoSpaceDN w:val="0"/>
        <w:adjustRightInd w:val="0"/>
        <w:jc w:val="both"/>
        <w:rPr>
          <w:rFonts w:cs="Helvetica"/>
          <w:sz w:val="22"/>
        </w:rPr>
      </w:pPr>
      <w:r w:rsidRPr="00C0155F">
        <w:rPr>
          <w:rStyle w:val="IntenseEmphasis"/>
          <w:color w:val="2E74B5" w:themeColor="accent1" w:themeShade="BF"/>
          <w:sz w:val="22"/>
        </w:rPr>
        <w:t>Format:</w:t>
      </w:r>
      <w:r w:rsidRPr="00C0155F">
        <w:rPr>
          <w:rFonts w:cs="Helvetica"/>
          <w:color w:val="2E74B5" w:themeColor="accent1" w:themeShade="BF"/>
          <w:sz w:val="22"/>
        </w:rPr>
        <w:t xml:space="preserve"> </w:t>
      </w:r>
      <w:r w:rsidRPr="00F517CB">
        <w:rPr>
          <w:rFonts w:cs="Helvetica"/>
          <w:sz w:val="22"/>
        </w:rPr>
        <w:t xml:space="preserve">Paper-based compendium, also </w:t>
      </w:r>
      <w:r w:rsidR="0007488A">
        <w:rPr>
          <w:rFonts w:cs="Helvetica"/>
          <w:sz w:val="22"/>
        </w:rPr>
        <w:t>to be made available electronically;</w:t>
      </w:r>
    </w:p>
    <w:p w14:paraId="16BFE6FE" w14:textId="083B2289" w:rsidR="00D92F4C" w:rsidRPr="00F517CB" w:rsidRDefault="00D92F4C" w:rsidP="00D92F4C">
      <w:pPr>
        <w:pStyle w:val="ListParagraph"/>
        <w:widowControl w:val="0"/>
        <w:numPr>
          <w:ilvl w:val="0"/>
          <w:numId w:val="2"/>
        </w:numPr>
        <w:tabs>
          <w:tab w:val="left" w:pos="220"/>
          <w:tab w:val="left" w:pos="720"/>
        </w:tabs>
        <w:autoSpaceDE w:val="0"/>
        <w:autoSpaceDN w:val="0"/>
        <w:adjustRightInd w:val="0"/>
        <w:jc w:val="both"/>
        <w:rPr>
          <w:rFonts w:cs="Helvetica"/>
          <w:sz w:val="22"/>
        </w:rPr>
      </w:pPr>
      <w:r w:rsidRPr="00C0155F">
        <w:rPr>
          <w:rStyle w:val="IntenseEmphasis"/>
          <w:color w:val="2E74B5" w:themeColor="accent1" w:themeShade="BF"/>
          <w:sz w:val="22"/>
        </w:rPr>
        <w:t>Intended audience</w:t>
      </w:r>
      <w:r w:rsidRPr="00C0155F">
        <w:rPr>
          <w:rFonts w:cs="Helvetica"/>
          <w:color w:val="2E74B5" w:themeColor="accent1" w:themeShade="BF"/>
          <w:sz w:val="22"/>
        </w:rPr>
        <w:t xml:space="preserve">: </w:t>
      </w:r>
      <w:r w:rsidRPr="00F517CB">
        <w:rPr>
          <w:rFonts w:cs="Helvetica"/>
          <w:sz w:val="22"/>
        </w:rPr>
        <w:t xml:space="preserve">Broad (e.g. practitioners, policy-makers, academics, knowledge brokers, etc.) at all levels; </w:t>
      </w:r>
    </w:p>
    <w:p w14:paraId="5B0D6468" w14:textId="627AD7A9" w:rsidR="00D92F4C" w:rsidRPr="00F517CB" w:rsidRDefault="00D92F4C" w:rsidP="00D92F4C">
      <w:pPr>
        <w:pStyle w:val="ListParagraph"/>
        <w:widowControl w:val="0"/>
        <w:numPr>
          <w:ilvl w:val="0"/>
          <w:numId w:val="2"/>
        </w:numPr>
        <w:tabs>
          <w:tab w:val="left" w:pos="220"/>
          <w:tab w:val="left" w:pos="720"/>
        </w:tabs>
        <w:autoSpaceDE w:val="0"/>
        <w:autoSpaceDN w:val="0"/>
        <w:adjustRightInd w:val="0"/>
        <w:jc w:val="both"/>
        <w:rPr>
          <w:rFonts w:cs="Helvetica"/>
          <w:sz w:val="22"/>
        </w:rPr>
      </w:pPr>
      <w:r w:rsidRPr="00C0155F">
        <w:rPr>
          <w:rStyle w:val="IntenseEmphasis"/>
          <w:color w:val="2E74B5" w:themeColor="accent1" w:themeShade="BF"/>
          <w:sz w:val="22"/>
        </w:rPr>
        <w:t>Content</w:t>
      </w:r>
      <w:r w:rsidRPr="00C0155F">
        <w:rPr>
          <w:rFonts w:cs="Helvetica"/>
          <w:color w:val="2E74B5" w:themeColor="accent1" w:themeShade="BF"/>
          <w:sz w:val="22"/>
        </w:rPr>
        <w:t xml:space="preserve">: </w:t>
      </w:r>
      <w:r w:rsidRPr="00F517CB">
        <w:rPr>
          <w:rFonts w:cs="Helvetica"/>
          <w:sz w:val="22"/>
        </w:rPr>
        <w:t xml:space="preserve">Short overview and collection of examples at all levels (sub-national, national, regional and international) with geographic representation at global scale; </w:t>
      </w:r>
    </w:p>
    <w:p w14:paraId="5A38D345" w14:textId="409E6EAD" w:rsidR="00D92F4C" w:rsidRPr="00F517CB" w:rsidRDefault="00D92F4C" w:rsidP="00D92F4C">
      <w:pPr>
        <w:pStyle w:val="ListParagraph"/>
        <w:widowControl w:val="0"/>
        <w:numPr>
          <w:ilvl w:val="0"/>
          <w:numId w:val="2"/>
        </w:numPr>
        <w:tabs>
          <w:tab w:val="left" w:pos="220"/>
          <w:tab w:val="left" w:pos="720"/>
        </w:tabs>
        <w:autoSpaceDE w:val="0"/>
        <w:autoSpaceDN w:val="0"/>
        <w:adjustRightInd w:val="0"/>
        <w:jc w:val="both"/>
        <w:rPr>
          <w:rFonts w:cs="Helvetica"/>
          <w:sz w:val="22"/>
        </w:rPr>
      </w:pPr>
      <w:r w:rsidRPr="004B733B">
        <w:rPr>
          <w:rStyle w:val="IntenseEmphasis"/>
          <w:color w:val="2E74B5" w:themeColor="accent1" w:themeShade="BF"/>
          <w:sz w:val="22"/>
        </w:rPr>
        <w:t>Linkages</w:t>
      </w:r>
      <w:r w:rsidR="004B733B" w:rsidRPr="004B733B">
        <w:rPr>
          <w:rStyle w:val="IntenseEmphasis"/>
          <w:color w:val="2E74B5" w:themeColor="accent1" w:themeShade="BF"/>
          <w:sz w:val="22"/>
        </w:rPr>
        <w:t>:</w:t>
      </w:r>
      <w:r w:rsidRPr="00F517CB">
        <w:rPr>
          <w:rFonts w:cs="Helvetica"/>
          <w:sz w:val="22"/>
        </w:rPr>
        <w:t xml:space="preserve"> with other Action Areas from the initial two-year workplan, e.g. Action Areas 5 and 7.</w:t>
      </w:r>
    </w:p>
    <w:p w14:paraId="1F92FDBE" w14:textId="77777777" w:rsidR="00D92F4C" w:rsidRPr="00D92F4C" w:rsidRDefault="00D92F4C" w:rsidP="00D92F4C">
      <w:pPr>
        <w:widowControl w:val="0"/>
        <w:tabs>
          <w:tab w:val="left" w:pos="220"/>
          <w:tab w:val="left" w:pos="720"/>
        </w:tabs>
        <w:autoSpaceDE w:val="0"/>
        <w:autoSpaceDN w:val="0"/>
        <w:adjustRightInd w:val="0"/>
        <w:jc w:val="both"/>
        <w:rPr>
          <w:rFonts w:ascii="Times New Roman" w:eastAsia="Times New Roman" w:hAnsi="Times New Roman" w:cs="Times New Roman"/>
          <w:i/>
          <w:iCs/>
          <w:sz w:val="22"/>
        </w:rPr>
      </w:pPr>
    </w:p>
    <w:p w14:paraId="3F0D76DC" w14:textId="548B8A07" w:rsidR="003B2E48" w:rsidRPr="00D92F4C" w:rsidRDefault="00D92F4C" w:rsidP="00D92F4C">
      <w:pPr>
        <w:widowControl w:val="0"/>
        <w:tabs>
          <w:tab w:val="left" w:pos="220"/>
          <w:tab w:val="left" w:pos="720"/>
        </w:tabs>
        <w:autoSpaceDE w:val="0"/>
        <w:autoSpaceDN w:val="0"/>
        <w:adjustRightInd w:val="0"/>
        <w:jc w:val="both"/>
        <w:rPr>
          <w:rFonts w:cs="Helvetica"/>
          <w:sz w:val="22"/>
        </w:rPr>
      </w:pPr>
      <w:r w:rsidRPr="00D92F4C">
        <w:rPr>
          <w:rFonts w:cs="Helvetica"/>
          <w:sz w:val="22"/>
        </w:rPr>
        <w:t xml:space="preserve">The </w:t>
      </w:r>
      <w:r w:rsidRPr="00F517CB">
        <w:rPr>
          <w:rFonts w:cs="Helvetica"/>
          <w:sz w:val="22"/>
        </w:rPr>
        <w:t>draft paper-based</w:t>
      </w:r>
      <w:r w:rsidR="003B2E48" w:rsidRPr="00F517CB">
        <w:rPr>
          <w:rFonts w:cs="Helvetica"/>
          <w:sz w:val="22"/>
        </w:rPr>
        <w:t xml:space="preserve"> compendium contains a collection of good practices and lessons learned in relation to comprehensive risk management approaches at different levels</w:t>
      </w:r>
      <w:r w:rsidR="006A1069" w:rsidRPr="00F517CB">
        <w:rPr>
          <w:rFonts w:cs="Helvetica"/>
          <w:sz w:val="22"/>
        </w:rPr>
        <w:t>.</w:t>
      </w:r>
      <w:r w:rsidR="00384791" w:rsidRPr="00F517CB">
        <w:rPr>
          <w:rFonts w:cs="Helvetica"/>
          <w:sz w:val="22"/>
        </w:rPr>
        <w:t xml:space="preserve"> </w:t>
      </w:r>
      <w:r w:rsidR="006A1069" w:rsidRPr="00F517CB">
        <w:rPr>
          <w:rFonts w:cs="Helvetica"/>
          <w:sz w:val="22"/>
        </w:rPr>
        <w:t>It does</w:t>
      </w:r>
      <w:r w:rsidR="006A1069" w:rsidRPr="00D92F4C">
        <w:rPr>
          <w:rFonts w:cs="Helvetica"/>
          <w:sz w:val="22"/>
        </w:rPr>
        <w:t xml:space="preserve"> not attempt to be comprehensive, but does aim to </w:t>
      </w:r>
      <w:r w:rsidR="00C76825" w:rsidRPr="00D92F4C">
        <w:rPr>
          <w:rFonts w:cs="Helvetica"/>
          <w:sz w:val="22"/>
        </w:rPr>
        <w:t xml:space="preserve">address </w:t>
      </w:r>
      <w:r w:rsidR="003B2E48" w:rsidRPr="00D92F4C">
        <w:rPr>
          <w:rFonts w:cs="Helvetica"/>
          <w:sz w:val="22"/>
        </w:rPr>
        <w:t>the specific needs of developing countries that are particularly vulnerable to the adverse effects of climate change. The compendium also contains key findings from the two sets of questionnaires regarding national systems and/or processes currently in place for conducting and coordinating analyses of climate risk and loss and damage associated with the adverse effects of climate change, taking into account extreme and slow onset events. Those questionnaires were undertaken under Action Area 5 of the initial two-year workplan of the Executive Committee.</w:t>
      </w:r>
    </w:p>
    <w:p w14:paraId="0295A4C0" w14:textId="77777777" w:rsidR="003B2E48" w:rsidRPr="00D92F4C" w:rsidRDefault="003B2E48" w:rsidP="008E7813">
      <w:pPr>
        <w:widowControl w:val="0"/>
        <w:tabs>
          <w:tab w:val="left" w:pos="220"/>
          <w:tab w:val="left" w:pos="720"/>
        </w:tabs>
        <w:autoSpaceDE w:val="0"/>
        <w:autoSpaceDN w:val="0"/>
        <w:adjustRightInd w:val="0"/>
        <w:jc w:val="both"/>
        <w:rPr>
          <w:rFonts w:cs="Helvetica"/>
          <w:sz w:val="22"/>
        </w:rPr>
      </w:pPr>
    </w:p>
    <w:p w14:paraId="18556BDE" w14:textId="6C035457" w:rsidR="00D92F4C" w:rsidRDefault="003F1A1B" w:rsidP="008E7813">
      <w:pPr>
        <w:widowControl w:val="0"/>
        <w:tabs>
          <w:tab w:val="left" w:pos="220"/>
          <w:tab w:val="left" w:pos="720"/>
        </w:tabs>
        <w:autoSpaceDE w:val="0"/>
        <w:autoSpaceDN w:val="0"/>
        <w:adjustRightInd w:val="0"/>
        <w:jc w:val="both"/>
        <w:rPr>
          <w:rFonts w:cs="Helvetica"/>
          <w:sz w:val="22"/>
        </w:rPr>
      </w:pPr>
      <w:r w:rsidRPr="00D92F4C">
        <w:rPr>
          <w:rFonts w:cs="Helvetica"/>
          <w:sz w:val="22"/>
        </w:rPr>
        <w:t xml:space="preserve">At </w:t>
      </w:r>
      <w:r w:rsidR="00D92F4C" w:rsidRPr="00D92F4C">
        <w:rPr>
          <w:rFonts w:cs="Helvetica"/>
          <w:sz w:val="22"/>
        </w:rPr>
        <w:t>its</w:t>
      </w:r>
      <w:r w:rsidR="003B2E48" w:rsidRPr="00D92F4C">
        <w:rPr>
          <w:rFonts w:cs="Helvetica"/>
          <w:sz w:val="22"/>
        </w:rPr>
        <w:t xml:space="preserve"> </w:t>
      </w:r>
      <w:r w:rsidRPr="00D92F4C">
        <w:rPr>
          <w:rFonts w:cs="Helvetica"/>
          <w:sz w:val="22"/>
        </w:rPr>
        <w:t>5</w:t>
      </w:r>
      <w:r w:rsidR="00D92F4C" w:rsidRPr="00D92F4C">
        <w:rPr>
          <w:rFonts w:cs="Helvetica"/>
          <w:sz w:val="22"/>
          <w:vertAlign w:val="superscript"/>
        </w:rPr>
        <w:t>th</w:t>
      </w:r>
      <w:r w:rsidR="00D92F4C" w:rsidRPr="00D92F4C">
        <w:rPr>
          <w:rFonts w:cs="Helvetica"/>
          <w:sz w:val="22"/>
        </w:rPr>
        <w:t xml:space="preserve"> meeting</w:t>
      </w:r>
      <w:r w:rsidRPr="00D92F4C">
        <w:rPr>
          <w:rFonts w:cs="Helvetica"/>
          <w:sz w:val="22"/>
        </w:rPr>
        <w:t xml:space="preserve"> </w:t>
      </w:r>
      <w:r w:rsidR="003B2E48" w:rsidRPr="00D92F4C">
        <w:rPr>
          <w:rFonts w:cs="Helvetica"/>
          <w:sz w:val="22"/>
        </w:rPr>
        <w:t>(March 2017)</w:t>
      </w:r>
      <w:r w:rsidR="00FA2DA6" w:rsidRPr="00D92F4C">
        <w:rPr>
          <w:rFonts w:cs="Helvetica"/>
          <w:sz w:val="22"/>
        </w:rPr>
        <w:t>,</w:t>
      </w:r>
      <w:r w:rsidR="003B2E48" w:rsidRPr="00D92F4C">
        <w:rPr>
          <w:rFonts w:cs="Helvetica"/>
          <w:sz w:val="22"/>
        </w:rPr>
        <w:t xml:space="preserve"> </w:t>
      </w:r>
      <w:r w:rsidR="00D92F4C" w:rsidRPr="00D92F4C">
        <w:rPr>
          <w:rFonts w:cs="Helvetica"/>
          <w:sz w:val="22"/>
        </w:rPr>
        <w:t>the Executive Committee</w:t>
      </w:r>
      <w:r w:rsidRPr="00D92F4C">
        <w:rPr>
          <w:rFonts w:cs="Helvetica"/>
          <w:sz w:val="22"/>
        </w:rPr>
        <w:t xml:space="preserve"> decided </w:t>
      </w:r>
      <w:r w:rsidR="00D92F4C" w:rsidRPr="00D92F4C">
        <w:rPr>
          <w:rFonts w:cs="Helvetica"/>
          <w:sz w:val="22"/>
        </w:rPr>
        <w:t xml:space="preserve">to </w:t>
      </w:r>
      <w:r w:rsidR="00C070EF" w:rsidRPr="00D92F4C">
        <w:rPr>
          <w:rFonts w:cs="Helvetica"/>
          <w:sz w:val="22"/>
        </w:rPr>
        <w:t xml:space="preserve">widely </w:t>
      </w:r>
      <w:r w:rsidR="00D92F4C" w:rsidRPr="00D92F4C">
        <w:rPr>
          <w:rFonts w:cs="Helvetica"/>
          <w:sz w:val="22"/>
        </w:rPr>
        <w:t xml:space="preserve">share </w:t>
      </w:r>
      <w:r w:rsidRPr="00D92F4C">
        <w:rPr>
          <w:rFonts w:cs="Helvetica"/>
          <w:sz w:val="22"/>
        </w:rPr>
        <w:t>the</w:t>
      </w:r>
      <w:r w:rsidR="00D92F4C" w:rsidRPr="00D92F4C">
        <w:rPr>
          <w:rFonts w:cs="Helvetica"/>
          <w:sz w:val="22"/>
        </w:rPr>
        <w:t xml:space="preserve"> draft paper-based</w:t>
      </w:r>
      <w:r w:rsidRPr="00D92F4C">
        <w:rPr>
          <w:rFonts w:cs="Helvetica"/>
          <w:sz w:val="22"/>
        </w:rPr>
        <w:t xml:space="preserve"> compendium on comprehensive risk management in order to collect feedback which would then be taken on board by </w:t>
      </w:r>
      <w:r w:rsidR="00D92F4C" w:rsidRPr="00D92F4C">
        <w:rPr>
          <w:rFonts w:cs="Helvetica"/>
          <w:sz w:val="22"/>
        </w:rPr>
        <w:t>the Technical Expert G</w:t>
      </w:r>
      <w:r w:rsidRPr="00D92F4C">
        <w:rPr>
          <w:rFonts w:cs="Helvetica"/>
          <w:sz w:val="22"/>
        </w:rPr>
        <w:t xml:space="preserve">roup </w:t>
      </w:r>
      <w:r w:rsidR="003B2E48" w:rsidRPr="00D92F4C">
        <w:rPr>
          <w:rFonts w:cs="Helvetica"/>
          <w:sz w:val="22"/>
        </w:rPr>
        <w:t xml:space="preserve">on comprehensive risk management and transformational approaches currently </w:t>
      </w:r>
      <w:r w:rsidRPr="00D92F4C">
        <w:rPr>
          <w:rFonts w:cs="Helvetica"/>
          <w:sz w:val="22"/>
        </w:rPr>
        <w:t>be</w:t>
      </w:r>
      <w:r w:rsidR="003B2E48" w:rsidRPr="00D92F4C">
        <w:rPr>
          <w:rFonts w:cs="Helvetica"/>
          <w:sz w:val="22"/>
        </w:rPr>
        <w:t>ing</w:t>
      </w:r>
      <w:r w:rsidRPr="00D92F4C">
        <w:rPr>
          <w:rFonts w:cs="Helvetica"/>
          <w:sz w:val="22"/>
        </w:rPr>
        <w:t xml:space="preserve"> established </w:t>
      </w:r>
      <w:r w:rsidR="003B2E48" w:rsidRPr="00D92F4C">
        <w:rPr>
          <w:rFonts w:cs="Helvetica"/>
          <w:sz w:val="22"/>
        </w:rPr>
        <w:t>by the Excom</w:t>
      </w:r>
      <w:r w:rsidRPr="00D92F4C">
        <w:rPr>
          <w:rFonts w:cs="Helvetica"/>
          <w:sz w:val="22"/>
        </w:rPr>
        <w:t xml:space="preserve">. </w:t>
      </w:r>
      <w:r w:rsidR="003B2E48" w:rsidRPr="00D92F4C">
        <w:rPr>
          <w:rFonts w:cs="Helvetica"/>
          <w:sz w:val="22"/>
        </w:rPr>
        <w:t>I</w:t>
      </w:r>
      <w:r w:rsidRPr="00D92F4C">
        <w:rPr>
          <w:rFonts w:cs="Helvetica"/>
          <w:sz w:val="22"/>
        </w:rPr>
        <w:t xml:space="preserve">n order for feedback to be delivered in an “easy-to-digest” format, </w:t>
      </w:r>
      <w:r w:rsidR="003B2E48" w:rsidRPr="00D92F4C">
        <w:rPr>
          <w:rFonts w:cs="Helvetica"/>
          <w:sz w:val="22"/>
        </w:rPr>
        <w:t xml:space="preserve">please provided your comments in the following </w:t>
      </w:r>
      <w:r w:rsidRPr="00D92F4C">
        <w:rPr>
          <w:rFonts w:cs="Helvetica"/>
          <w:sz w:val="22"/>
        </w:rPr>
        <w:t xml:space="preserve">template. </w:t>
      </w:r>
    </w:p>
    <w:p w14:paraId="56C77CDF" w14:textId="533BFE02" w:rsidR="00F517CB" w:rsidRPr="00D92F4C" w:rsidRDefault="00F517CB" w:rsidP="00F517CB">
      <w:pPr>
        <w:widowControl w:val="0"/>
        <w:tabs>
          <w:tab w:val="left" w:pos="220"/>
          <w:tab w:val="left" w:pos="720"/>
        </w:tabs>
        <w:autoSpaceDE w:val="0"/>
        <w:autoSpaceDN w:val="0"/>
        <w:adjustRightInd w:val="0"/>
        <w:jc w:val="center"/>
        <w:rPr>
          <w:rFonts w:cs="Helvetica"/>
          <w:sz w:val="22"/>
        </w:rPr>
      </w:pPr>
      <w:r>
        <w:rPr>
          <w:rFonts w:cs="Helvetica"/>
          <w:sz w:val="22"/>
        </w:rPr>
        <w:t>For more information, visit &lt;</w:t>
      </w:r>
      <w:hyperlink r:id="rId9" w:history="1">
        <w:r w:rsidRPr="00F517CB">
          <w:rPr>
            <w:rStyle w:val="Hyperlink"/>
            <w:rFonts w:cs="Helvetica"/>
            <w:color w:val="034990" w:themeColor="hyperlink" w:themeShade="BF"/>
            <w:sz w:val="22"/>
          </w:rPr>
          <w:t>http://unfccc.int/10326</w:t>
        </w:r>
      </w:hyperlink>
      <w:r>
        <w:rPr>
          <w:rFonts w:cs="Helvetica"/>
          <w:sz w:val="22"/>
        </w:rPr>
        <w:t>&gt;.</w:t>
      </w:r>
    </w:p>
    <w:p w14:paraId="4D377D36" w14:textId="77777777" w:rsidR="00D92F4C" w:rsidRPr="00D92F4C" w:rsidRDefault="00D92F4C" w:rsidP="008E7813">
      <w:pPr>
        <w:widowControl w:val="0"/>
        <w:tabs>
          <w:tab w:val="left" w:pos="220"/>
          <w:tab w:val="left" w:pos="720"/>
        </w:tabs>
        <w:autoSpaceDE w:val="0"/>
        <w:autoSpaceDN w:val="0"/>
        <w:adjustRightInd w:val="0"/>
        <w:jc w:val="both"/>
        <w:rPr>
          <w:rFonts w:cs="Helvetica"/>
          <w:sz w:val="22"/>
        </w:rPr>
        <w:sectPr w:rsidR="00D92F4C" w:rsidRPr="00D92F4C" w:rsidSect="00F517CB">
          <w:headerReference w:type="default" r:id="rId10"/>
          <w:pgSz w:w="16840" w:h="11900" w:orient="landscape"/>
          <w:pgMar w:top="1135" w:right="1105" w:bottom="568" w:left="1134" w:header="142" w:footer="708" w:gutter="0"/>
          <w:cols w:space="708"/>
          <w:docGrid w:linePitch="360"/>
        </w:sectPr>
      </w:pPr>
    </w:p>
    <w:tbl>
      <w:tblPr>
        <w:tblStyle w:val="TableGrid"/>
        <w:tblW w:w="0" w:type="auto"/>
        <w:tblLook w:val="04A0" w:firstRow="1" w:lastRow="0" w:firstColumn="1" w:lastColumn="0" w:noHBand="0" w:noVBand="1"/>
      </w:tblPr>
      <w:tblGrid>
        <w:gridCol w:w="2303"/>
        <w:gridCol w:w="3520"/>
        <w:gridCol w:w="2421"/>
        <w:gridCol w:w="3529"/>
        <w:gridCol w:w="2506"/>
      </w:tblGrid>
      <w:tr w:rsidR="006A1069" w:rsidRPr="00CD22B0" w14:paraId="057513AE" w14:textId="4FE6DA69" w:rsidTr="00C070EF">
        <w:tc>
          <w:tcPr>
            <w:tcW w:w="2235" w:type="dxa"/>
            <w:shd w:val="clear" w:color="auto" w:fill="DEEAF6" w:themeFill="accent1" w:themeFillTint="33"/>
          </w:tcPr>
          <w:p w14:paraId="7421DBCB" w14:textId="77777777" w:rsidR="00C070EF" w:rsidRDefault="00C070EF" w:rsidP="00C57359">
            <w:pPr>
              <w:widowControl w:val="0"/>
              <w:tabs>
                <w:tab w:val="left" w:pos="220"/>
                <w:tab w:val="left" w:pos="720"/>
              </w:tabs>
              <w:autoSpaceDE w:val="0"/>
              <w:autoSpaceDN w:val="0"/>
              <w:adjustRightInd w:val="0"/>
              <w:rPr>
                <w:rFonts w:cs="Helvetica"/>
                <w:b/>
              </w:rPr>
            </w:pPr>
          </w:p>
          <w:p w14:paraId="7E340CFC" w14:textId="77777777" w:rsidR="00C070EF" w:rsidRDefault="00C070EF" w:rsidP="00C57359">
            <w:pPr>
              <w:widowControl w:val="0"/>
              <w:tabs>
                <w:tab w:val="left" w:pos="220"/>
                <w:tab w:val="left" w:pos="720"/>
              </w:tabs>
              <w:autoSpaceDE w:val="0"/>
              <w:autoSpaceDN w:val="0"/>
              <w:adjustRightInd w:val="0"/>
              <w:rPr>
                <w:rFonts w:cs="Helvetica"/>
                <w:b/>
              </w:rPr>
            </w:pPr>
          </w:p>
          <w:p w14:paraId="7F0EE601" w14:textId="77777777" w:rsidR="00C070EF" w:rsidRDefault="00C070EF" w:rsidP="00C57359">
            <w:pPr>
              <w:widowControl w:val="0"/>
              <w:tabs>
                <w:tab w:val="left" w:pos="220"/>
                <w:tab w:val="left" w:pos="720"/>
              </w:tabs>
              <w:autoSpaceDE w:val="0"/>
              <w:autoSpaceDN w:val="0"/>
              <w:adjustRightInd w:val="0"/>
              <w:rPr>
                <w:rFonts w:cs="Helvetica"/>
                <w:b/>
              </w:rPr>
            </w:pPr>
          </w:p>
          <w:p w14:paraId="409D7E85" w14:textId="77777777" w:rsidR="00C070EF" w:rsidRDefault="00C070EF" w:rsidP="00C57359">
            <w:pPr>
              <w:widowControl w:val="0"/>
              <w:tabs>
                <w:tab w:val="left" w:pos="220"/>
                <w:tab w:val="left" w:pos="720"/>
              </w:tabs>
              <w:autoSpaceDE w:val="0"/>
              <w:autoSpaceDN w:val="0"/>
              <w:adjustRightInd w:val="0"/>
              <w:rPr>
                <w:rFonts w:cs="Helvetica"/>
                <w:b/>
              </w:rPr>
            </w:pPr>
          </w:p>
          <w:p w14:paraId="59C64A44" w14:textId="77777777" w:rsidR="00C070EF" w:rsidRDefault="00C070EF" w:rsidP="00C57359">
            <w:pPr>
              <w:widowControl w:val="0"/>
              <w:tabs>
                <w:tab w:val="left" w:pos="220"/>
                <w:tab w:val="left" w:pos="720"/>
              </w:tabs>
              <w:autoSpaceDE w:val="0"/>
              <w:autoSpaceDN w:val="0"/>
              <w:adjustRightInd w:val="0"/>
              <w:rPr>
                <w:rFonts w:cs="Helvetica"/>
                <w:b/>
              </w:rPr>
            </w:pPr>
          </w:p>
          <w:p w14:paraId="0BEBF5F3" w14:textId="750B9E56" w:rsidR="002C2959" w:rsidRPr="00CD22B0" w:rsidRDefault="002C2959" w:rsidP="00C57359">
            <w:pPr>
              <w:widowControl w:val="0"/>
              <w:tabs>
                <w:tab w:val="left" w:pos="220"/>
                <w:tab w:val="left" w:pos="720"/>
              </w:tabs>
              <w:autoSpaceDE w:val="0"/>
              <w:autoSpaceDN w:val="0"/>
              <w:adjustRightInd w:val="0"/>
              <w:rPr>
                <w:rFonts w:cs="Helvetica"/>
                <w:b/>
              </w:rPr>
            </w:pPr>
            <w:r w:rsidRPr="00CD22B0">
              <w:rPr>
                <w:rFonts w:cs="Helvetica"/>
                <w:b/>
              </w:rPr>
              <w:t xml:space="preserve">Topics in the table of contents of the </w:t>
            </w:r>
            <w:r w:rsidRPr="00C070EF">
              <w:rPr>
                <w:rFonts w:cs="Helvetica"/>
                <w:b/>
              </w:rPr>
              <w:t>compendium</w:t>
            </w:r>
          </w:p>
        </w:tc>
        <w:tc>
          <w:tcPr>
            <w:tcW w:w="3416" w:type="dxa"/>
            <w:shd w:val="clear" w:color="auto" w:fill="DEEAF6" w:themeFill="accent1" w:themeFillTint="33"/>
          </w:tcPr>
          <w:p w14:paraId="764726FE" w14:textId="2E51E49E" w:rsidR="002C2959" w:rsidRPr="00CD22B0" w:rsidRDefault="002C2959" w:rsidP="006A1069">
            <w:pPr>
              <w:widowControl w:val="0"/>
              <w:tabs>
                <w:tab w:val="left" w:pos="220"/>
                <w:tab w:val="left" w:pos="720"/>
              </w:tabs>
              <w:autoSpaceDE w:val="0"/>
              <w:autoSpaceDN w:val="0"/>
              <w:adjustRightInd w:val="0"/>
              <w:rPr>
                <w:rFonts w:cs="Helvetica"/>
                <w:b/>
              </w:rPr>
            </w:pPr>
            <w:r w:rsidRPr="00CD22B0">
              <w:rPr>
                <w:rFonts w:cs="Helvetica"/>
                <w:b/>
              </w:rPr>
              <w:t>1. Are there any additional topics</w:t>
            </w:r>
            <w:r w:rsidR="00C070EF">
              <w:rPr>
                <w:rFonts w:cs="Helvetica"/>
                <w:b/>
              </w:rPr>
              <w:t>/</w:t>
            </w:r>
            <w:r w:rsidRPr="00CD22B0">
              <w:rPr>
                <w:rFonts w:cs="Helvetica"/>
                <w:b/>
              </w:rPr>
              <w:t xml:space="preserve">issues </w:t>
            </w:r>
            <w:r w:rsidR="006A1069" w:rsidRPr="00CD22B0">
              <w:rPr>
                <w:rFonts w:cs="Helvetica"/>
                <w:b/>
              </w:rPr>
              <w:t>that can usefully</w:t>
            </w:r>
            <w:r w:rsidRPr="00CD22B0">
              <w:rPr>
                <w:rFonts w:cs="Helvetica"/>
                <w:b/>
              </w:rPr>
              <w:t xml:space="preserve"> be included? If yes, please identify and explain</w:t>
            </w:r>
            <w:r w:rsidR="006A1069" w:rsidRPr="00CD22B0">
              <w:rPr>
                <w:rFonts w:cs="Helvetica"/>
                <w:b/>
              </w:rPr>
              <w:t>, particularly how they can facilitate comprehensive risk management in developing countries</w:t>
            </w:r>
            <w:r w:rsidR="00210B22" w:rsidRPr="00CD22B0">
              <w:rPr>
                <w:rFonts w:cs="Helvetica"/>
                <w:b/>
              </w:rPr>
              <w:t>.</w:t>
            </w:r>
            <w:r w:rsidRPr="00CD22B0">
              <w:rPr>
                <w:rFonts w:cs="Helvetica"/>
                <w:b/>
              </w:rPr>
              <w:t xml:space="preserve"> </w:t>
            </w:r>
          </w:p>
        </w:tc>
        <w:tc>
          <w:tcPr>
            <w:tcW w:w="2350" w:type="dxa"/>
            <w:shd w:val="clear" w:color="auto" w:fill="DEEAF6" w:themeFill="accent1" w:themeFillTint="33"/>
          </w:tcPr>
          <w:p w14:paraId="22AFD590" w14:textId="16BC43A3" w:rsidR="002C2959" w:rsidRPr="00CD22B0" w:rsidRDefault="002C2959" w:rsidP="002C2959">
            <w:pPr>
              <w:widowControl w:val="0"/>
              <w:tabs>
                <w:tab w:val="left" w:pos="220"/>
                <w:tab w:val="left" w:pos="720"/>
              </w:tabs>
              <w:autoSpaceDE w:val="0"/>
              <w:autoSpaceDN w:val="0"/>
              <w:adjustRightInd w:val="0"/>
              <w:rPr>
                <w:rFonts w:cs="Helvetica"/>
                <w:b/>
              </w:rPr>
            </w:pPr>
            <w:r w:rsidRPr="00CD22B0">
              <w:rPr>
                <w:rFonts w:cs="Helvetica"/>
                <w:b/>
              </w:rPr>
              <w:t>2. Are there any current topics/ issues which should be excluded? If yes, please identify and explain.</w:t>
            </w:r>
          </w:p>
        </w:tc>
        <w:tc>
          <w:tcPr>
            <w:tcW w:w="3425" w:type="dxa"/>
            <w:shd w:val="clear" w:color="auto" w:fill="DEEAF6" w:themeFill="accent1" w:themeFillTint="33"/>
          </w:tcPr>
          <w:p w14:paraId="4EA0AF62" w14:textId="7E82108C" w:rsidR="002C2959" w:rsidRPr="00CD22B0" w:rsidRDefault="002C2959" w:rsidP="006A1069">
            <w:pPr>
              <w:widowControl w:val="0"/>
              <w:tabs>
                <w:tab w:val="left" w:pos="220"/>
                <w:tab w:val="left" w:pos="720"/>
              </w:tabs>
              <w:autoSpaceDE w:val="0"/>
              <w:autoSpaceDN w:val="0"/>
              <w:adjustRightInd w:val="0"/>
              <w:rPr>
                <w:rFonts w:cs="Helvetica"/>
                <w:b/>
              </w:rPr>
            </w:pPr>
            <w:r w:rsidRPr="00CD22B0">
              <w:rPr>
                <w:rFonts w:cs="Helvetica"/>
                <w:b/>
              </w:rPr>
              <w:t xml:space="preserve">3. Are there additional case studies </w:t>
            </w:r>
            <w:r w:rsidR="00C070EF">
              <w:rPr>
                <w:rFonts w:cs="Helvetica"/>
                <w:b/>
              </w:rPr>
              <w:t xml:space="preserve">that </w:t>
            </w:r>
            <w:r w:rsidR="006A1069" w:rsidRPr="00CD22B0">
              <w:rPr>
                <w:rFonts w:cs="Helvetica"/>
                <w:b/>
              </w:rPr>
              <w:t xml:space="preserve">would help guide future action? </w:t>
            </w:r>
            <w:r w:rsidRPr="00CD22B0">
              <w:rPr>
                <w:rFonts w:cs="Helvetica"/>
                <w:b/>
              </w:rPr>
              <w:t xml:space="preserve"> If so, please provide details, including topic heading, an</w:t>
            </w:r>
            <w:r w:rsidR="00C070EF">
              <w:rPr>
                <w:rFonts w:cs="Helvetica"/>
                <w:b/>
              </w:rPr>
              <w:t>d consider how the case study/</w:t>
            </w:r>
            <w:r w:rsidRPr="00CD22B0">
              <w:rPr>
                <w:rFonts w:cs="Helvetica"/>
                <w:b/>
              </w:rPr>
              <w:t>studies highlight important facts or outcomes that are not currently captured.</w:t>
            </w:r>
          </w:p>
        </w:tc>
        <w:tc>
          <w:tcPr>
            <w:tcW w:w="0" w:type="auto"/>
            <w:shd w:val="clear" w:color="auto" w:fill="DEEAF6" w:themeFill="accent1" w:themeFillTint="33"/>
          </w:tcPr>
          <w:p w14:paraId="6655C85B" w14:textId="2F48D98A" w:rsidR="002C2959" w:rsidRPr="00CD22B0" w:rsidRDefault="002C2959" w:rsidP="002C2959">
            <w:pPr>
              <w:widowControl w:val="0"/>
              <w:tabs>
                <w:tab w:val="left" w:pos="220"/>
                <w:tab w:val="left" w:pos="720"/>
              </w:tabs>
              <w:autoSpaceDE w:val="0"/>
              <w:autoSpaceDN w:val="0"/>
              <w:adjustRightInd w:val="0"/>
              <w:rPr>
                <w:rFonts w:cs="Helvetica"/>
                <w:b/>
              </w:rPr>
            </w:pPr>
            <w:r w:rsidRPr="00CD22B0">
              <w:rPr>
                <w:rFonts w:cs="Helvetica"/>
                <w:b/>
              </w:rPr>
              <w:t>4. Is there any information that you think is inaccurate or misrepresented? Please identify and suggest modifications. (Please be concise.)</w:t>
            </w:r>
          </w:p>
        </w:tc>
      </w:tr>
      <w:tr w:rsidR="006A1069" w:rsidRPr="00CD22B0" w14:paraId="23E2D498" w14:textId="03F43F93" w:rsidTr="00C070EF">
        <w:tc>
          <w:tcPr>
            <w:tcW w:w="2235" w:type="dxa"/>
          </w:tcPr>
          <w:p w14:paraId="72EE430C" w14:textId="77777777" w:rsidR="002C2959" w:rsidRPr="00C070EF" w:rsidRDefault="002C2959" w:rsidP="00AE2DB5">
            <w:pPr>
              <w:widowControl w:val="0"/>
              <w:tabs>
                <w:tab w:val="left" w:pos="220"/>
                <w:tab w:val="left" w:pos="720"/>
              </w:tabs>
              <w:autoSpaceDE w:val="0"/>
              <w:autoSpaceDN w:val="0"/>
              <w:adjustRightInd w:val="0"/>
              <w:rPr>
                <w:rFonts w:cs="Helvetica"/>
              </w:rPr>
            </w:pPr>
            <w:r w:rsidRPr="00C070EF">
              <w:rPr>
                <w:rFonts w:cs="Helvetica"/>
              </w:rPr>
              <w:t>Risk assessment</w:t>
            </w:r>
          </w:p>
          <w:p w14:paraId="7ABFD6AD" w14:textId="411E2BF7" w:rsidR="002C2959" w:rsidRPr="00C070EF" w:rsidRDefault="002C2959" w:rsidP="00AE2DB5">
            <w:pPr>
              <w:widowControl w:val="0"/>
              <w:tabs>
                <w:tab w:val="left" w:pos="220"/>
                <w:tab w:val="left" w:pos="720"/>
              </w:tabs>
              <w:autoSpaceDE w:val="0"/>
              <w:autoSpaceDN w:val="0"/>
              <w:adjustRightInd w:val="0"/>
              <w:rPr>
                <w:rFonts w:cs="Helvetica"/>
              </w:rPr>
            </w:pPr>
          </w:p>
        </w:tc>
        <w:tc>
          <w:tcPr>
            <w:tcW w:w="3416" w:type="dxa"/>
          </w:tcPr>
          <w:p w14:paraId="6A0C6E55"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2350" w:type="dxa"/>
          </w:tcPr>
          <w:p w14:paraId="79F19422"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3425" w:type="dxa"/>
          </w:tcPr>
          <w:p w14:paraId="43CCD3B6"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0" w:type="auto"/>
          </w:tcPr>
          <w:p w14:paraId="4C37AF30" w14:textId="77777777" w:rsidR="002C2959" w:rsidRPr="00CD22B0" w:rsidRDefault="002C2959" w:rsidP="00AE2DB5">
            <w:pPr>
              <w:widowControl w:val="0"/>
              <w:tabs>
                <w:tab w:val="left" w:pos="220"/>
                <w:tab w:val="left" w:pos="720"/>
              </w:tabs>
              <w:autoSpaceDE w:val="0"/>
              <w:autoSpaceDN w:val="0"/>
              <w:adjustRightInd w:val="0"/>
              <w:rPr>
                <w:rFonts w:cs="Helvetica"/>
              </w:rPr>
            </w:pPr>
          </w:p>
        </w:tc>
      </w:tr>
      <w:tr w:rsidR="006A1069" w:rsidRPr="00CD22B0" w14:paraId="08A92249" w14:textId="0F48948A" w:rsidTr="00C070EF">
        <w:tc>
          <w:tcPr>
            <w:tcW w:w="2235" w:type="dxa"/>
          </w:tcPr>
          <w:p w14:paraId="50029F23" w14:textId="5B71C1C2" w:rsidR="002C2959" w:rsidRPr="00C070EF" w:rsidRDefault="002C2959" w:rsidP="00AE2DB5">
            <w:pPr>
              <w:widowControl w:val="0"/>
              <w:tabs>
                <w:tab w:val="left" w:pos="220"/>
                <w:tab w:val="left" w:pos="720"/>
              </w:tabs>
              <w:autoSpaceDE w:val="0"/>
              <w:autoSpaceDN w:val="0"/>
              <w:adjustRightInd w:val="0"/>
              <w:rPr>
                <w:rFonts w:cs="Helvetica"/>
              </w:rPr>
            </w:pPr>
            <w:r w:rsidRPr="00C070EF">
              <w:rPr>
                <w:rFonts w:cs="Helvetica"/>
              </w:rPr>
              <w:t xml:space="preserve">Risk reduction </w:t>
            </w:r>
          </w:p>
        </w:tc>
        <w:tc>
          <w:tcPr>
            <w:tcW w:w="3416" w:type="dxa"/>
          </w:tcPr>
          <w:p w14:paraId="486BEFC6" w14:textId="77777777" w:rsidR="002C2959" w:rsidRPr="00CD22B0" w:rsidRDefault="002C2959" w:rsidP="00AE2DB5">
            <w:pPr>
              <w:widowControl w:val="0"/>
              <w:tabs>
                <w:tab w:val="left" w:pos="220"/>
                <w:tab w:val="left" w:pos="720"/>
              </w:tabs>
              <w:autoSpaceDE w:val="0"/>
              <w:autoSpaceDN w:val="0"/>
              <w:adjustRightInd w:val="0"/>
              <w:rPr>
                <w:rFonts w:cs="Helvetica"/>
              </w:rPr>
            </w:pPr>
          </w:p>
          <w:p w14:paraId="053A8B4B"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2350" w:type="dxa"/>
          </w:tcPr>
          <w:p w14:paraId="31FE6CE0"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3425" w:type="dxa"/>
          </w:tcPr>
          <w:p w14:paraId="08A3A2CC"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0" w:type="auto"/>
          </w:tcPr>
          <w:p w14:paraId="6E772C46" w14:textId="77777777" w:rsidR="002C2959" w:rsidRPr="00CD22B0" w:rsidRDefault="002C2959" w:rsidP="00AE2DB5">
            <w:pPr>
              <w:widowControl w:val="0"/>
              <w:tabs>
                <w:tab w:val="left" w:pos="220"/>
                <w:tab w:val="left" w:pos="720"/>
              </w:tabs>
              <w:autoSpaceDE w:val="0"/>
              <w:autoSpaceDN w:val="0"/>
              <w:adjustRightInd w:val="0"/>
              <w:rPr>
                <w:rFonts w:cs="Helvetica"/>
              </w:rPr>
            </w:pPr>
          </w:p>
        </w:tc>
      </w:tr>
      <w:tr w:rsidR="006A1069" w:rsidRPr="00CD22B0" w14:paraId="2DDA039B" w14:textId="6CEA77D5" w:rsidTr="00C070EF">
        <w:tc>
          <w:tcPr>
            <w:tcW w:w="2235" w:type="dxa"/>
          </w:tcPr>
          <w:p w14:paraId="398F060A" w14:textId="77777777" w:rsidR="002C2959" w:rsidRPr="00C070EF" w:rsidRDefault="002C2959" w:rsidP="00AE2DB5">
            <w:pPr>
              <w:widowControl w:val="0"/>
              <w:tabs>
                <w:tab w:val="left" w:pos="220"/>
                <w:tab w:val="left" w:pos="720"/>
              </w:tabs>
              <w:autoSpaceDE w:val="0"/>
              <w:autoSpaceDN w:val="0"/>
              <w:adjustRightInd w:val="0"/>
              <w:rPr>
                <w:rFonts w:cs="Helvetica"/>
              </w:rPr>
            </w:pPr>
            <w:r w:rsidRPr="00C070EF">
              <w:rPr>
                <w:rFonts w:cs="Helvetica"/>
              </w:rPr>
              <w:t>Financial risk transfer</w:t>
            </w:r>
          </w:p>
          <w:p w14:paraId="5B950A82" w14:textId="36230D23" w:rsidR="002C2959" w:rsidRPr="00C070EF" w:rsidRDefault="002C2959" w:rsidP="00AE2DB5">
            <w:pPr>
              <w:widowControl w:val="0"/>
              <w:tabs>
                <w:tab w:val="left" w:pos="220"/>
                <w:tab w:val="left" w:pos="720"/>
              </w:tabs>
              <w:autoSpaceDE w:val="0"/>
              <w:autoSpaceDN w:val="0"/>
              <w:adjustRightInd w:val="0"/>
              <w:rPr>
                <w:rFonts w:cs="Helvetica"/>
              </w:rPr>
            </w:pPr>
          </w:p>
        </w:tc>
        <w:tc>
          <w:tcPr>
            <w:tcW w:w="3416" w:type="dxa"/>
          </w:tcPr>
          <w:p w14:paraId="298550D5"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2350" w:type="dxa"/>
          </w:tcPr>
          <w:p w14:paraId="7A7ABB70"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3425" w:type="dxa"/>
          </w:tcPr>
          <w:p w14:paraId="5175C381"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0" w:type="auto"/>
          </w:tcPr>
          <w:p w14:paraId="7A0410B3" w14:textId="77777777" w:rsidR="002C2959" w:rsidRPr="00CD22B0" w:rsidRDefault="002C2959" w:rsidP="00AE2DB5">
            <w:pPr>
              <w:widowControl w:val="0"/>
              <w:tabs>
                <w:tab w:val="left" w:pos="220"/>
                <w:tab w:val="left" w:pos="720"/>
              </w:tabs>
              <w:autoSpaceDE w:val="0"/>
              <w:autoSpaceDN w:val="0"/>
              <w:adjustRightInd w:val="0"/>
              <w:rPr>
                <w:rFonts w:cs="Helvetica"/>
              </w:rPr>
            </w:pPr>
          </w:p>
        </w:tc>
      </w:tr>
      <w:tr w:rsidR="006A1069" w:rsidRPr="00CD22B0" w14:paraId="3E714ADF" w14:textId="090199A4" w:rsidTr="00C070EF">
        <w:trPr>
          <w:trHeight w:val="663"/>
        </w:trPr>
        <w:tc>
          <w:tcPr>
            <w:tcW w:w="2235" w:type="dxa"/>
          </w:tcPr>
          <w:p w14:paraId="1FC91FB0" w14:textId="79BBD380" w:rsidR="002C2959" w:rsidRPr="00C070EF" w:rsidRDefault="002C2959" w:rsidP="00AE2DB5">
            <w:pPr>
              <w:widowControl w:val="0"/>
              <w:tabs>
                <w:tab w:val="left" w:pos="220"/>
                <w:tab w:val="left" w:pos="720"/>
              </w:tabs>
              <w:autoSpaceDE w:val="0"/>
              <w:autoSpaceDN w:val="0"/>
              <w:adjustRightInd w:val="0"/>
              <w:rPr>
                <w:rFonts w:cs="Helvetica"/>
              </w:rPr>
            </w:pPr>
            <w:r w:rsidRPr="00C070EF">
              <w:rPr>
                <w:rFonts w:cs="Helvetica"/>
              </w:rPr>
              <w:t>Risk retention</w:t>
            </w:r>
          </w:p>
        </w:tc>
        <w:tc>
          <w:tcPr>
            <w:tcW w:w="3416" w:type="dxa"/>
          </w:tcPr>
          <w:p w14:paraId="6FDA4CDA" w14:textId="77777777" w:rsidR="002C2959" w:rsidRPr="00CD22B0" w:rsidRDefault="002C2959" w:rsidP="00AE2DB5">
            <w:pPr>
              <w:widowControl w:val="0"/>
              <w:tabs>
                <w:tab w:val="left" w:pos="220"/>
                <w:tab w:val="left" w:pos="720"/>
              </w:tabs>
              <w:autoSpaceDE w:val="0"/>
              <w:autoSpaceDN w:val="0"/>
              <w:adjustRightInd w:val="0"/>
              <w:rPr>
                <w:rFonts w:cs="Helvetica"/>
              </w:rPr>
            </w:pPr>
          </w:p>
          <w:p w14:paraId="56E73270"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2350" w:type="dxa"/>
          </w:tcPr>
          <w:p w14:paraId="7E86D451"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3425" w:type="dxa"/>
          </w:tcPr>
          <w:p w14:paraId="158C3245"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0" w:type="auto"/>
          </w:tcPr>
          <w:p w14:paraId="1D6FF0BD" w14:textId="77777777" w:rsidR="002C2959" w:rsidRPr="00CD22B0" w:rsidRDefault="002C2959" w:rsidP="00AE2DB5">
            <w:pPr>
              <w:widowControl w:val="0"/>
              <w:tabs>
                <w:tab w:val="left" w:pos="220"/>
                <w:tab w:val="left" w:pos="720"/>
              </w:tabs>
              <w:autoSpaceDE w:val="0"/>
              <w:autoSpaceDN w:val="0"/>
              <w:adjustRightInd w:val="0"/>
              <w:rPr>
                <w:rFonts w:cs="Helvetica"/>
              </w:rPr>
            </w:pPr>
          </w:p>
        </w:tc>
      </w:tr>
      <w:tr w:rsidR="006A1069" w:rsidRPr="00CD22B0" w14:paraId="7E9911D2" w14:textId="6A733310" w:rsidTr="00C070EF">
        <w:tc>
          <w:tcPr>
            <w:tcW w:w="2235" w:type="dxa"/>
          </w:tcPr>
          <w:p w14:paraId="3EE79004" w14:textId="77777777" w:rsidR="002C2959" w:rsidRPr="00C070EF" w:rsidRDefault="002C2959" w:rsidP="00C57359">
            <w:pPr>
              <w:widowControl w:val="0"/>
              <w:tabs>
                <w:tab w:val="left" w:pos="220"/>
                <w:tab w:val="left" w:pos="720"/>
              </w:tabs>
              <w:autoSpaceDE w:val="0"/>
              <w:autoSpaceDN w:val="0"/>
              <w:adjustRightInd w:val="0"/>
              <w:rPr>
                <w:rFonts w:cs="Helvetica"/>
              </w:rPr>
            </w:pPr>
            <w:r w:rsidRPr="00C070EF">
              <w:rPr>
                <w:rFonts w:cs="Helvetica"/>
              </w:rPr>
              <w:t>Transformational approaches</w:t>
            </w:r>
          </w:p>
          <w:p w14:paraId="7BC6B578" w14:textId="77777777" w:rsidR="002C2959" w:rsidRPr="00C070EF" w:rsidRDefault="002C2959" w:rsidP="00C57359">
            <w:pPr>
              <w:widowControl w:val="0"/>
              <w:tabs>
                <w:tab w:val="left" w:pos="220"/>
                <w:tab w:val="left" w:pos="720"/>
              </w:tabs>
              <w:autoSpaceDE w:val="0"/>
              <w:autoSpaceDN w:val="0"/>
              <w:adjustRightInd w:val="0"/>
              <w:rPr>
                <w:rFonts w:cs="Helvetica"/>
              </w:rPr>
            </w:pPr>
          </w:p>
        </w:tc>
        <w:tc>
          <w:tcPr>
            <w:tcW w:w="3416" w:type="dxa"/>
          </w:tcPr>
          <w:p w14:paraId="112CBB73" w14:textId="77777777" w:rsidR="002C2959" w:rsidRPr="00CD22B0" w:rsidRDefault="002C2959" w:rsidP="00C57359">
            <w:pPr>
              <w:widowControl w:val="0"/>
              <w:tabs>
                <w:tab w:val="left" w:pos="220"/>
                <w:tab w:val="left" w:pos="720"/>
              </w:tabs>
              <w:autoSpaceDE w:val="0"/>
              <w:autoSpaceDN w:val="0"/>
              <w:adjustRightInd w:val="0"/>
              <w:rPr>
                <w:rFonts w:cs="Helvetica"/>
              </w:rPr>
            </w:pPr>
          </w:p>
        </w:tc>
        <w:tc>
          <w:tcPr>
            <w:tcW w:w="2350" w:type="dxa"/>
          </w:tcPr>
          <w:p w14:paraId="7C1FF22E" w14:textId="77777777" w:rsidR="002C2959" w:rsidRPr="00CD22B0" w:rsidRDefault="002C2959" w:rsidP="00C57359">
            <w:pPr>
              <w:widowControl w:val="0"/>
              <w:tabs>
                <w:tab w:val="left" w:pos="220"/>
                <w:tab w:val="left" w:pos="720"/>
              </w:tabs>
              <w:autoSpaceDE w:val="0"/>
              <w:autoSpaceDN w:val="0"/>
              <w:adjustRightInd w:val="0"/>
              <w:rPr>
                <w:rFonts w:cs="Helvetica"/>
              </w:rPr>
            </w:pPr>
          </w:p>
        </w:tc>
        <w:tc>
          <w:tcPr>
            <w:tcW w:w="3425" w:type="dxa"/>
          </w:tcPr>
          <w:p w14:paraId="709AD2E2" w14:textId="77777777" w:rsidR="002C2959" w:rsidRPr="00CD22B0" w:rsidRDefault="002C2959" w:rsidP="00C57359">
            <w:pPr>
              <w:widowControl w:val="0"/>
              <w:tabs>
                <w:tab w:val="left" w:pos="220"/>
                <w:tab w:val="left" w:pos="720"/>
              </w:tabs>
              <w:autoSpaceDE w:val="0"/>
              <w:autoSpaceDN w:val="0"/>
              <w:adjustRightInd w:val="0"/>
              <w:rPr>
                <w:rFonts w:cs="Helvetica"/>
              </w:rPr>
            </w:pPr>
          </w:p>
        </w:tc>
        <w:tc>
          <w:tcPr>
            <w:tcW w:w="0" w:type="auto"/>
          </w:tcPr>
          <w:p w14:paraId="607AD3B0" w14:textId="77777777" w:rsidR="002C2959" w:rsidRPr="00CD22B0" w:rsidRDefault="002C2959" w:rsidP="00C57359">
            <w:pPr>
              <w:widowControl w:val="0"/>
              <w:tabs>
                <w:tab w:val="left" w:pos="220"/>
                <w:tab w:val="left" w:pos="720"/>
              </w:tabs>
              <w:autoSpaceDE w:val="0"/>
              <w:autoSpaceDN w:val="0"/>
              <w:adjustRightInd w:val="0"/>
              <w:rPr>
                <w:rFonts w:cs="Helvetica"/>
              </w:rPr>
            </w:pPr>
          </w:p>
        </w:tc>
      </w:tr>
      <w:tr w:rsidR="006A1069" w:rsidRPr="00CD22B0" w14:paraId="15F0C7DA" w14:textId="6317EFD6" w:rsidTr="00C070EF">
        <w:tc>
          <w:tcPr>
            <w:tcW w:w="2235" w:type="dxa"/>
          </w:tcPr>
          <w:p w14:paraId="1B5223A2" w14:textId="2C8790DD" w:rsidR="002C2959" w:rsidRPr="00C070EF" w:rsidRDefault="002C2959" w:rsidP="00AE2DB5">
            <w:pPr>
              <w:widowControl w:val="0"/>
              <w:tabs>
                <w:tab w:val="left" w:pos="220"/>
                <w:tab w:val="left" w:pos="720"/>
              </w:tabs>
              <w:autoSpaceDE w:val="0"/>
              <w:autoSpaceDN w:val="0"/>
              <w:adjustRightInd w:val="0"/>
              <w:rPr>
                <w:rFonts w:cs="Helvetica"/>
              </w:rPr>
            </w:pPr>
            <w:r w:rsidRPr="00C070EF">
              <w:rPr>
                <w:rFonts w:cs="Helvetica"/>
              </w:rPr>
              <w:t>Enabling environments</w:t>
            </w:r>
          </w:p>
        </w:tc>
        <w:tc>
          <w:tcPr>
            <w:tcW w:w="3416" w:type="dxa"/>
          </w:tcPr>
          <w:p w14:paraId="28D636BE"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2350" w:type="dxa"/>
          </w:tcPr>
          <w:p w14:paraId="3CFED524"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3425" w:type="dxa"/>
          </w:tcPr>
          <w:p w14:paraId="17438FCF"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0" w:type="auto"/>
          </w:tcPr>
          <w:p w14:paraId="2858C9F9" w14:textId="77777777" w:rsidR="002C2959" w:rsidRPr="00CD22B0" w:rsidRDefault="002C2959" w:rsidP="00AE2DB5">
            <w:pPr>
              <w:widowControl w:val="0"/>
              <w:tabs>
                <w:tab w:val="left" w:pos="220"/>
                <w:tab w:val="left" w:pos="720"/>
              </w:tabs>
              <w:autoSpaceDE w:val="0"/>
              <w:autoSpaceDN w:val="0"/>
              <w:adjustRightInd w:val="0"/>
              <w:rPr>
                <w:rFonts w:cs="Helvetica"/>
              </w:rPr>
            </w:pPr>
          </w:p>
        </w:tc>
      </w:tr>
      <w:tr w:rsidR="006A1069" w:rsidRPr="00CD22B0" w14:paraId="31284D14" w14:textId="71491824" w:rsidTr="00C070EF">
        <w:tc>
          <w:tcPr>
            <w:tcW w:w="2235" w:type="dxa"/>
          </w:tcPr>
          <w:p w14:paraId="6132AD2F" w14:textId="79D7ADEB" w:rsidR="002C2959" w:rsidRPr="00C070EF" w:rsidRDefault="00C070EF" w:rsidP="00AE2DB5">
            <w:pPr>
              <w:widowControl w:val="0"/>
              <w:tabs>
                <w:tab w:val="left" w:pos="220"/>
                <w:tab w:val="left" w:pos="720"/>
              </w:tabs>
              <w:autoSpaceDE w:val="0"/>
              <w:autoSpaceDN w:val="0"/>
              <w:adjustRightInd w:val="0"/>
              <w:rPr>
                <w:rFonts w:cs="Helvetica"/>
              </w:rPr>
            </w:pPr>
            <w:r w:rsidRPr="00C070EF">
              <w:rPr>
                <w:rFonts w:cs="Helvetica"/>
              </w:rPr>
              <w:t>Additional topics</w:t>
            </w:r>
            <w:r w:rsidR="002C2959" w:rsidRPr="00C070EF">
              <w:rPr>
                <w:rFonts w:cs="Helvetica"/>
              </w:rPr>
              <w:t>/ topics to be excluded</w:t>
            </w:r>
          </w:p>
        </w:tc>
        <w:tc>
          <w:tcPr>
            <w:tcW w:w="3416" w:type="dxa"/>
          </w:tcPr>
          <w:p w14:paraId="702AC268"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2350" w:type="dxa"/>
          </w:tcPr>
          <w:p w14:paraId="337103EC"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3425" w:type="dxa"/>
          </w:tcPr>
          <w:p w14:paraId="11B03D31" w14:textId="77777777" w:rsidR="002C2959" w:rsidRPr="00CD22B0" w:rsidRDefault="002C2959" w:rsidP="00AE2DB5">
            <w:pPr>
              <w:widowControl w:val="0"/>
              <w:tabs>
                <w:tab w:val="left" w:pos="220"/>
                <w:tab w:val="left" w:pos="720"/>
              </w:tabs>
              <w:autoSpaceDE w:val="0"/>
              <w:autoSpaceDN w:val="0"/>
              <w:adjustRightInd w:val="0"/>
              <w:rPr>
                <w:rFonts w:cs="Helvetica"/>
              </w:rPr>
            </w:pPr>
          </w:p>
        </w:tc>
        <w:tc>
          <w:tcPr>
            <w:tcW w:w="0" w:type="auto"/>
          </w:tcPr>
          <w:p w14:paraId="1C30103F" w14:textId="77777777" w:rsidR="002C2959" w:rsidRPr="00CD22B0" w:rsidRDefault="002C2959" w:rsidP="00AE2DB5">
            <w:pPr>
              <w:widowControl w:val="0"/>
              <w:tabs>
                <w:tab w:val="left" w:pos="220"/>
                <w:tab w:val="left" w:pos="720"/>
              </w:tabs>
              <w:autoSpaceDE w:val="0"/>
              <w:autoSpaceDN w:val="0"/>
              <w:adjustRightInd w:val="0"/>
              <w:rPr>
                <w:rFonts w:cs="Helvetica"/>
              </w:rPr>
            </w:pPr>
          </w:p>
        </w:tc>
      </w:tr>
      <w:tr w:rsidR="006A1069" w:rsidRPr="00CD22B0" w14:paraId="25814D3E" w14:textId="77777777" w:rsidTr="00C070EF">
        <w:tc>
          <w:tcPr>
            <w:tcW w:w="0" w:type="auto"/>
            <w:gridSpan w:val="5"/>
            <w:shd w:val="clear" w:color="auto" w:fill="DEEAF6" w:themeFill="accent1" w:themeFillTint="33"/>
          </w:tcPr>
          <w:p w14:paraId="6714D6CC" w14:textId="694B2FF2" w:rsidR="006A1069" w:rsidRPr="00CD22B0" w:rsidRDefault="00C070EF" w:rsidP="00AE2DB5">
            <w:pPr>
              <w:widowControl w:val="0"/>
              <w:tabs>
                <w:tab w:val="left" w:pos="220"/>
                <w:tab w:val="left" w:pos="720"/>
              </w:tabs>
              <w:autoSpaceDE w:val="0"/>
              <w:autoSpaceDN w:val="0"/>
              <w:adjustRightInd w:val="0"/>
              <w:rPr>
                <w:rFonts w:cs="Helvetica"/>
              </w:rPr>
            </w:pPr>
            <w:r>
              <w:rPr>
                <w:rFonts w:cs="Helvetica"/>
                <w:b/>
              </w:rPr>
              <w:t>General feedback</w:t>
            </w:r>
          </w:p>
        </w:tc>
      </w:tr>
      <w:tr w:rsidR="006A1069" w:rsidRPr="00CD22B0" w14:paraId="19E25543" w14:textId="77777777" w:rsidTr="00C070EF">
        <w:trPr>
          <w:trHeight w:val="1020"/>
        </w:trPr>
        <w:tc>
          <w:tcPr>
            <w:tcW w:w="0" w:type="auto"/>
            <w:gridSpan w:val="5"/>
          </w:tcPr>
          <w:p w14:paraId="7B3BA384" w14:textId="0C760582" w:rsidR="006A1069" w:rsidRDefault="006A1069" w:rsidP="00AE2DB5">
            <w:pPr>
              <w:widowControl w:val="0"/>
              <w:tabs>
                <w:tab w:val="left" w:pos="220"/>
                <w:tab w:val="left" w:pos="720"/>
              </w:tabs>
              <w:autoSpaceDE w:val="0"/>
              <w:autoSpaceDN w:val="0"/>
              <w:adjustRightInd w:val="0"/>
              <w:rPr>
                <w:rFonts w:cs="Helvetica"/>
              </w:rPr>
            </w:pPr>
            <w:r w:rsidRPr="00CD22B0">
              <w:rPr>
                <w:rFonts w:cs="Helvetica"/>
              </w:rPr>
              <w:t xml:space="preserve">Do you think the </w:t>
            </w:r>
            <w:r w:rsidR="0007488A">
              <w:rPr>
                <w:rFonts w:cs="Helvetica"/>
              </w:rPr>
              <w:t xml:space="preserve">paper-based </w:t>
            </w:r>
            <w:r w:rsidRPr="00CD22B0">
              <w:rPr>
                <w:rFonts w:cs="Helvetica"/>
              </w:rPr>
              <w:t xml:space="preserve">compendium </w:t>
            </w:r>
            <w:r w:rsidRPr="002A7591">
              <w:rPr>
                <w:rFonts w:cs="Helvetica"/>
              </w:rPr>
              <w:t xml:space="preserve">is </w:t>
            </w:r>
            <w:r w:rsidR="00C76825" w:rsidRPr="002A7591">
              <w:rPr>
                <w:rFonts w:cs="Helvetica"/>
              </w:rPr>
              <w:t xml:space="preserve">a </w:t>
            </w:r>
            <w:r w:rsidRPr="002A7591">
              <w:rPr>
                <w:rFonts w:cs="Helvetica"/>
              </w:rPr>
              <w:t xml:space="preserve">useful </w:t>
            </w:r>
            <w:r w:rsidRPr="00CD22B0">
              <w:rPr>
                <w:rFonts w:cs="Helvetica"/>
              </w:rPr>
              <w:t xml:space="preserve">way of sharing lessons?  In what ways will you be using it? How could the format and presentation be improved?  What steps would you recommend to keep the </w:t>
            </w:r>
            <w:r w:rsidR="0007488A">
              <w:rPr>
                <w:rFonts w:cs="Helvetica"/>
              </w:rPr>
              <w:t xml:space="preserve">paper-based </w:t>
            </w:r>
            <w:bookmarkStart w:id="0" w:name="_GoBack"/>
            <w:bookmarkEnd w:id="0"/>
            <w:r w:rsidRPr="00CD22B0">
              <w:rPr>
                <w:rFonts w:cs="Helvetica"/>
              </w:rPr>
              <w:t xml:space="preserve">compendium up to date and useful? </w:t>
            </w:r>
          </w:p>
          <w:p w14:paraId="36D315F0" w14:textId="77777777" w:rsidR="00C070EF" w:rsidRDefault="00C070EF" w:rsidP="00AE2DB5">
            <w:pPr>
              <w:widowControl w:val="0"/>
              <w:tabs>
                <w:tab w:val="left" w:pos="220"/>
                <w:tab w:val="left" w:pos="720"/>
              </w:tabs>
              <w:autoSpaceDE w:val="0"/>
              <w:autoSpaceDN w:val="0"/>
              <w:adjustRightInd w:val="0"/>
              <w:rPr>
                <w:rFonts w:cs="Helvetica"/>
              </w:rPr>
            </w:pPr>
          </w:p>
          <w:p w14:paraId="01218199" w14:textId="77777777" w:rsidR="00C070EF" w:rsidRDefault="00C070EF" w:rsidP="00AE2DB5">
            <w:pPr>
              <w:widowControl w:val="0"/>
              <w:tabs>
                <w:tab w:val="left" w:pos="220"/>
                <w:tab w:val="left" w:pos="720"/>
              </w:tabs>
              <w:autoSpaceDE w:val="0"/>
              <w:autoSpaceDN w:val="0"/>
              <w:adjustRightInd w:val="0"/>
              <w:rPr>
                <w:rFonts w:cs="Helvetica"/>
              </w:rPr>
            </w:pPr>
          </w:p>
          <w:p w14:paraId="091230AF" w14:textId="5AFD7074" w:rsidR="00C070EF" w:rsidRPr="00CD22B0" w:rsidRDefault="00C070EF" w:rsidP="00AE2DB5">
            <w:pPr>
              <w:widowControl w:val="0"/>
              <w:tabs>
                <w:tab w:val="left" w:pos="220"/>
                <w:tab w:val="left" w:pos="720"/>
              </w:tabs>
              <w:autoSpaceDE w:val="0"/>
              <w:autoSpaceDN w:val="0"/>
              <w:adjustRightInd w:val="0"/>
              <w:rPr>
                <w:rFonts w:cs="Helvetica"/>
              </w:rPr>
            </w:pPr>
          </w:p>
        </w:tc>
      </w:tr>
    </w:tbl>
    <w:p w14:paraId="362EA0AF" w14:textId="0037A292" w:rsidR="00C57359" w:rsidRPr="00CD22B0" w:rsidRDefault="00C57359" w:rsidP="00AE2DB5"/>
    <w:sectPr w:rsidR="00C57359" w:rsidRPr="00CD22B0" w:rsidSect="00C070EF">
      <w:pgSz w:w="16840" w:h="11900" w:orient="landscape"/>
      <w:pgMar w:top="567" w:right="1417" w:bottom="567"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CFA7B" w14:textId="77777777" w:rsidR="00F05C96" w:rsidRDefault="00F05C96" w:rsidP="00CD22B0">
      <w:r>
        <w:separator/>
      </w:r>
    </w:p>
  </w:endnote>
  <w:endnote w:type="continuationSeparator" w:id="0">
    <w:p w14:paraId="7032F1C1" w14:textId="77777777" w:rsidR="00F05C96" w:rsidRDefault="00F05C96" w:rsidP="00CD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B0B5" w14:textId="77777777" w:rsidR="00F05C96" w:rsidRDefault="00F05C96" w:rsidP="00CD22B0">
      <w:r>
        <w:separator/>
      </w:r>
    </w:p>
  </w:footnote>
  <w:footnote w:type="continuationSeparator" w:id="0">
    <w:p w14:paraId="3A408768" w14:textId="77777777" w:rsidR="00F05C96" w:rsidRDefault="00F05C96" w:rsidP="00CD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F95C" w14:textId="38EE579B" w:rsidR="00D92F4C" w:rsidRDefault="00D92F4C" w:rsidP="00D92F4C">
    <w:pPr>
      <w:pStyle w:val="NormalWeb"/>
      <w:spacing w:before="0" w:beforeAutospacing="0" w:after="0" w:afterAutospacing="0"/>
      <w:rPr>
        <w:rFonts w:ascii="Century Gothic" w:hAnsi="Century Gothic"/>
        <w:b/>
        <w:bCs/>
        <w:color w:val="1F497D"/>
        <w:spacing w:val="60"/>
        <w:sz w:val="32"/>
        <w:szCs w:val="32"/>
        <w:lang w:val="en-GB"/>
      </w:rPr>
    </w:pPr>
  </w:p>
  <w:p w14:paraId="26DD9820" w14:textId="265F50DB" w:rsidR="00D92F4C" w:rsidRPr="00D92F4C" w:rsidRDefault="00D92F4C" w:rsidP="00D92F4C">
    <w:pPr>
      <w:pStyle w:val="NormalWeb"/>
      <w:spacing w:before="0" w:beforeAutospacing="0" w:after="0" w:afterAutospacing="0"/>
      <w:rPr>
        <w:rFonts w:ascii="Century Gothic" w:hAnsi="Century Gothic"/>
        <w:i/>
        <w:iCs/>
        <w:sz w:val="20"/>
        <w:szCs w:val="20"/>
      </w:rPr>
    </w:pPr>
    <w:r w:rsidRPr="00D92F4C">
      <w:rPr>
        <w:rFonts w:ascii="Century Gothic" w:hAnsi="Century Gothic"/>
        <w:b/>
        <w:bCs/>
        <w:color w:val="000000"/>
        <w:spacing w:val="60"/>
        <w:sz w:val="20"/>
        <w:szCs w:val="20"/>
        <w:lang w:val="en-GB"/>
      </w:rPr>
      <w:t>EXECUTIVE COMMITTEE</w:t>
    </w:r>
    <w:r w:rsidRPr="00D92F4C">
      <w:rPr>
        <w:rFonts w:ascii="Century Gothic" w:hAnsi="Century Gothic"/>
        <w:color w:val="000000"/>
        <w:spacing w:val="60"/>
        <w:sz w:val="20"/>
        <w:szCs w:val="20"/>
        <w:lang w:val="en-GB"/>
      </w:rPr>
      <w:t xml:space="preserve"> </w:t>
    </w:r>
    <w:r w:rsidRPr="0007488A">
      <w:rPr>
        <w:rFonts w:ascii="Century Gothic" w:hAnsi="Century Gothic"/>
        <w:b/>
        <w:color w:val="000000"/>
        <w:spacing w:val="40"/>
        <w:sz w:val="20"/>
        <w:szCs w:val="20"/>
        <w:lang w:val="en-GB"/>
      </w:rPr>
      <w:t>OF THE WARSAW INTERNATIONAL MECHANISM FOR LOSS &amp; DAMAGE</w:t>
    </w:r>
  </w:p>
  <w:p w14:paraId="1E21BE7C" w14:textId="00014BA8" w:rsidR="00D92F4C" w:rsidRDefault="00D92F4C" w:rsidP="00D92F4C">
    <w:pPr>
      <w:rPr>
        <w:rFonts w:ascii="Century Gothic" w:hAnsi="Century Gothic"/>
        <w:i/>
        <w:iCs/>
        <w:color w:val="5B9BD5"/>
        <w:sz w:val="20"/>
        <w:szCs w:val="20"/>
      </w:rPr>
    </w:pPr>
    <w:r>
      <w:rPr>
        <w:rFonts w:ascii="Century Gothic" w:hAnsi="Century Gothic"/>
        <w:i/>
        <w:iCs/>
        <w:color w:val="5B9BD5"/>
        <w:sz w:val="20"/>
        <w:szCs w:val="20"/>
      </w:rPr>
      <w:t>__________________________________________________________________________________________</w:t>
    </w:r>
    <w:r w:rsidR="00F517CB">
      <w:rPr>
        <w:rFonts w:ascii="Century Gothic" w:hAnsi="Century Gothic"/>
        <w:i/>
        <w:iCs/>
        <w:color w:val="5B9BD5"/>
        <w:sz w:val="20"/>
        <w:szCs w:val="20"/>
      </w:rPr>
      <w:t>________________________________</w:t>
    </w:r>
    <w:r w:rsidR="00C0155F">
      <w:rPr>
        <w:rFonts w:ascii="Century Gothic" w:hAnsi="Century Gothic"/>
        <w:i/>
        <w:iCs/>
        <w:color w:val="5B9BD5"/>
        <w:sz w:val="20"/>
        <w:szCs w:val="20"/>
      </w:rPr>
      <w:t>___________________</w:t>
    </w:r>
  </w:p>
  <w:p w14:paraId="635211E9" w14:textId="77777777" w:rsidR="00D92F4C" w:rsidRDefault="00D9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13B96"/>
    <w:multiLevelType w:val="hybridMultilevel"/>
    <w:tmpl w:val="B5BC888C"/>
    <w:lvl w:ilvl="0" w:tplc="B590ED9A">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36E37"/>
    <w:multiLevelType w:val="hybridMultilevel"/>
    <w:tmpl w:val="26D8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B5"/>
    <w:rsid w:val="000053F9"/>
    <w:rsid w:val="0007488A"/>
    <w:rsid w:val="001D035A"/>
    <w:rsid w:val="001D4D55"/>
    <w:rsid w:val="00204F25"/>
    <w:rsid w:val="00210B22"/>
    <w:rsid w:val="00291956"/>
    <w:rsid w:val="002A7591"/>
    <w:rsid w:val="002C2959"/>
    <w:rsid w:val="00384791"/>
    <w:rsid w:val="003B2E48"/>
    <w:rsid w:val="003F1A1B"/>
    <w:rsid w:val="00414AA7"/>
    <w:rsid w:val="00425694"/>
    <w:rsid w:val="00453549"/>
    <w:rsid w:val="00471183"/>
    <w:rsid w:val="00477938"/>
    <w:rsid w:val="004B733B"/>
    <w:rsid w:val="004D04B9"/>
    <w:rsid w:val="004D5E55"/>
    <w:rsid w:val="005D3D8F"/>
    <w:rsid w:val="005D408D"/>
    <w:rsid w:val="005F654E"/>
    <w:rsid w:val="0061134A"/>
    <w:rsid w:val="006A1069"/>
    <w:rsid w:val="00771BE1"/>
    <w:rsid w:val="00871553"/>
    <w:rsid w:val="008E7813"/>
    <w:rsid w:val="008F25E7"/>
    <w:rsid w:val="009527C4"/>
    <w:rsid w:val="009E02E4"/>
    <w:rsid w:val="009E53CD"/>
    <w:rsid w:val="00A21F81"/>
    <w:rsid w:val="00AA78E9"/>
    <w:rsid w:val="00AE2DB5"/>
    <w:rsid w:val="00B53805"/>
    <w:rsid w:val="00B67733"/>
    <w:rsid w:val="00B90752"/>
    <w:rsid w:val="00C0155F"/>
    <w:rsid w:val="00C070EF"/>
    <w:rsid w:val="00C1089C"/>
    <w:rsid w:val="00C5258B"/>
    <w:rsid w:val="00C57359"/>
    <w:rsid w:val="00C72D3A"/>
    <w:rsid w:val="00C76825"/>
    <w:rsid w:val="00C942DC"/>
    <w:rsid w:val="00CD22B0"/>
    <w:rsid w:val="00CD48C8"/>
    <w:rsid w:val="00D77C08"/>
    <w:rsid w:val="00D92F4C"/>
    <w:rsid w:val="00DB5859"/>
    <w:rsid w:val="00E30455"/>
    <w:rsid w:val="00F05C96"/>
    <w:rsid w:val="00F10A7F"/>
    <w:rsid w:val="00F517CB"/>
    <w:rsid w:val="00FA2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2E1214"/>
  <w15:docId w15:val="{7C5BCBD1-937C-4832-BD77-C399A05A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359"/>
    <w:rPr>
      <w:rFonts w:ascii="Lucida Grande" w:hAnsi="Lucida Grande" w:cs="Lucida Grande"/>
      <w:sz w:val="18"/>
      <w:szCs w:val="18"/>
    </w:rPr>
  </w:style>
  <w:style w:type="character" w:styleId="Hyperlink">
    <w:name w:val="Hyperlink"/>
    <w:basedOn w:val="DefaultParagraphFont"/>
    <w:uiPriority w:val="99"/>
    <w:unhideWhenUsed/>
    <w:rsid w:val="00CD48C8"/>
    <w:rPr>
      <w:color w:val="0563C1" w:themeColor="hyperlink"/>
      <w:u w:val="single"/>
    </w:rPr>
  </w:style>
  <w:style w:type="character" w:styleId="FollowedHyperlink">
    <w:name w:val="FollowedHyperlink"/>
    <w:basedOn w:val="DefaultParagraphFont"/>
    <w:uiPriority w:val="99"/>
    <w:semiHidden/>
    <w:unhideWhenUsed/>
    <w:rsid w:val="00AA78E9"/>
    <w:rPr>
      <w:color w:val="954F72" w:themeColor="followedHyperlink"/>
      <w:u w:val="single"/>
    </w:rPr>
  </w:style>
  <w:style w:type="paragraph" w:styleId="FootnoteText">
    <w:name w:val="footnote text"/>
    <w:basedOn w:val="Normal"/>
    <w:link w:val="FootnoteTextChar"/>
    <w:semiHidden/>
    <w:unhideWhenUsed/>
    <w:rsid w:val="00CD22B0"/>
    <w:pPr>
      <w:tabs>
        <w:tab w:val="left" w:pos="709"/>
        <w:tab w:val="left" w:pos="5245"/>
      </w:tabs>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D22B0"/>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CD22B0"/>
    <w:rPr>
      <w:vertAlign w:val="superscript"/>
    </w:rPr>
  </w:style>
  <w:style w:type="paragraph" w:styleId="Header">
    <w:name w:val="header"/>
    <w:basedOn w:val="Normal"/>
    <w:link w:val="HeaderChar"/>
    <w:uiPriority w:val="99"/>
    <w:unhideWhenUsed/>
    <w:rsid w:val="00D92F4C"/>
    <w:pPr>
      <w:tabs>
        <w:tab w:val="center" w:pos="4680"/>
        <w:tab w:val="right" w:pos="9360"/>
      </w:tabs>
    </w:pPr>
  </w:style>
  <w:style w:type="character" w:customStyle="1" w:styleId="HeaderChar">
    <w:name w:val="Header Char"/>
    <w:basedOn w:val="DefaultParagraphFont"/>
    <w:link w:val="Header"/>
    <w:uiPriority w:val="99"/>
    <w:rsid w:val="00D92F4C"/>
  </w:style>
  <w:style w:type="paragraph" w:styleId="Footer">
    <w:name w:val="footer"/>
    <w:basedOn w:val="Normal"/>
    <w:link w:val="FooterChar"/>
    <w:uiPriority w:val="99"/>
    <w:unhideWhenUsed/>
    <w:rsid w:val="00D92F4C"/>
    <w:pPr>
      <w:tabs>
        <w:tab w:val="center" w:pos="4680"/>
        <w:tab w:val="right" w:pos="9360"/>
      </w:tabs>
    </w:pPr>
  </w:style>
  <w:style w:type="character" w:customStyle="1" w:styleId="FooterChar">
    <w:name w:val="Footer Char"/>
    <w:basedOn w:val="DefaultParagraphFont"/>
    <w:link w:val="Footer"/>
    <w:uiPriority w:val="99"/>
    <w:rsid w:val="00D92F4C"/>
  </w:style>
  <w:style w:type="paragraph" w:styleId="NormalWeb">
    <w:name w:val="Normal (Web)"/>
    <w:basedOn w:val="Normal"/>
    <w:uiPriority w:val="99"/>
    <w:semiHidden/>
    <w:unhideWhenUsed/>
    <w:rsid w:val="00D92F4C"/>
    <w:pPr>
      <w:spacing w:before="100" w:beforeAutospacing="1" w:after="100" w:afterAutospacing="1"/>
    </w:pPr>
    <w:rPr>
      <w:rFonts w:ascii="Times New Roman" w:hAnsi="Times New Roman" w:cs="Times New Roman"/>
      <w:lang w:eastAsia="ja-JP"/>
    </w:rPr>
  </w:style>
  <w:style w:type="character" w:styleId="IntenseEmphasis">
    <w:name w:val="Intense Emphasis"/>
    <w:basedOn w:val="DefaultParagraphFont"/>
    <w:uiPriority w:val="21"/>
    <w:qFormat/>
    <w:rsid w:val="00D92F4C"/>
    <w:rPr>
      <w:i/>
      <w:iCs/>
      <w:color w:val="5B9BD5" w:themeColor="accent1"/>
    </w:rPr>
  </w:style>
  <w:style w:type="character" w:styleId="Emphasis">
    <w:name w:val="Emphasis"/>
    <w:basedOn w:val="DefaultParagraphFont"/>
    <w:uiPriority w:val="20"/>
    <w:qFormat/>
    <w:rsid w:val="00D92F4C"/>
    <w:rPr>
      <w:i/>
      <w:iCs/>
    </w:rPr>
  </w:style>
  <w:style w:type="paragraph" w:styleId="ListParagraph">
    <w:name w:val="List Paragraph"/>
    <w:basedOn w:val="Normal"/>
    <w:uiPriority w:val="34"/>
    <w:qFormat/>
    <w:rsid w:val="00D9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78745">
      <w:bodyDiv w:val="1"/>
      <w:marLeft w:val="0"/>
      <w:marRight w:val="0"/>
      <w:marTop w:val="0"/>
      <w:marBottom w:val="0"/>
      <w:divBdr>
        <w:top w:val="none" w:sz="0" w:space="0" w:color="auto"/>
        <w:left w:val="none" w:sz="0" w:space="0" w:color="auto"/>
        <w:bottom w:val="none" w:sz="0" w:space="0" w:color="auto"/>
        <w:right w:val="none" w:sz="0" w:space="0" w:color="auto"/>
      </w:divBdr>
    </w:div>
    <w:div w:id="1813281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gxNP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fccc.int/10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4C74-266D-44CA-ABF6-434A1B12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3951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dc:creator>
  <cp:lastModifiedBy>Miwa Kato</cp:lastModifiedBy>
  <cp:revision>2</cp:revision>
  <dcterms:created xsi:type="dcterms:W3CDTF">2017-05-03T16:34:00Z</dcterms:created>
  <dcterms:modified xsi:type="dcterms:W3CDTF">2017-05-03T16:34:00Z</dcterms:modified>
</cp:coreProperties>
</file>